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94CB5" w14:textId="08EA9A95" w:rsidR="00226339" w:rsidRDefault="00226339">
      <w:pPr>
        <w:tabs>
          <w:tab w:val="right" w:pos="10206"/>
        </w:tabs>
        <w:jc w:val="both"/>
        <w:rPr>
          <w:b/>
          <w:spacing w:val="-3"/>
        </w:rPr>
      </w:pPr>
      <w:r w:rsidRPr="00F625ED">
        <w:rPr>
          <w:b/>
          <w:spacing w:val="-3"/>
        </w:rPr>
        <w:t xml:space="preserve">Prof. Dr. </w:t>
      </w:r>
      <w:r w:rsidR="00D7256C">
        <w:rPr>
          <w:b/>
          <w:spacing w:val="-3"/>
        </w:rPr>
        <w:t xml:space="preserve">Dr. h.c. </w:t>
      </w:r>
      <w:r w:rsidRPr="00F625ED">
        <w:rPr>
          <w:b/>
          <w:spacing w:val="-3"/>
        </w:rPr>
        <w:t>Bernd Heinrich/</w:t>
      </w:r>
      <w:r w:rsidR="008E54F4">
        <w:rPr>
          <w:b/>
          <w:spacing w:val="-3"/>
        </w:rPr>
        <w:t>Prof</w:t>
      </w:r>
      <w:r w:rsidR="001E409A">
        <w:rPr>
          <w:b/>
          <w:spacing w:val="-3"/>
        </w:rPr>
        <w:t xml:space="preserve">. </w:t>
      </w:r>
      <w:r w:rsidRPr="00F625ED">
        <w:rPr>
          <w:b/>
          <w:spacing w:val="-3"/>
        </w:rPr>
        <w:t>Dr. Tobias Reinbacher</w:t>
      </w:r>
      <w:r w:rsidRPr="00F625ED">
        <w:rPr>
          <w:b/>
          <w:spacing w:val="-3"/>
        </w:rPr>
        <w:tab/>
        <w:t xml:space="preserve">Stand: 1. </w:t>
      </w:r>
      <w:r w:rsidR="007C70C0">
        <w:rPr>
          <w:b/>
          <w:spacing w:val="-3"/>
        </w:rPr>
        <w:t>Oktober</w:t>
      </w:r>
      <w:r w:rsidR="00A94345">
        <w:rPr>
          <w:b/>
          <w:spacing w:val="-3"/>
        </w:rPr>
        <w:t xml:space="preserve"> </w:t>
      </w:r>
      <w:r w:rsidR="00FC469A">
        <w:rPr>
          <w:b/>
          <w:spacing w:val="-3"/>
        </w:rPr>
        <w:t>202</w:t>
      </w:r>
      <w:r w:rsidR="00901A1D">
        <w:rPr>
          <w:b/>
          <w:spacing w:val="-3"/>
        </w:rPr>
        <w:t>4</w:t>
      </w:r>
    </w:p>
    <w:p w14:paraId="7F106E1A" w14:textId="77777777" w:rsidR="00226339" w:rsidRDefault="00226339">
      <w:pPr>
        <w:tabs>
          <w:tab w:val="left" w:pos="-720"/>
        </w:tabs>
        <w:jc w:val="both"/>
        <w:rPr>
          <w:spacing w:val="-3"/>
        </w:rPr>
      </w:pPr>
    </w:p>
    <w:p w14:paraId="345CDE0C" w14:textId="621B2F0E" w:rsidR="00226339" w:rsidRDefault="00226339" w:rsidP="00226339">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w:t>
      </w:r>
      <w:r w:rsidR="007A0C67">
        <w:rPr>
          <w:b/>
          <w:spacing w:val="-3"/>
        </w:rPr>
        <w:t> </w:t>
      </w:r>
      <w:r>
        <w:rPr>
          <w:b/>
          <w:spacing w:val="-3"/>
        </w:rPr>
        <w:t>1</w:t>
      </w:r>
    </w:p>
    <w:p w14:paraId="69BF3CE9" w14:textId="77777777" w:rsidR="00226339" w:rsidRDefault="00226339" w:rsidP="00226339">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7"/>
          <w:sz w:val="60"/>
        </w:rPr>
      </w:pPr>
      <w:r>
        <w:rPr>
          <w:b/>
          <w:spacing w:val="-7"/>
          <w:sz w:val="60"/>
        </w:rPr>
        <w:t>Ablauf des Strafverfahrens</w:t>
      </w:r>
    </w:p>
    <w:p w14:paraId="6890AC94" w14:textId="77777777" w:rsidR="00226339" w:rsidRDefault="00226339">
      <w:pPr>
        <w:pStyle w:val="Beschriftung"/>
        <w:framePr w:w="9726" w:h="1417" w:hSpace="240" w:vSpace="120" w:wrap="auto" w:vAnchor="text" w:hAnchor="margin" w:x="241" w:y="121"/>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vanish/>
          <w:spacing w:val="-7"/>
          <w:sz w:val="60"/>
        </w:rPr>
      </w:pPr>
      <w:r>
        <w:rPr>
          <w:rFonts w:ascii="Times New Roman" w:hAnsi="Times New Roman"/>
          <w:vanish/>
          <w:spacing w:val="-7"/>
          <w:sz w:val="60"/>
        </w:rPr>
        <w:fldChar w:fldCharType="begin"/>
      </w:r>
      <w:r w:rsidR="000901ED">
        <w:rPr>
          <w:rFonts w:ascii="Times New Roman" w:hAnsi="Times New Roman"/>
          <w:vanish/>
          <w:spacing w:val="-7"/>
          <w:sz w:val="60"/>
        </w:rPr>
        <w:instrText>SEQ</w:instrText>
      </w:r>
      <w:r>
        <w:rPr>
          <w:rFonts w:ascii="Times New Roman" w:hAnsi="Times New Roman"/>
          <w:vanish/>
          <w:spacing w:val="-7"/>
          <w:sz w:val="60"/>
        </w:rPr>
        <w:instrText xml:space="preserve"> Text_Box  \* ARABIC</w:instrText>
      </w:r>
      <w:r>
        <w:rPr>
          <w:rFonts w:ascii="Times New Roman" w:hAnsi="Times New Roman"/>
          <w:vanish/>
          <w:spacing w:val="-7"/>
          <w:sz w:val="60"/>
        </w:rPr>
        <w:fldChar w:fldCharType="separate"/>
      </w:r>
      <w:r w:rsidR="00484899">
        <w:rPr>
          <w:rFonts w:ascii="Times New Roman" w:hAnsi="Times New Roman"/>
          <w:noProof/>
          <w:vanish/>
          <w:spacing w:val="-7"/>
          <w:sz w:val="60"/>
        </w:rPr>
        <w:t>1</w:t>
      </w:r>
      <w:r>
        <w:rPr>
          <w:rFonts w:ascii="Times New Roman" w:hAnsi="Times New Roman"/>
          <w:vanish/>
          <w:spacing w:val="-7"/>
          <w:sz w:val="60"/>
        </w:rPr>
        <w:fldChar w:fldCharType="end"/>
      </w:r>
    </w:p>
    <w:p w14:paraId="1139A63A" w14:textId="77777777" w:rsidR="00226339" w:rsidRDefault="00226339">
      <w:pPr>
        <w:widowControl/>
        <w:tabs>
          <w:tab w:val="left" w:pos="-720"/>
          <w:tab w:val="left" w:pos="0"/>
          <w:tab w:val="left" w:pos="576"/>
          <w:tab w:val="left" w:pos="864"/>
          <w:tab w:val="left" w:pos="1116"/>
          <w:tab w:val="left" w:pos="1404"/>
          <w:tab w:val="left" w:pos="1692"/>
          <w:tab w:val="left" w:pos="1980"/>
          <w:tab w:val="left" w:pos="2268"/>
          <w:tab w:val="left" w:pos="2880"/>
        </w:tabs>
        <w:ind w:left="567" w:hanging="567"/>
        <w:jc w:val="both"/>
        <w:rPr>
          <w:rFonts w:ascii="Times New Roman" w:hAnsi="Times New Roman"/>
          <w:b/>
          <w:spacing w:val="-2"/>
          <w:sz w:val="18"/>
        </w:rPr>
      </w:pPr>
    </w:p>
    <w:p w14:paraId="6BAAA73B" w14:textId="77777777" w:rsidR="00226339" w:rsidRPr="00225ECD" w:rsidRDefault="00226339" w:rsidP="00226339">
      <w:pPr>
        <w:widowControl/>
        <w:tabs>
          <w:tab w:val="left" w:pos="-720"/>
          <w:tab w:val="left" w:pos="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9"/>
          <w:szCs w:val="19"/>
        </w:rPr>
      </w:pPr>
      <w:r w:rsidRPr="00225ECD">
        <w:rPr>
          <w:rFonts w:ascii="Times New Roman" w:hAnsi="Times New Roman"/>
          <w:b/>
          <w:spacing w:val="-2"/>
          <w:sz w:val="19"/>
          <w:szCs w:val="19"/>
        </w:rPr>
        <w:t>I. Allgemeines</w:t>
      </w:r>
      <w:r w:rsidRPr="00225ECD">
        <w:rPr>
          <w:rFonts w:ascii="Times New Roman" w:hAnsi="Times New Roman"/>
          <w:spacing w:val="-2"/>
          <w:sz w:val="19"/>
          <w:szCs w:val="19"/>
        </w:rPr>
        <w:t>: Das Strafverfahren dient der Feststellung und gegebenenfalls der Durchsetzung des staatlichen Strafanspruchs</w:t>
      </w:r>
      <w:r w:rsidR="007E0FCF" w:rsidRPr="00225ECD">
        <w:rPr>
          <w:rFonts w:ascii="Times New Roman" w:hAnsi="Times New Roman"/>
          <w:spacing w:val="-2"/>
          <w:sz w:val="19"/>
          <w:szCs w:val="19"/>
        </w:rPr>
        <w:t xml:space="preserve"> im Einzelfall</w:t>
      </w:r>
      <w:r w:rsidRPr="00225ECD">
        <w:rPr>
          <w:rFonts w:ascii="Times New Roman" w:hAnsi="Times New Roman"/>
          <w:spacing w:val="-2"/>
          <w:sz w:val="19"/>
          <w:szCs w:val="19"/>
        </w:rPr>
        <w:t xml:space="preserve">. Gemäß dieser Aufgabenstellung zerfällt es in mehrere Verfahrensabschnitte. Zunächst wird im </w:t>
      </w:r>
      <w:r w:rsidRPr="00225ECD">
        <w:rPr>
          <w:rFonts w:ascii="Times New Roman" w:hAnsi="Times New Roman"/>
          <w:b/>
          <w:spacing w:val="-2"/>
          <w:sz w:val="19"/>
          <w:szCs w:val="19"/>
        </w:rPr>
        <w:t>Erkenntnisverfahren</w:t>
      </w:r>
      <w:r w:rsidRPr="00225ECD">
        <w:rPr>
          <w:rFonts w:ascii="Times New Roman" w:hAnsi="Times New Roman"/>
          <w:spacing w:val="-2"/>
          <w:sz w:val="19"/>
          <w:szCs w:val="19"/>
        </w:rPr>
        <w:t xml:space="preserve"> durch staatsanwaltliche Ermittlung und richterliche Entscheidung festgestellt, ob im konkreten Einzelfall ein solcher Strafanspruch besteht. Ist dies der Fall, d.h. erkennt das Gericht auf eine Geld- oder Freiheitsstrafe, so schließt sich nach Rechtskraft des Urteils das </w:t>
      </w:r>
      <w:r w:rsidRPr="00225ECD">
        <w:rPr>
          <w:rFonts w:ascii="Times New Roman" w:hAnsi="Times New Roman"/>
          <w:b/>
          <w:spacing w:val="-2"/>
          <w:sz w:val="19"/>
          <w:szCs w:val="19"/>
        </w:rPr>
        <w:t>Vollstreckungsverfahren</w:t>
      </w:r>
      <w:r w:rsidRPr="00225ECD">
        <w:rPr>
          <w:rFonts w:ascii="Times New Roman" w:hAnsi="Times New Roman"/>
          <w:spacing w:val="-2"/>
          <w:sz w:val="19"/>
          <w:szCs w:val="19"/>
        </w:rPr>
        <w:t xml:space="preserve"> an, in welchem diese Strafen vollstreckt werden. </w:t>
      </w:r>
    </w:p>
    <w:p w14:paraId="0CDE6A10" w14:textId="77777777" w:rsidR="00226339" w:rsidRPr="00225ECD" w:rsidRDefault="00226339" w:rsidP="00226339">
      <w:pPr>
        <w:widowControl/>
        <w:tabs>
          <w:tab w:val="left" w:pos="-720"/>
          <w:tab w:val="left" w:pos="0"/>
          <w:tab w:val="left" w:pos="288"/>
          <w:tab w:val="left" w:pos="576"/>
          <w:tab w:val="left" w:pos="864"/>
          <w:tab w:val="left" w:pos="1116"/>
          <w:tab w:val="left" w:pos="1404"/>
          <w:tab w:val="left" w:pos="1692"/>
          <w:tab w:val="left" w:pos="1980"/>
          <w:tab w:val="left" w:pos="2268"/>
          <w:tab w:val="left" w:pos="2880"/>
        </w:tabs>
        <w:spacing w:before="120"/>
        <w:jc w:val="both"/>
        <w:rPr>
          <w:rFonts w:ascii="Times New Roman" w:hAnsi="Times New Roman"/>
          <w:spacing w:val="-2"/>
          <w:sz w:val="19"/>
          <w:szCs w:val="19"/>
        </w:rPr>
      </w:pPr>
      <w:r w:rsidRPr="00225ECD">
        <w:rPr>
          <w:rFonts w:ascii="Times New Roman" w:hAnsi="Times New Roman"/>
          <w:b/>
          <w:spacing w:val="-2"/>
          <w:sz w:val="19"/>
          <w:szCs w:val="19"/>
        </w:rPr>
        <w:t xml:space="preserve">II. Das Erkenntnisverfahren: </w:t>
      </w:r>
      <w:r w:rsidRPr="00225ECD">
        <w:rPr>
          <w:rFonts w:ascii="Times New Roman" w:hAnsi="Times New Roman"/>
          <w:spacing w:val="-2"/>
          <w:sz w:val="19"/>
          <w:szCs w:val="19"/>
        </w:rPr>
        <w:t xml:space="preserve">Das Erkenntnisverfahren untergliedert sich selbst wiederum in </w:t>
      </w:r>
      <w:r w:rsidRPr="00225ECD">
        <w:rPr>
          <w:rFonts w:ascii="Times New Roman" w:hAnsi="Times New Roman"/>
          <w:b/>
          <w:spacing w:val="-2"/>
          <w:sz w:val="19"/>
          <w:szCs w:val="19"/>
        </w:rPr>
        <w:t>verschiedene Verfahrensabschnitte</w:t>
      </w:r>
      <w:r w:rsidRPr="00225ECD">
        <w:rPr>
          <w:rFonts w:ascii="Times New Roman" w:hAnsi="Times New Roman"/>
          <w:spacing w:val="-2"/>
          <w:sz w:val="19"/>
          <w:szCs w:val="19"/>
        </w:rPr>
        <w:t xml:space="preserve">. </w:t>
      </w:r>
    </w:p>
    <w:p w14:paraId="4B97A361" w14:textId="232D87CC" w:rsidR="00226339" w:rsidRPr="00225ECD" w:rsidRDefault="00226339" w:rsidP="00226339">
      <w:pPr>
        <w:widowControl/>
        <w:tabs>
          <w:tab w:val="left" w:pos="-720"/>
          <w:tab w:val="left" w:pos="288"/>
          <w:tab w:val="left" w:pos="576"/>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19"/>
          <w:szCs w:val="19"/>
        </w:rPr>
      </w:pPr>
      <w:r w:rsidRPr="00225ECD">
        <w:rPr>
          <w:rFonts w:ascii="Times New Roman" w:hAnsi="Times New Roman"/>
          <w:spacing w:val="-2"/>
          <w:sz w:val="19"/>
          <w:szCs w:val="19"/>
        </w:rPr>
        <w:tab/>
      </w:r>
      <w:r w:rsidRPr="00225ECD">
        <w:rPr>
          <w:rFonts w:ascii="Times New Roman" w:hAnsi="Times New Roman"/>
          <w:spacing w:val="-2"/>
          <w:sz w:val="19"/>
          <w:szCs w:val="19"/>
          <w:u w:val="single"/>
        </w:rPr>
        <w:t>1. Das Vorverfahren:</w:t>
      </w:r>
      <w:r w:rsidRPr="00225ECD">
        <w:rPr>
          <w:rFonts w:ascii="Times New Roman" w:hAnsi="Times New Roman"/>
          <w:spacing w:val="-2"/>
          <w:sz w:val="19"/>
          <w:szCs w:val="19"/>
        </w:rPr>
        <w:t xml:space="preserve"> Es beginnt mit dem </w:t>
      </w:r>
      <w:r w:rsidRPr="00225ECD">
        <w:rPr>
          <w:rFonts w:ascii="Times New Roman" w:hAnsi="Times New Roman"/>
          <w:b/>
          <w:spacing w:val="-2"/>
          <w:sz w:val="19"/>
          <w:szCs w:val="19"/>
        </w:rPr>
        <w:t>Vorverfahren</w:t>
      </w:r>
      <w:r w:rsidRPr="00225ECD">
        <w:rPr>
          <w:rFonts w:ascii="Times New Roman" w:hAnsi="Times New Roman"/>
          <w:spacing w:val="-2"/>
          <w:sz w:val="19"/>
          <w:szCs w:val="19"/>
        </w:rPr>
        <w:t>, §§</w:t>
      </w:r>
      <w:r w:rsidR="00362722">
        <w:rPr>
          <w:rFonts w:ascii="Times New Roman" w:hAnsi="Times New Roman"/>
          <w:spacing w:val="-2"/>
          <w:sz w:val="19"/>
          <w:szCs w:val="19"/>
        </w:rPr>
        <w:t> </w:t>
      </w:r>
      <w:r w:rsidRPr="00225ECD">
        <w:rPr>
          <w:rFonts w:ascii="Times New Roman" w:hAnsi="Times New Roman"/>
          <w:spacing w:val="-2"/>
          <w:sz w:val="19"/>
          <w:szCs w:val="19"/>
        </w:rPr>
        <w:t>160-177 StPO, welches unter der Herrschaft der Staatsanwaltschaft steht, der Ermittlung eines hinreichenden Tatverdachts dient und mit Anklageerhebung oder Einstellung des Verfahrens endet, vgl. §</w:t>
      </w:r>
      <w:r w:rsidR="00362722">
        <w:rPr>
          <w:rFonts w:ascii="Times New Roman" w:hAnsi="Times New Roman"/>
          <w:spacing w:val="-2"/>
          <w:sz w:val="19"/>
          <w:szCs w:val="19"/>
        </w:rPr>
        <w:t> </w:t>
      </w:r>
      <w:r w:rsidRPr="00225ECD">
        <w:rPr>
          <w:rFonts w:ascii="Times New Roman" w:hAnsi="Times New Roman"/>
          <w:spacing w:val="-2"/>
          <w:sz w:val="19"/>
          <w:szCs w:val="19"/>
        </w:rPr>
        <w:t>170 StPO (siehe dazu noch gesondertes Arbeitsblatt Nr.</w:t>
      </w:r>
      <w:r w:rsidR="00362722">
        <w:rPr>
          <w:rFonts w:ascii="Times New Roman" w:hAnsi="Times New Roman"/>
          <w:spacing w:val="-2"/>
          <w:sz w:val="19"/>
          <w:szCs w:val="19"/>
        </w:rPr>
        <w:t> </w:t>
      </w:r>
      <w:r w:rsidRPr="00225ECD">
        <w:rPr>
          <w:rFonts w:ascii="Times New Roman" w:hAnsi="Times New Roman"/>
          <w:spacing w:val="-2"/>
          <w:sz w:val="19"/>
          <w:szCs w:val="19"/>
        </w:rPr>
        <w:t>2).</w:t>
      </w:r>
    </w:p>
    <w:p w14:paraId="1363A997" w14:textId="24BF52D6" w:rsidR="00226339" w:rsidRPr="00225ECD" w:rsidRDefault="00226339" w:rsidP="00226339">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19"/>
          <w:szCs w:val="19"/>
        </w:rPr>
      </w:pPr>
      <w:r w:rsidRPr="00225ECD">
        <w:rPr>
          <w:rFonts w:ascii="Times New Roman" w:hAnsi="Times New Roman"/>
          <w:spacing w:val="-2"/>
          <w:sz w:val="19"/>
          <w:szCs w:val="19"/>
        </w:rPr>
        <w:tab/>
      </w:r>
      <w:r w:rsidRPr="00225ECD">
        <w:rPr>
          <w:rFonts w:ascii="Times New Roman" w:hAnsi="Times New Roman"/>
          <w:spacing w:val="-2"/>
          <w:sz w:val="19"/>
          <w:szCs w:val="19"/>
          <w:u w:val="single"/>
        </w:rPr>
        <w:t>2. Das Zwischenverfahren:</w:t>
      </w:r>
      <w:r w:rsidRPr="00225ECD">
        <w:rPr>
          <w:rFonts w:ascii="Times New Roman" w:hAnsi="Times New Roman"/>
          <w:spacing w:val="-2"/>
          <w:sz w:val="19"/>
          <w:szCs w:val="19"/>
        </w:rPr>
        <w:t xml:space="preserve"> Bei Erhebung der öffentlichen Klage durch die Staatsanwaltschaft schließt sich das </w:t>
      </w:r>
      <w:r w:rsidRPr="00225ECD">
        <w:rPr>
          <w:rFonts w:ascii="Times New Roman" w:hAnsi="Times New Roman"/>
          <w:b/>
          <w:spacing w:val="-2"/>
          <w:sz w:val="19"/>
          <w:szCs w:val="19"/>
        </w:rPr>
        <w:t>Zwischenverfahren</w:t>
      </w:r>
      <w:r w:rsidRPr="00225ECD">
        <w:rPr>
          <w:rFonts w:ascii="Times New Roman" w:hAnsi="Times New Roman"/>
          <w:spacing w:val="-2"/>
          <w:sz w:val="19"/>
          <w:szCs w:val="19"/>
        </w:rPr>
        <w:t>, §§ 199-211 StPO, an, in welchem sich das Gericht erstmalig mit der Anklage befasst und ihre Zulassung zur Hauptverhandlung überprüft (siehe dazu noch gesondertes Arbeitsblatt Nr.</w:t>
      </w:r>
      <w:r w:rsidR="00362722">
        <w:rPr>
          <w:rFonts w:ascii="Times New Roman" w:hAnsi="Times New Roman"/>
          <w:spacing w:val="-2"/>
          <w:sz w:val="19"/>
          <w:szCs w:val="19"/>
        </w:rPr>
        <w:t> </w:t>
      </w:r>
      <w:r w:rsidRPr="00225ECD">
        <w:rPr>
          <w:rFonts w:ascii="Times New Roman" w:hAnsi="Times New Roman"/>
          <w:spacing w:val="-2"/>
          <w:sz w:val="19"/>
          <w:szCs w:val="19"/>
        </w:rPr>
        <w:t>3).</w:t>
      </w:r>
    </w:p>
    <w:p w14:paraId="716DC82A" w14:textId="47E90999" w:rsidR="00226339" w:rsidRPr="00225ECD" w:rsidRDefault="00226339" w:rsidP="00226339">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19"/>
          <w:szCs w:val="19"/>
        </w:rPr>
      </w:pPr>
      <w:r w:rsidRPr="00225ECD">
        <w:rPr>
          <w:rFonts w:ascii="Times New Roman" w:hAnsi="Times New Roman"/>
          <w:spacing w:val="-2"/>
          <w:sz w:val="19"/>
          <w:szCs w:val="19"/>
        </w:rPr>
        <w:tab/>
      </w:r>
      <w:r w:rsidRPr="00225ECD">
        <w:rPr>
          <w:rFonts w:ascii="Times New Roman" w:hAnsi="Times New Roman"/>
          <w:spacing w:val="-2"/>
          <w:sz w:val="19"/>
          <w:szCs w:val="19"/>
          <w:u w:val="single"/>
        </w:rPr>
        <w:t>3. Das Hauptverfahren:</w:t>
      </w:r>
      <w:r w:rsidRPr="00225ECD">
        <w:rPr>
          <w:rFonts w:ascii="Times New Roman" w:hAnsi="Times New Roman"/>
          <w:spacing w:val="-2"/>
          <w:sz w:val="19"/>
          <w:szCs w:val="19"/>
        </w:rPr>
        <w:t xml:space="preserve"> Hat auch das Gericht im Zwischenverfahren hinreichende Verdachtsgründe ausgemacht und mittels Eröffnungsbeschlusses das </w:t>
      </w:r>
      <w:r w:rsidRPr="00225ECD">
        <w:rPr>
          <w:rFonts w:ascii="Times New Roman" w:hAnsi="Times New Roman"/>
          <w:b/>
          <w:spacing w:val="-2"/>
          <w:sz w:val="19"/>
          <w:szCs w:val="19"/>
        </w:rPr>
        <w:t xml:space="preserve">Hauptverfahren, </w:t>
      </w:r>
      <w:r w:rsidRPr="00225ECD">
        <w:rPr>
          <w:rFonts w:ascii="Times New Roman" w:hAnsi="Times New Roman"/>
          <w:spacing w:val="-2"/>
          <w:sz w:val="19"/>
          <w:szCs w:val="19"/>
        </w:rPr>
        <w:t>§§</w:t>
      </w:r>
      <w:r w:rsidR="00362722">
        <w:rPr>
          <w:rFonts w:ascii="Times New Roman" w:hAnsi="Times New Roman"/>
          <w:spacing w:val="-2"/>
          <w:sz w:val="19"/>
          <w:szCs w:val="19"/>
        </w:rPr>
        <w:t> </w:t>
      </w:r>
      <w:r w:rsidRPr="00225ECD">
        <w:rPr>
          <w:rFonts w:ascii="Times New Roman" w:hAnsi="Times New Roman"/>
          <w:spacing w:val="-2"/>
          <w:sz w:val="19"/>
          <w:szCs w:val="19"/>
        </w:rPr>
        <w:t xml:space="preserve">213-295 StPO, eröffnet, so erfolgt die weitere Erkenntnisfindung nun in einer (in der Regel) öffentlichen </w:t>
      </w:r>
      <w:r w:rsidRPr="00225ECD">
        <w:rPr>
          <w:rFonts w:ascii="Times New Roman" w:hAnsi="Times New Roman"/>
          <w:b/>
          <w:spacing w:val="-2"/>
          <w:sz w:val="19"/>
          <w:szCs w:val="19"/>
        </w:rPr>
        <w:t>Hauptverhandlung</w:t>
      </w:r>
      <w:r w:rsidRPr="00225ECD">
        <w:rPr>
          <w:rFonts w:ascii="Times New Roman" w:hAnsi="Times New Roman"/>
          <w:spacing w:val="-2"/>
          <w:sz w:val="19"/>
          <w:szCs w:val="19"/>
        </w:rPr>
        <w:t xml:space="preserve"> vor Gericht. Das Hauptverfahren besteht dabei wiederum aus Vorbereitung, §§ 213 ff. StPO, und Durchführung, §§</w:t>
      </w:r>
      <w:r w:rsidR="00362722">
        <w:rPr>
          <w:rFonts w:ascii="Times New Roman" w:hAnsi="Times New Roman"/>
          <w:spacing w:val="-2"/>
          <w:sz w:val="19"/>
          <w:szCs w:val="19"/>
        </w:rPr>
        <w:t> </w:t>
      </w:r>
      <w:r w:rsidRPr="00225ECD">
        <w:rPr>
          <w:rFonts w:ascii="Times New Roman" w:hAnsi="Times New Roman"/>
          <w:spacing w:val="-2"/>
          <w:sz w:val="19"/>
          <w:szCs w:val="19"/>
        </w:rPr>
        <w:t>226 ff. StPO, der Hauptverhandlung. Diese endet in der Regel entweder mit der Einstellung des Verfahrens, §§ 153 ff. StPO, oder einem Urteil, § 260 StPO, welches einen Freispruch oder eine Verurteilung beinhalten kann (siehe dazu noch gesondertes Arbeitsblatt Nr.</w:t>
      </w:r>
      <w:r w:rsidR="00AD240D">
        <w:rPr>
          <w:rFonts w:ascii="Times New Roman" w:hAnsi="Times New Roman"/>
          <w:spacing w:val="-2"/>
          <w:sz w:val="19"/>
          <w:szCs w:val="19"/>
        </w:rPr>
        <w:t> </w:t>
      </w:r>
      <w:r w:rsidRPr="00225ECD">
        <w:rPr>
          <w:rFonts w:ascii="Times New Roman" w:hAnsi="Times New Roman"/>
          <w:spacing w:val="-2"/>
          <w:sz w:val="19"/>
          <w:szCs w:val="19"/>
        </w:rPr>
        <w:t>4).</w:t>
      </w:r>
    </w:p>
    <w:p w14:paraId="1BA4E9F2" w14:textId="34A03D93" w:rsidR="00226339" w:rsidRPr="00225ECD" w:rsidRDefault="00226339" w:rsidP="00226339">
      <w:pPr>
        <w:widowControl/>
        <w:tabs>
          <w:tab w:val="left" w:pos="-720"/>
          <w:tab w:val="left" w:pos="288"/>
          <w:tab w:val="left" w:pos="576"/>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19"/>
          <w:szCs w:val="19"/>
        </w:rPr>
      </w:pPr>
      <w:r w:rsidRPr="00225ECD">
        <w:rPr>
          <w:rFonts w:ascii="Times New Roman" w:hAnsi="Times New Roman"/>
          <w:spacing w:val="-2"/>
          <w:sz w:val="19"/>
          <w:szCs w:val="19"/>
        </w:rPr>
        <w:tab/>
      </w:r>
      <w:r w:rsidRPr="00225ECD">
        <w:rPr>
          <w:rFonts w:ascii="Times New Roman" w:hAnsi="Times New Roman"/>
          <w:spacing w:val="-2"/>
          <w:sz w:val="19"/>
          <w:szCs w:val="19"/>
          <w:u w:val="single"/>
        </w:rPr>
        <w:t>4. Das Rechtsmittelverfahren (evtl.):</w:t>
      </w:r>
      <w:r w:rsidRPr="00225ECD">
        <w:rPr>
          <w:rFonts w:ascii="Times New Roman" w:hAnsi="Times New Roman"/>
          <w:spacing w:val="-2"/>
          <w:sz w:val="19"/>
          <w:szCs w:val="19"/>
        </w:rPr>
        <w:t xml:space="preserve"> Nicht obligatorisch, sondern nur bei rechtzeitiger Einlegung eines Rechtsmittels durch die Staatsanwaltschaft oder den Angeklagten, kann sich nun das </w:t>
      </w:r>
      <w:r w:rsidRPr="00225ECD">
        <w:rPr>
          <w:rFonts w:ascii="Times New Roman" w:hAnsi="Times New Roman"/>
          <w:b/>
          <w:spacing w:val="-2"/>
          <w:sz w:val="19"/>
          <w:szCs w:val="19"/>
        </w:rPr>
        <w:t>Rechtsmittelverfahren</w:t>
      </w:r>
      <w:r w:rsidRPr="00225ECD">
        <w:rPr>
          <w:rFonts w:ascii="Times New Roman" w:hAnsi="Times New Roman"/>
          <w:spacing w:val="-2"/>
          <w:sz w:val="19"/>
          <w:szCs w:val="19"/>
        </w:rPr>
        <w:t xml:space="preserve"> anschließen, welches wiederum entweder eine Berufung, §§ 312 ff. StPO, und/oder eine Revision, §§ 333 ff. StPO, zum Gegenstand haben kann. Wird kein Rechtsmittel eingelegt oder erfolgt die Einlegung nicht rechtzeitig, so wird das Urteil rechtskräftig. Ab der Rechtskraft kann das Vollstreckungsverfahren eingeleitet werden. Nur in ganz eng umgrenzten Fällen ist einmal trotz Eintritt materieller Rechtskraft auch eine Wiederaufnahme des Verfahrens möglich, vgl. die §§ 359 ff. StPO, insbesondere wenn plötzlich neue Beweismittel auftauchen, die zu einer anderen Entscheidung führen können (siehe zu den Rechtsmitteln noch die gesonderten Arbeitsblätter Nr.</w:t>
      </w:r>
      <w:r w:rsidR="00362722">
        <w:rPr>
          <w:rFonts w:ascii="Times New Roman" w:hAnsi="Times New Roman"/>
          <w:spacing w:val="-2"/>
          <w:sz w:val="19"/>
          <w:szCs w:val="19"/>
        </w:rPr>
        <w:t> </w:t>
      </w:r>
      <w:r w:rsidRPr="00225ECD">
        <w:rPr>
          <w:rFonts w:ascii="Times New Roman" w:hAnsi="Times New Roman"/>
          <w:spacing w:val="-2"/>
          <w:sz w:val="19"/>
          <w:szCs w:val="19"/>
        </w:rPr>
        <w:t>43-46; zur Wiederaufnahme Arbeitsblatt Nr.</w:t>
      </w:r>
      <w:r w:rsidR="00362722">
        <w:rPr>
          <w:rFonts w:ascii="Times New Roman" w:hAnsi="Times New Roman"/>
          <w:spacing w:val="-2"/>
          <w:sz w:val="19"/>
          <w:szCs w:val="19"/>
        </w:rPr>
        <w:t> </w:t>
      </w:r>
      <w:r w:rsidRPr="00225ECD">
        <w:rPr>
          <w:rFonts w:ascii="Times New Roman" w:hAnsi="Times New Roman"/>
          <w:spacing w:val="-2"/>
          <w:sz w:val="19"/>
          <w:szCs w:val="19"/>
        </w:rPr>
        <w:t>50).</w:t>
      </w:r>
    </w:p>
    <w:p w14:paraId="20AFB7F7" w14:textId="32A64B30" w:rsidR="00226339" w:rsidRPr="00225ECD" w:rsidRDefault="00226339" w:rsidP="00226339">
      <w:pPr>
        <w:widowControl/>
        <w:tabs>
          <w:tab w:val="left" w:pos="-720"/>
          <w:tab w:val="left" w:pos="284"/>
          <w:tab w:val="left" w:pos="864"/>
          <w:tab w:val="left" w:pos="1116"/>
          <w:tab w:val="left" w:pos="1404"/>
          <w:tab w:val="left" w:pos="1692"/>
          <w:tab w:val="left" w:pos="1980"/>
          <w:tab w:val="left" w:pos="2268"/>
          <w:tab w:val="left" w:pos="2880"/>
        </w:tabs>
        <w:spacing w:before="120"/>
        <w:ind w:left="284" w:hanging="284"/>
        <w:jc w:val="both"/>
        <w:rPr>
          <w:rFonts w:ascii="Times New Roman" w:hAnsi="Times New Roman"/>
          <w:spacing w:val="-2"/>
          <w:sz w:val="19"/>
          <w:szCs w:val="19"/>
          <w:u w:val="single"/>
        </w:rPr>
      </w:pPr>
      <w:r w:rsidRPr="00225ECD">
        <w:rPr>
          <w:rFonts w:ascii="Times New Roman" w:hAnsi="Times New Roman"/>
          <w:b/>
          <w:spacing w:val="-2"/>
          <w:sz w:val="19"/>
          <w:szCs w:val="19"/>
        </w:rPr>
        <w:t xml:space="preserve">III. Das Vollstreckungsverfahren: </w:t>
      </w:r>
      <w:r w:rsidRPr="00225ECD">
        <w:rPr>
          <w:rFonts w:ascii="Times New Roman" w:hAnsi="Times New Roman"/>
          <w:spacing w:val="-2"/>
          <w:sz w:val="19"/>
          <w:szCs w:val="19"/>
        </w:rPr>
        <w:t>Erkennt das Gericht im Strafurteil auf Geld- oder Freiheitsstrafe und wird dieses Urteil rechtskräftig, so folgt nun das Vollstreckungsverfahren, §§ 449 ff. StPO, welches wiederum in den Händen der Staatsanwaltschaft liegt.</w:t>
      </w:r>
    </w:p>
    <w:p w14:paraId="10314A69" w14:textId="23CB04C2" w:rsidR="00226339" w:rsidRPr="00225ECD" w:rsidRDefault="00226339" w:rsidP="00226339">
      <w:pPr>
        <w:widowControl/>
        <w:tabs>
          <w:tab w:val="left" w:pos="-720"/>
          <w:tab w:val="left" w:pos="0"/>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9"/>
          <w:szCs w:val="19"/>
        </w:rPr>
      </w:pPr>
      <w:r w:rsidRPr="00225ECD">
        <w:rPr>
          <w:rFonts w:ascii="Times New Roman" w:hAnsi="Times New Roman"/>
          <w:spacing w:val="-2"/>
          <w:sz w:val="19"/>
          <w:szCs w:val="19"/>
          <w:u w:val="single"/>
        </w:rPr>
        <w:t>1. Voraussetzung:</w:t>
      </w:r>
      <w:r w:rsidRPr="00225ECD">
        <w:rPr>
          <w:rFonts w:ascii="Times New Roman" w:hAnsi="Times New Roman"/>
          <w:spacing w:val="-2"/>
          <w:sz w:val="19"/>
          <w:szCs w:val="19"/>
        </w:rPr>
        <w:t xml:space="preserve"> Das Urteil muss eine </w:t>
      </w:r>
      <w:r w:rsidRPr="00225ECD">
        <w:rPr>
          <w:rFonts w:ascii="Times New Roman" w:hAnsi="Times New Roman"/>
          <w:b/>
          <w:spacing w:val="-2"/>
          <w:sz w:val="19"/>
          <w:szCs w:val="19"/>
        </w:rPr>
        <w:t>Geld- oder Freiheitsstrafe</w:t>
      </w:r>
      <w:r w:rsidRPr="00225ECD">
        <w:rPr>
          <w:rFonts w:ascii="Times New Roman" w:hAnsi="Times New Roman"/>
          <w:spacing w:val="-2"/>
          <w:sz w:val="19"/>
          <w:szCs w:val="19"/>
        </w:rPr>
        <w:t xml:space="preserve"> beinhalten. Bei Verwarnungen o.ä. (vgl. insbesondere das Jugendstrafrecht bzw. die §§ 59 ff. StGB) entfällt ein Vollstreckungsverfahren. Zweite Voraussetzung ist die </w:t>
      </w:r>
      <w:r w:rsidR="00C00973">
        <w:rPr>
          <w:rFonts w:ascii="Times New Roman" w:hAnsi="Times New Roman"/>
          <w:spacing w:val="-2"/>
          <w:sz w:val="19"/>
          <w:szCs w:val="19"/>
        </w:rPr>
        <w:t xml:space="preserve">formelle </w:t>
      </w:r>
      <w:r w:rsidRPr="00225ECD">
        <w:rPr>
          <w:rFonts w:ascii="Times New Roman" w:hAnsi="Times New Roman"/>
          <w:b/>
          <w:spacing w:val="-2"/>
          <w:sz w:val="19"/>
          <w:szCs w:val="19"/>
        </w:rPr>
        <w:t>Rechtskraft</w:t>
      </w:r>
      <w:r w:rsidRPr="00225ECD">
        <w:rPr>
          <w:rFonts w:ascii="Times New Roman" w:hAnsi="Times New Roman"/>
          <w:spacing w:val="-2"/>
          <w:sz w:val="19"/>
          <w:szCs w:val="19"/>
        </w:rPr>
        <w:t xml:space="preserve"> der Entscheidung, § 449 StPO</w:t>
      </w:r>
      <w:r w:rsidR="00C00973">
        <w:rPr>
          <w:rFonts w:ascii="Times New Roman" w:hAnsi="Times New Roman"/>
          <w:spacing w:val="-2"/>
          <w:sz w:val="19"/>
          <w:szCs w:val="19"/>
        </w:rPr>
        <w:t xml:space="preserve"> (vgl. dazu Arbeitsblatt Nr.</w:t>
      </w:r>
      <w:r w:rsidR="00362722">
        <w:rPr>
          <w:rFonts w:ascii="Times New Roman" w:hAnsi="Times New Roman"/>
          <w:spacing w:val="-2"/>
          <w:sz w:val="19"/>
          <w:szCs w:val="19"/>
        </w:rPr>
        <w:t> </w:t>
      </w:r>
      <w:r w:rsidR="00C00973">
        <w:rPr>
          <w:rFonts w:ascii="Times New Roman" w:hAnsi="Times New Roman"/>
          <w:spacing w:val="-2"/>
          <w:sz w:val="19"/>
          <w:szCs w:val="19"/>
        </w:rPr>
        <w:t>41).</w:t>
      </w:r>
    </w:p>
    <w:p w14:paraId="4E006327" w14:textId="77777777" w:rsidR="00226339" w:rsidRPr="00225ECD" w:rsidRDefault="00226339" w:rsidP="00226339">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19"/>
          <w:szCs w:val="19"/>
          <w:u w:val="single"/>
        </w:rPr>
      </w:pPr>
      <w:r w:rsidRPr="00225ECD">
        <w:rPr>
          <w:rFonts w:ascii="Times New Roman" w:hAnsi="Times New Roman"/>
          <w:spacing w:val="-2"/>
          <w:sz w:val="19"/>
          <w:szCs w:val="19"/>
        </w:rPr>
        <w:tab/>
      </w:r>
      <w:r w:rsidRPr="00225ECD">
        <w:rPr>
          <w:rFonts w:ascii="Times New Roman" w:hAnsi="Times New Roman"/>
          <w:spacing w:val="-2"/>
          <w:sz w:val="19"/>
          <w:szCs w:val="19"/>
          <w:u w:val="single"/>
        </w:rPr>
        <w:t>2. Möglichkeiten des Aufschubs der Vollstreckung:</w:t>
      </w:r>
      <w:r w:rsidRPr="00225ECD">
        <w:rPr>
          <w:rFonts w:ascii="Times New Roman" w:hAnsi="Times New Roman"/>
          <w:spacing w:val="-2"/>
          <w:sz w:val="19"/>
          <w:szCs w:val="19"/>
        </w:rPr>
        <w:t xml:space="preserve"> Die Vollstreckung von Freiheitsstrafen kann aufgeschoben werden, wenn besondere Gründe dies gebieten, §§ 455 f. StPO. Diese sind insbesondere in der Person des Verurteilten zu suchen. So ist ein Strafaufschub zu gewähren, wenn der Verurteilte in Geisteskrankheit verfällt oder auf Grund einer anderen Krankheit durch den Vollzug der Freiheitsstrafe in Lebensgefahr geraten würde, § 455 I, II StPO. In sonstigen Krankheitsfällen kann ein Aufschub gewährt werden, wenn auf Grund einer Krankheit des Verurteilten dessen Unterbringung in der Strafanstalt nicht zu verantworten wäre, § 455 III StPO. Der Verurteilte kann schließlich einen Antrag auf Strafaufschub stellen, wenn ihm oder seiner Familie erhebliche, außerhalb des Strafzweckes liegende Nachteile drohen; ein solcher Strafaufschub kann</w:t>
      </w:r>
      <w:r w:rsidR="00C00973">
        <w:rPr>
          <w:rFonts w:ascii="Times New Roman" w:hAnsi="Times New Roman"/>
          <w:spacing w:val="-2"/>
          <w:sz w:val="19"/>
          <w:szCs w:val="19"/>
        </w:rPr>
        <w:t xml:space="preserve"> für</w:t>
      </w:r>
      <w:r w:rsidRPr="00225ECD">
        <w:rPr>
          <w:rFonts w:ascii="Times New Roman" w:hAnsi="Times New Roman"/>
          <w:spacing w:val="-2"/>
          <w:sz w:val="19"/>
          <w:szCs w:val="19"/>
        </w:rPr>
        <w:t xml:space="preserve"> bis zu vier Monate gewährt werden, § 456 StPO.</w:t>
      </w:r>
    </w:p>
    <w:p w14:paraId="7FE8B42B" w14:textId="093C07BD" w:rsidR="00226339" w:rsidRPr="00225ECD" w:rsidRDefault="00226339" w:rsidP="00226339">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19"/>
          <w:szCs w:val="19"/>
        </w:rPr>
      </w:pPr>
      <w:r w:rsidRPr="00225ECD">
        <w:rPr>
          <w:rFonts w:ascii="Times New Roman" w:hAnsi="Times New Roman"/>
          <w:spacing w:val="-2"/>
          <w:sz w:val="19"/>
          <w:szCs w:val="19"/>
        </w:rPr>
        <w:tab/>
      </w:r>
      <w:r w:rsidRPr="00225ECD">
        <w:rPr>
          <w:rFonts w:ascii="Times New Roman" w:hAnsi="Times New Roman"/>
          <w:spacing w:val="-2"/>
          <w:sz w:val="19"/>
          <w:szCs w:val="19"/>
          <w:u w:val="single"/>
        </w:rPr>
        <w:t>3. Vollstreckung von Geldstrafen:</w:t>
      </w:r>
      <w:r w:rsidRPr="00225ECD">
        <w:rPr>
          <w:rFonts w:ascii="Times New Roman" w:hAnsi="Times New Roman"/>
          <w:spacing w:val="-2"/>
          <w:sz w:val="19"/>
          <w:szCs w:val="19"/>
        </w:rPr>
        <w:t xml:space="preserve"> Hinsichtlich der Vollstreckung von Geld</w:t>
      </w:r>
      <w:r w:rsidR="006D3C8D">
        <w:rPr>
          <w:rFonts w:ascii="Times New Roman" w:hAnsi="Times New Roman"/>
          <w:spacing w:val="-2"/>
          <w:sz w:val="19"/>
          <w:szCs w:val="19"/>
        </w:rPr>
        <w:t>strafen</w:t>
      </w:r>
      <w:r w:rsidRPr="00225ECD">
        <w:rPr>
          <w:rFonts w:ascii="Times New Roman" w:hAnsi="Times New Roman"/>
          <w:spacing w:val="-2"/>
          <w:sz w:val="19"/>
          <w:szCs w:val="19"/>
        </w:rPr>
        <w:t xml:space="preserve"> verweist § 459 StPO grundsätzlich auf </w:t>
      </w:r>
      <w:r w:rsidR="00714172">
        <w:rPr>
          <w:rFonts w:ascii="Times New Roman" w:hAnsi="Times New Roman"/>
          <w:spacing w:val="-2"/>
          <w:sz w:val="19"/>
          <w:szCs w:val="19"/>
        </w:rPr>
        <w:t>das</w:t>
      </w:r>
      <w:r w:rsidR="00714172" w:rsidRPr="00225ECD">
        <w:rPr>
          <w:rFonts w:ascii="Times New Roman" w:hAnsi="Times New Roman"/>
          <w:spacing w:val="-2"/>
          <w:sz w:val="19"/>
          <w:szCs w:val="19"/>
        </w:rPr>
        <w:t xml:space="preserve"> </w:t>
      </w:r>
      <w:r w:rsidRPr="00225ECD">
        <w:rPr>
          <w:rFonts w:ascii="Times New Roman" w:hAnsi="Times New Roman"/>
          <w:spacing w:val="-2"/>
          <w:sz w:val="19"/>
          <w:szCs w:val="19"/>
        </w:rPr>
        <w:t>Justizbeitreibungs</w:t>
      </w:r>
      <w:r w:rsidR="00714172">
        <w:rPr>
          <w:rFonts w:ascii="Times New Roman" w:hAnsi="Times New Roman"/>
          <w:spacing w:val="-2"/>
          <w:sz w:val="19"/>
          <w:szCs w:val="19"/>
        </w:rPr>
        <w:t>gesetz</w:t>
      </w:r>
      <w:r w:rsidRPr="00225ECD">
        <w:rPr>
          <w:rFonts w:ascii="Times New Roman" w:hAnsi="Times New Roman"/>
          <w:spacing w:val="-2"/>
          <w:sz w:val="19"/>
          <w:szCs w:val="19"/>
        </w:rPr>
        <w:t>, soweit die §§ 459 ff. StPO nichts anderes bestimmen. Hier sind vor allem Fragen der Zahlungserleichterung oder der Entrichtung und Anrechnung von Teilbeträgen geregelt.</w:t>
      </w:r>
      <w:r w:rsidR="003D5359">
        <w:rPr>
          <w:rFonts w:ascii="Times New Roman" w:hAnsi="Times New Roman"/>
          <w:spacing w:val="-2"/>
          <w:sz w:val="19"/>
          <w:szCs w:val="19"/>
        </w:rPr>
        <w:t xml:space="preserve"> Kann die Geldstrafe nicht vollstreckt werden, ist die Anordnung einer Ersatzfreiheitsstrafe möglich (§§</w:t>
      </w:r>
      <w:r w:rsidR="00714172">
        <w:rPr>
          <w:rFonts w:ascii="Times New Roman" w:hAnsi="Times New Roman"/>
          <w:spacing w:val="-2"/>
          <w:sz w:val="19"/>
          <w:szCs w:val="19"/>
        </w:rPr>
        <w:t> </w:t>
      </w:r>
      <w:r w:rsidR="003D5359">
        <w:rPr>
          <w:rFonts w:ascii="Times New Roman" w:hAnsi="Times New Roman"/>
          <w:spacing w:val="-2"/>
          <w:sz w:val="19"/>
          <w:szCs w:val="19"/>
        </w:rPr>
        <w:t>459e</w:t>
      </w:r>
      <w:r w:rsidR="007D1219">
        <w:rPr>
          <w:rFonts w:ascii="Times New Roman" w:hAnsi="Times New Roman"/>
          <w:spacing w:val="-2"/>
          <w:sz w:val="19"/>
          <w:szCs w:val="19"/>
        </w:rPr>
        <w:t xml:space="preserve"> StPO).</w:t>
      </w:r>
    </w:p>
    <w:p w14:paraId="1D54D022" w14:textId="29C7C54D" w:rsidR="00226339" w:rsidRPr="00225ECD" w:rsidRDefault="00226339" w:rsidP="00226339">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b/>
          <w:spacing w:val="-2"/>
          <w:sz w:val="19"/>
          <w:szCs w:val="19"/>
        </w:rPr>
      </w:pPr>
      <w:r w:rsidRPr="00225ECD">
        <w:rPr>
          <w:rFonts w:ascii="Times New Roman" w:hAnsi="Times New Roman"/>
          <w:spacing w:val="-2"/>
          <w:sz w:val="19"/>
          <w:szCs w:val="19"/>
        </w:rPr>
        <w:tab/>
      </w:r>
      <w:r w:rsidRPr="00225ECD">
        <w:rPr>
          <w:rFonts w:ascii="Times New Roman" w:hAnsi="Times New Roman"/>
          <w:spacing w:val="-2"/>
          <w:sz w:val="19"/>
          <w:szCs w:val="19"/>
          <w:u w:val="single"/>
        </w:rPr>
        <w:t>4. Vollstreckung von Freiheitsstrafen:</w:t>
      </w:r>
      <w:r w:rsidRPr="00225ECD">
        <w:rPr>
          <w:rFonts w:ascii="Times New Roman" w:hAnsi="Times New Roman"/>
          <w:spacing w:val="-2"/>
          <w:sz w:val="19"/>
          <w:szCs w:val="19"/>
        </w:rPr>
        <w:t xml:space="preserve"> Wurde der Angeklagte zu einer Freiheitsstrafe verurteilt, die nicht zur Bewährung ausgesetzt wurde, so muss er diese in einer </w:t>
      </w:r>
      <w:r w:rsidR="00A43CEA">
        <w:rPr>
          <w:rFonts w:ascii="Times New Roman" w:hAnsi="Times New Roman"/>
          <w:spacing w:val="-2"/>
          <w:sz w:val="19"/>
          <w:szCs w:val="19"/>
        </w:rPr>
        <w:t>Justiz</w:t>
      </w:r>
      <w:r w:rsidRPr="00225ECD">
        <w:rPr>
          <w:rFonts w:ascii="Times New Roman" w:hAnsi="Times New Roman"/>
          <w:spacing w:val="-2"/>
          <w:sz w:val="19"/>
          <w:szCs w:val="19"/>
        </w:rPr>
        <w:t>vollzugsanstalt verbüßen. Ist er bereits in Untersuchungshaft, so wird er von dort in die Haftanstalt überführt. Die §§ 450 ff. StPO regeln Fragen der Anrechnung von in der Untersuchungshaft verbrachter Zeit, sowie die Modalitäten hinsichtlich der Entscheidung, ob der Rest einer verbüßten Freiheitsstrafe zur Bewährung ausgesetzt wird oder eine Strafaussetzung zur Bewährung widerrufen wird, vgl. § 56f StGB. So sind gemäß § 453</w:t>
      </w:r>
      <w:r w:rsidR="005A69A9">
        <w:rPr>
          <w:rFonts w:ascii="Times New Roman" w:hAnsi="Times New Roman"/>
          <w:spacing w:val="-2"/>
          <w:sz w:val="19"/>
          <w:szCs w:val="19"/>
        </w:rPr>
        <w:t xml:space="preserve"> I 2</w:t>
      </w:r>
      <w:r w:rsidR="00ED5C85">
        <w:rPr>
          <w:rFonts w:ascii="Times New Roman" w:hAnsi="Times New Roman"/>
          <w:spacing w:val="-2"/>
          <w:sz w:val="19"/>
          <w:szCs w:val="19"/>
        </w:rPr>
        <w:t xml:space="preserve"> </w:t>
      </w:r>
      <w:r w:rsidRPr="00225ECD">
        <w:rPr>
          <w:rFonts w:ascii="Times New Roman" w:hAnsi="Times New Roman"/>
          <w:spacing w:val="-2"/>
          <w:sz w:val="19"/>
          <w:szCs w:val="19"/>
        </w:rPr>
        <w:t>StPO zuvor Staatsanwaltschaft und Angeklagter zu hören. Der Ablauf des Strafvollzuges, d.h. d</w:t>
      </w:r>
      <w:r w:rsidR="00C00973">
        <w:rPr>
          <w:rFonts w:ascii="Times New Roman" w:hAnsi="Times New Roman"/>
          <w:spacing w:val="-2"/>
          <w:sz w:val="19"/>
          <w:szCs w:val="19"/>
        </w:rPr>
        <w:t>ie</w:t>
      </w:r>
      <w:r w:rsidRPr="00225ECD">
        <w:rPr>
          <w:rFonts w:ascii="Times New Roman" w:hAnsi="Times New Roman"/>
          <w:spacing w:val="-2"/>
          <w:sz w:val="19"/>
          <w:szCs w:val="19"/>
        </w:rPr>
        <w:t xml:space="preserve"> Durchführung der Freiheitsstrafe in der Justizvollzugsanstalt, ist i</w:t>
      </w:r>
      <w:r w:rsidR="007D1219">
        <w:rPr>
          <w:rFonts w:ascii="Times New Roman" w:hAnsi="Times New Roman"/>
          <w:spacing w:val="-2"/>
          <w:sz w:val="19"/>
          <w:szCs w:val="19"/>
        </w:rPr>
        <w:t>n den</w:t>
      </w:r>
      <w:r w:rsidRPr="00225ECD">
        <w:rPr>
          <w:rFonts w:ascii="Times New Roman" w:hAnsi="Times New Roman"/>
          <w:spacing w:val="-2"/>
          <w:sz w:val="19"/>
          <w:szCs w:val="19"/>
        </w:rPr>
        <w:t xml:space="preserve"> </w:t>
      </w:r>
      <w:r w:rsidR="007D1219">
        <w:rPr>
          <w:rFonts w:ascii="Times New Roman" w:hAnsi="Times New Roman"/>
          <w:spacing w:val="-2"/>
          <w:sz w:val="19"/>
          <w:szCs w:val="19"/>
        </w:rPr>
        <w:t xml:space="preserve">Justiz- bzw. Strafvollzugsgesetzen der Länder und im Übrigen, soweit diese keine Regelungen vorsehen, im </w:t>
      </w:r>
      <w:r w:rsidRPr="00225ECD">
        <w:rPr>
          <w:rFonts w:ascii="Times New Roman" w:hAnsi="Times New Roman"/>
          <w:spacing w:val="-2"/>
          <w:sz w:val="19"/>
          <w:szCs w:val="19"/>
        </w:rPr>
        <w:t>StVollzG geregelt. In § 2 </w:t>
      </w:r>
      <w:r w:rsidR="007D1219">
        <w:rPr>
          <w:rFonts w:ascii="Times New Roman" w:hAnsi="Times New Roman"/>
          <w:spacing w:val="-2"/>
          <w:sz w:val="19"/>
          <w:szCs w:val="19"/>
        </w:rPr>
        <w:t xml:space="preserve">aller Justiz- bzw. Strafvollzugsgesetze der Länder </w:t>
      </w:r>
      <w:r w:rsidRPr="00225ECD">
        <w:rPr>
          <w:rFonts w:ascii="Times New Roman" w:hAnsi="Times New Roman"/>
          <w:spacing w:val="-2"/>
          <w:sz w:val="19"/>
          <w:szCs w:val="19"/>
        </w:rPr>
        <w:t xml:space="preserve">sind die Vollzugsziele bestimmt: Hiernach soll der Gefangene einerseits befähigt werden, </w:t>
      </w:r>
      <w:r w:rsidRPr="00225ECD">
        <w:rPr>
          <w:rFonts w:ascii="Times New Roman" w:hAnsi="Times New Roman"/>
          <w:sz w:val="19"/>
          <w:szCs w:val="19"/>
        </w:rPr>
        <w:t>künftig in sozialer Verantwortung ein Leben ohne Straftaten zu führen, andererseits dient der Vollzug der Freiheitsstrafe aber auch dem Schutz der Allgemeinheit vor weiteren Straftaten.</w:t>
      </w:r>
    </w:p>
    <w:p w14:paraId="59C15B3A" w14:textId="77777777" w:rsidR="00226339" w:rsidRDefault="00226339">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b/>
          <w:spacing w:val="-2"/>
          <w:sz w:val="18"/>
        </w:rPr>
      </w:pPr>
    </w:p>
    <w:p w14:paraId="69D5A6B8" w14:textId="73E3F8BE" w:rsidR="00226339" w:rsidRPr="008C3A88" w:rsidRDefault="00226339" w:rsidP="00226339">
      <w:pPr>
        <w:widowControl/>
        <w:tabs>
          <w:tab w:val="left" w:pos="-720"/>
          <w:tab w:val="left" w:pos="288"/>
          <w:tab w:val="left" w:pos="567"/>
          <w:tab w:val="left" w:pos="864"/>
          <w:tab w:val="left" w:pos="1116"/>
          <w:tab w:val="left" w:pos="1404"/>
          <w:tab w:val="left" w:pos="1692"/>
          <w:tab w:val="left" w:pos="1980"/>
          <w:tab w:val="left" w:pos="2268"/>
          <w:tab w:val="left" w:pos="2880"/>
        </w:tabs>
        <w:jc w:val="both"/>
        <w:rPr>
          <w:rFonts w:ascii="Times New Roman" w:hAnsi="Times New Roman"/>
          <w:spacing w:val="-2"/>
          <w:sz w:val="16"/>
          <w:szCs w:val="16"/>
        </w:rPr>
      </w:pPr>
      <w:r w:rsidRPr="008C3A88">
        <w:rPr>
          <w:rFonts w:ascii="Times New Roman" w:hAnsi="Times New Roman"/>
          <w:b/>
          <w:spacing w:val="-2"/>
          <w:sz w:val="16"/>
          <w:szCs w:val="16"/>
        </w:rPr>
        <w:t xml:space="preserve">Literatur/Lehrbücher: </w:t>
      </w:r>
      <w:r w:rsidRPr="008C3A88">
        <w:rPr>
          <w:rFonts w:ascii="Times New Roman" w:hAnsi="Times New Roman"/>
          <w:b/>
          <w:spacing w:val="-2"/>
          <w:sz w:val="16"/>
          <w:szCs w:val="16"/>
        </w:rPr>
        <w:tab/>
      </w:r>
      <w:r w:rsidR="009D40A3">
        <w:rPr>
          <w:rFonts w:ascii="Times New Roman" w:hAnsi="Times New Roman"/>
          <w:i/>
          <w:spacing w:val="-2"/>
          <w:sz w:val="16"/>
          <w:szCs w:val="16"/>
        </w:rPr>
        <w:t>Heinrich/Reinbacher</w:t>
      </w:r>
      <w:r w:rsidR="009D40A3">
        <w:rPr>
          <w:rFonts w:ascii="Times New Roman" w:hAnsi="Times New Roman"/>
          <w:spacing w:val="-2"/>
          <w:sz w:val="16"/>
          <w:szCs w:val="16"/>
        </w:rPr>
        <w:t>, Examinatorium Strafprozessrecht,</w:t>
      </w:r>
      <w:r w:rsidR="00B40DAA">
        <w:rPr>
          <w:rFonts w:ascii="Times New Roman" w:hAnsi="Times New Roman"/>
          <w:spacing w:val="-2"/>
          <w:sz w:val="16"/>
          <w:szCs w:val="16"/>
        </w:rPr>
        <w:t xml:space="preserve"> </w:t>
      </w:r>
      <w:r w:rsidR="001353E0">
        <w:rPr>
          <w:rFonts w:ascii="Times New Roman" w:hAnsi="Times New Roman"/>
          <w:spacing w:val="-2"/>
          <w:sz w:val="16"/>
          <w:szCs w:val="16"/>
        </w:rPr>
        <w:t>4</w:t>
      </w:r>
      <w:r w:rsidR="00B40DAA">
        <w:rPr>
          <w:rFonts w:ascii="Times New Roman" w:hAnsi="Times New Roman"/>
          <w:spacing w:val="-2"/>
          <w:sz w:val="16"/>
          <w:szCs w:val="16"/>
        </w:rPr>
        <w:t>. Auflage 20</w:t>
      </w:r>
      <w:r w:rsidR="00E8029D">
        <w:rPr>
          <w:rFonts w:ascii="Times New Roman" w:hAnsi="Times New Roman"/>
          <w:spacing w:val="-2"/>
          <w:sz w:val="16"/>
          <w:szCs w:val="16"/>
        </w:rPr>
        <w:t>2</w:t>
      </w:r>
      <w:r w:rsidR="001353E0">
        <w:rPr>
          <w:rFonts w:ascii="Times New Roman" w:hAnsi="Times New Roman"/>
          <w:spacing w:val="-2"/>
          <w:sz w:val="16"/>
          <w:szCs w:val="16"/>
        </w:rPr>
        <w:t>3</w:t>
      </w:r>
      <w:r w:rsidR="00B40DAA">
        <w:rPr>
          <w:rFonts w:ascii="Times New Roman" w:hAnsi="Times New Roman"/>
          <w:spacing w:val="-2"/>
          <w:sz w:val="16"/>
          <w:szCs w:val="16"/>
        </w:rPr>
        <w:t>,</w:t>
      </w:r>
      <w:r w:rsidR="009D40A3">
        <w:rPr>
          <w:rFonts w:ascii="Times New Roman" w:hAnsi="Times New Roman"/>
          <w:spacing w:val="-2"/>
          <w:sz w:val="16"/>
          <w:szCs w:val="16"/>
        </w:rPr>
        <w:t xml:space="preserve"> Problem 1.</w:t>
      </w:r>
    </w:p>
    <w:p w14:paraId="4469DB34" w14:textId="5222006F" w:rsidR="00226339" w:rsidRPr="008C3A88" w:rsidRDefault="00226339" w:rsidP="00EB03BC">
      <w:pPr>
        <w:widowControl/>
        <w:tabs>
          <w:tab w:val="left" w:pos="-720"/>
          <w:tab w:val="left" w:pos="288"/>
          <w:tab w:val="left" w:pos="567"/>
          <w:tab w:val="left" w:pos="864"/>
          <w:tab w:val="left" w:pos="1116"/>
          <w:tab w:val="left" w:pos="1404"/>
          <w:tab w:val="left" w:pos="1692"/>
          <w:tab w:val="left" w:pos="1980"/>
          <w:tab w:val="left" w:pos="2268"/>
          <w:tab w:val="left" w:pos="2880"/>
        </w:tabs>
        <w:ind w:left="1692" w:hanging="1692"/>
        <w:jc w:val="both"/>
        <w:rPr>
          <w:rFonts w:ascii="Times New Roman" w:hAnsi="Times New Roman"/>
          <w:spacing w:val="-2"/>
          <w:sz w:val="16"/>
          <w:szCs w:val="16"/>
        </w:rPr>
      </w:pPr>
      <w:r w:rsidRPr="008C3A88">
        <w:rPr>
          <w:rFonts w:ascii="Times New Roman" w:hAnsi="Times New Roman"/>
          <w:b/>
          <w:spacing w:val="-2"/>
          <w:sz w:val="16"/>
          <w:szCs w:val="16"/>
        </w:rPr>
        <w:t>Literatur/Aufsätze:</w:t>
      </w:r>
      <w:r w:rsidRPr="008C3A88">
        <w:rPr>
          <w:rFonts w:ascii="Times New Roman" w:hAnsi="Times New Roman"/>
          <w:b/>
          <w:spacing w:val="-2"/>
          <w:sz w:val="16"/>
          <w:szCs w:val="16"/>
        </w:rPr>
        <w:tab/>
      </w:r>
      <w:r w:rsidRPr="008C3A88">
        <w:rPr>
          <w:rFonts w:ascii="Times New Roman" w:hAnsi="Times New Roman"/>
          <w:b/>
          <w:spacing w:val="-2"/>
          <w:sz w:val="16"/>
          <w:szCs w:val="16"/>
        </w:rPr>
        <w:tab/>
      </w:r>
      <w:r w:rsidR="000B27B0" w:rsidRPr="00910B57">
        <w:rPr>
          <w:rFonts w:ascii="Times New Roman" w:hAnsi="Times New Roman"/>
          <w:bCs/>
          <w:i/>
          <w:spacing w:val="-2"/>
          <w:sz w:val="16"/>
          <w:szCs w:val="16"/>
        </w:rPr>
        <w:t>Bach</w:t>
      </w:r>
      <w:r w:rsidR="000B27B0" w:rsidRPr="00910B57">
        <w:rPr>
          <w:rFonts w:ascii="Times New Roman" w:hAnsi="Times New Roman"/>
          <w:bCs/>
          <w:spacing w:val="-2"/>
          <w:sz w:val="16"/>
          <w:szCs w:val="16"/>
        </w:rPr>
        <w:t xml:space="preserve">, Der Verdacht im Strafverfahren – abstrakt, JURA 2007, 12; </w:t>
      </w:r>
      <w:r w:rsidRPr="008C3A88">
        <w:rPr>
          <w:rFonts w:ascii="Times New Roman" w:hAnsi="Times New Roman"/>
          <w:i/>
          <w:spacing w:val="-2"/>
          <w:sz w:val="16"/>
          <w:szCs w:val="16"/>
        </w:rPr>
        <w:t>Huber</w:t>
      </w:r>
      <w:r w:rsidRPr="008C3A88">
        <w:rPr>
          <w:rFonts w:ascii="Times New Roman" w:hAnsi="Times New Roman"/>
          <w:spacing w:val="-2"/>
          <w:sz w:val="16"/>
          <w:szCs w:val="16"/>
        </w:rPr>
        <w:t xml:space="preserve">, Tatverdacht, </w:t>
      </w:r>
      <w:proofErr w:type="spellStart"/>
      <w:r w:rsidRPr="008C3A88">
        <w:rPr>
          <w:rFonts w:ascii="Times New Roman" w:hAnsi="Times New Roman"/>
          <w:spacing w:val="-2"/>
          <w:sz w:val="16"/>
          <w:szCs w:val="16"/>
        </w:rPr>
        <w:t>JuS</w:t>
      </w:r>
      <w:proofErr w:type="spellEnd"/>
      <w:r w:rsidRPr="008C3A88">
        <w:rPr>
          <w:rFonts w:ascii="Times New Roman" w:hAnsi="Times New Roman"/>
          <w:spacing w:val="-2"/>
          <w:sz w:val="16"/>
          <w:szCs w:val="16"/>
        </w:rPr>
        <w:t xml:space="preserve"> 2008, 21</w:t>
      </w:r>
      <w:r w:rsidR="00301977">
        <w:rPr>
          <w:rFonts w:ascii="Times New Roman" w:hAnsi="Times New Roman"/>
          <w:spacing w:val="-2"/>
          <w:sz w:val="16"/>
          <w:szCs w:val="16"/>
        </w:rPr>
        <w:t xml:space="preserve">; </w:t>
      </w:r>
      <w:proofErr w:type="spellStart"/>
      <w:r w:rsidR="00811793" w:rsidRPr="00EB03BC">
        <w:rPr>
          <w:rFonts w:ascii="Times New Roman" w:hAnsi="Times New Roman"/>
          <w:i/>
          <w:spacing w:val="-2"/>
          <w:sz w:val="16"/>
          <w:szCs w:val="16"/>
        </w:rPr>
        <w:t>Kröpil</w:t>
      </w:r>
      <w:proofErr w:type="spellEnd"/>
      <w:r w:rsidR="00811793">
        <w:rPr>
          <w:rFonts w:ascii="Times New Roman" w:hAnsi="Times New Roman"/>
          <w:spacing w:val="-2"/>
          <w:sz w:val="16"/>
          <w:szCs w:val="16"/>
        </w:rPr>
        <w:t xml:space="preserve">, Wichtige Grundzüge des Strafverfahrens, </w:t>
      </w:r>
      <w:proofErr w:type="spellStart"/>
      <w:r w:rsidR="00811793">
        <w:rPr>
          <w:rFonts w:ascii="Times New Roman" w:hAnsi="Times New Roman"/>
          <w:spacing w:val="-2"/>
          <w:sz w:val="16"/>
          <w:szCs w:val="16"/>
        </w:rPr>
        <w:t>JuS</w:t>
      </w:r>
      <w:proofErr w:type="spellEnd"/>
      <w:r w:rsidR="00811793">
        <w:rPr>
          <w:rFonts w:ascii="Times New Roman" w:hAnsi="Times New Roman"/>
          <w:spacing w:val="-2"/>
          <w:sz w:val="16"/>
          <w:szCs w:val="16"/>
        </w:rPr>
        <w:t xml:space="preserve"> 2015, 213</w:t>
      </w:r>
      <w:r w:rsidR="00943062">
        <w:rPr>
          <w:rFonts w:ascii="Times New Roman" w:hAnsi="Times New Roman"/>
          <w:spacing w:val="-2"/>
          <w:sz w:val="16"/>
          <w:szCs w:val="16"/>
        </w:rPr>
        <w:t xml:space="preserve">; </w:t>
      </w:r>
      <w:r w:rsidR="00943062" w:rsidRPr="00CB69A8">
        <w:rPr>
          <w:rFonts w:ascii="Times New Roman" w:hAnsi="Times New Roman"/>
          <w:i/>
          <w:spacing w:val="-2"/>
          <w:sz w:val="16"/>
          <w:szCs w:val="16"/>
        </w:rPr>
        <w:t>Schmitt-</w:t>
      </w:r>
      <w:proofErr w:type="spellStart"/>
      <w:r w:rsidR="00943062" w:rsidRPr="00CB69A8">
        <w:rPr>
          <w:rFonts w:ascii="Times New Roman" w:hAnsi="Times New Roman"/>
          <w:i/>
          <w:spacing w:val="-2"/>
          <w:sz w:val="16"/>
          <w:szCs w:val="16"/>
        </w:rPr>
        <w:t>Leonardy</w:t>
      </w:r>
      <w:proofErr w:type="spellEnd"/>
      <w:r w:rsidR="00943062" w:rsidRPr="00CB69A8">
        <w:rPr>
          <w:rFonts w:ascii="Times New Roman" w:hAnsi="Times New Roman"/>
          <w:i/>
          <w:spacing w:val="-2"/>
          <w:sz w:val="16"/>
          <w:szCs w:val="16"/>
        </w:rPr>
        <w:t>/</w:t>
      </w:r>
      <w:proofErr w:type="spellStart"/>
      <w:r w:rsidR="00943062" w:rsidRPr="00CB69A8">
        <w:rPr>
          <w:rFonts w:ascii="Times New Roman" w:hAnsi="Times New Roman"/>
          <w:i/>
          <w:spacing w:val="-2"/>
          <w:sz w:val="16"/>
          <w:szCs w:val="16"/>
        </w:rPr>
        <w:t>Klarmann</w:t>
      </w:r>
      <w:proofErr w:type="spellEnd"/>
      <w:r w:rsidR="00943062">
        <w:rPr>
          <w:rFonts w:ascii="Times New Roman" w:hAnsi="Times New Roman"/>
          <w:spacing w:val="-2"/>
          <w:sz w:val="16"/>
          <w:szCs w:val="16"/>
        </w:rPr>
        <w:t>, Examensrelevantes Strafverfahrensrecht – 13</w:t>
      </w:r>
      <w:r w:rsidR="00FE6E58">
        <w:rPr>
          <w:rFonts w:ascii="Times New Roman" w:hAnsi="Times New Roman"/>
          <w:spacing w:val="-2"/>
          <w:sz w:val="16"/>
          <w:szCs w:val="16"/>
        </w:rPr>
        <w:t> </w:t>
      </w:r>
      <w:r w:rsidR="00943062">
        <w:rPr>
          <w:rFonts w:ascii="Times New Roman" w:hAnsi="Times New Roman"/>
          <w:spacing w:val="-2"/>
          <w:sz w:val="16"/>
          <w:szCs w:val="16"/>
        </w:rPr>
        <w:t>strafprozessuale (Zusatz</w:t>
      </w:r>
      <w:r w:rsidR="00901A1D">
        <w:rPr>
          <w:rFonts w:ascii="Times New Roman" w:hAnsi="Times New Roman"/>
          <w:spacing w:val="-2"/>
          <w:sz w:val="16"/>
          <w:szCs w:val="16"/>
        </w:rPr>
        <w:noBreakHyphen/>
      </w:r>
      <w:r w:rsidR="00943062">
        <w:rPr>
          <w:rFonts w:ascii="Times New Roman" w:hAnsi="Times New Roman"/>
          <w:spacing w:val="-2"/>
          <w:sz w:val="16"/>
          <w:szCs w:val="16"/>
        </w:rPr>
        <w:t xml:space="preserve">)Fragen, </w:t>
      </w:r>
      <w:proofErr w:type="spellStart"/>
      <w:r w:rsidR="00943062">
        <w:rPr>
          <w:rFonts w:ascii="Times New Roman" w:hAnsi="Times New Roman"/>
          <w:spacing w:val="-2"/>
          <w:sz w:val="16"/>
          <w:szCs w:val="16"/>
        </w:rPr>
        <w:t>JuS</w:t>
      </w:r>
      <w:proofErr w:type="spellEnd"/>
      <w:r w:rsidR="00943062">
        <w:rPr>
          <w:rFonts w:ascii="Times New Roman" w:hAnsi="Times New Roman"/>
          <w:spacing w:val="-2"/>
          <w:sz w:val="16"/>
          <w:szCs w:val="16"/>
        </w:rPr>
        <w:t xml:space="preserve"> 2022, 210, 304.</w:t>
      </w:r>
    </w:p>
    <w:p w14:paraId="2C0B251F" w14:textId="77777777" w:rsidR="00226339" w:rsidRPr="008C3A88" w:rsidRDefault="00226339" w:rsidP="00226339">
      <w:pPr>
        <w:widowControl/>
        <w:tabs>
          <w:tab w:val="left" w:pos="-720"/>
          <w:tab w:val="left" w:pos="288"/>
          <w:tab w:val="left" w:pos="567"/>
          <w:tab w:val="left" w:pos="864"/>
          <w:tab w:val="left" w:pos="1116"/>
          <w:tab w:val="left" w:pos="1404"/>
          <w:tab w:val="left" w:pos="1701"/>
          <w:tab w:val="left" w:pos="2268"/>
          <w:tab w:val="left" w:pos="2880"/>
        </w:tabs>
        <w:ind w:left="1701" w:hanging="1701"/>
        <w:jc w:val="both"/>
        <w:rPr>
          <w:sz w:val="16"/>
          <w:szCs w:val="16"/>
        </w:rPr>
      </w:pPr>
      <w:r w:rsidRPr="008C3A88">
        <w:rPr>
          <w:rFonts w:ascii="Times New Roman" w:hAnsi="Times New Roman"/>
          <w:b/>
          <w:spacing w:val="-2"/>
          <w:sz w:val="16"/>
          <w:szCs w:val="16"/>
        </w:rPr>
        <w:t xml:space="preserve">Rechtsprechung: </w:t>
      </w:r>
      <w:r w:rsidRPr="008C3A88">
        <w:rPr>
          <w:rFonts w:ascii="Times New Roman" w:hAnsi="Times New Roman"/>
          <w:b/>
          <w:spacing w:val="-2"/>
          <w:sz w:val="16"/>
          <w:szCs w:val="16"/>
        </w:rPr>
        <w:tab/>
      </w:r>
      <w:r w:rsidRPr="008C3A88">
        <w:rPr>
          <w:rFonts w:ascii="Times New Roman" w:hAnsi="Times New Roman"/>
          <w:b/>
          <w:spacing w:val="-2"/>
          <w:sz w:val="16"/>
          <w:szCs w:val="16"/>
        </w:rPr>
        <w:tab/>
        <w:t xml:space="preserve">BVerfGE 20, 45 – </w:t>
      </w:r>
      <w:r w:rsidRPr="008C3A88">
        <w:rPr>
          <w:rFonts w:ascii="Times New Roman" w:hAnsi="Times New Roman"/>
          <w:spacing w:val="-2"/>
          <w:sz w:val="16"/>
          <w:szCs w:val="16"/>
        </w:rPr>
        <w:t>Überlange Verfahrensdauer (eine Untersuchungshaft von 5 Jahren trotz erheblicher Sch</w:t>
      </w:r>
      <w:r w:rsidR="00501016">
        <w:rPr>
          <w:rFonts w:ascii="Times New Roman" w:hAnsi="Times New Roman"/>
          <w:spacing w:val="-2"/>
          <w:sz w:val="16"/>
          <w:szCs w:val="16"/>
        </w:rPr>
        <w:t>were</w:t>
      </w:r>
      <w:r w:rsidRPr="008C3A88">
        <w:rPr>
          <w:rFonts w:ascii="Times New Roman" w:hAnsi="Times New Roman"/>
          <w:spacing w:val="-2"/>
          <w:sz w:val="16"/>
          <w:szCs w:val="16"/>
        </w:rPr>
        <w:t xml:space="preserve"> des Tatvorwurfes mit dem GG unvereinbar); </w:t>
      </w:r>
      <w:r w:rsidRPr="008C3A88">
        <w:rPr>
          <w:rFonts w:ascii="Times New Roman" w:hAnsi="Times New Roman"/>
          <w:b/>
          <w:spacing w:val="-2"/>
          <w:sz w:val="16"/>
          <w:szCs w:val="16"/>
        </w:rPr>
        <w:t>BGHSt 38, 214</w:t>
      </w:r>
      <w:r w:rsidRPr="008C3A88">
        <w:rPr>
          <w:rFonts w:ascii="Times New Roman" w:hAnsi="Times New Roman"/>
          <w:spacing w:val="-2"/>
          <w:sz w:val="16"/>
          <w:szCs w:val="16"/>
        </w:rPr>
        <w:t xml:space="preserve"> – Belehrungspflicht (keine Wahrheitsermittlung um jeden Preis); </w:t>
      </w:r>
      <w:r w:rsidRPr="00CB18CA">
        <w:rPr>
          <w:rFonts w:ascii="Times New Roman" w:hAnsi="Times New Roman"/>
          <w:b/>
          <w:spacing w:val="-2"/>
          <w:sz w:val="16"/>
          <w:szCs w:val="16"/>
        </w:rPr>
        <w:t>BGHSt 45, 37</w:t>
      </w:r>
      <w:r w:rsidRPr="008C3A88">
        <w:rPr>
          <w:rFonts w:ascii="Times New Roman" w:hAnsi="Times New Roman"/>
          <w:spacing w:val="-2"/>
          <w:sz w:val="16"/>
          <w:szCs w:val="16"/>
        </w:rPr>
        <w:t xml:space="preserve"> – Wiederaufnahme (Rechtskraft des Urteils als Regel und ihre Durchbrechung als Ausnahme).</w:t>
      </w:r>
    </w:p>
    <w:sectPr w:rsidR="00226339" w:rsidRPr="008C3A88" w:rsidSect="00226339">
      <w:pgSz w:w="11906" w:h="16838"/>
      <w:pgMar w:top="567" w:right="680" w:bottom="403" w:left="1134" w:header="567" w:footer="28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06F12" w14:textId="77777777" w:rsidR="0030620C" w:rsidRDefault="0030620C">
      <w:r>
        <w:separator/>
      </w:r>
    </w:p>
  </w:endnote>
  <w:endnote w:type="continuationSeparator" w:id="0">
    <w:p w14:paraId="1BB0CAA9" w14:textId="77777777" w:rsidR="0030620C" w:rsidRDefault="0030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utch Roman 12pt">
    <w:altName w:val="Times New Roman"/>
    <w:panose1 w:val="020B06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BB627" w14:textId="77777777" w:rsidR="0030620C" w:rsidRDefault="0030620C">
      <w:r>
        <w:separator/>
      </w:r>
    </w:p>
  </w:footnote>
  <w:footnote w:type="continuationSeparator" w:id="0">
    <w:p w14:paraId="19D1766B" w14:textId="77777777" w:rsidR="0030620C" w:rsidRDefault="00306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3CEB0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34A0D46"/>
    <w:multiLevelType w:val="multilevel"/>
    <w:tmpl w:val="7B3C2B68"/>
    <w:lvl w:ilvl="0">
      <w:start w:val="1"/>
      <w:numFmt w:val="decimal"/>
      <w:lvlText w:val="%1."/>
      <w:lvlJc w:val="left"/>
      <w:pPr>
        <w:tabs>
          <w:tab w:val="num" w:pos="720"/>
        </w:tabs>
        <w:ind w:left="720" w:hanging="36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F79518A"/>
    <w:multiLevelType w:val="hybridMultilevel"/>
    <w:tmpl w:val="7B3C2B68"/>
    <w:lvl w:ilvl="0" w:tplc="CFC6C554">
      <w:start w:val="1"/>
      <w:numFmt w:val="decimal"/>
      <w:lvlText w:val="%1."/>
      <w:lvlJc w:val="left"/>
      <w:pPr>
        <w:tabs>
          <w:tab w:val="num" w:pos="720"/>
        </w:tabs>
        <w:ind w:left="720" w:hanging="360"/>
      </w:pPr>
      <w:rPr>
        <w:rFonts w:hint="default"/>
        <w:u w:val="single"/>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16cid:durableId="1399089491">
    <w:abstractNumId w:val="2"/>
  </w:num>
  <w:num w:numId="2" w16cid:durableId="881089407">
    <w:abstractNumId w:val="1"/>
  </w:num>
  <w:num w:numId="3" w16cid:durableId="1448348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5"/>
  <w:embedSystemFonts/>
  <w:activeWritingStyle w:appName="MSWord" w:lang="de-DE" w:vendorID="6" w:dllVersion="2" w:checkStyle="1"/>
  <w:proofState w:spelling="clean"/>
  <w:trackRevision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30"/>
    <w:rsid w:val="00010D7E"/>
    <w:rsid w:val="000231D9"/>
    <w:rsid w:val="000901ED"/>
    <w:rsid w:val="000B173B"/>
    <w:rsid w:val="000B27B0"/>
    <w:rsid w:val="000E5AF6"/>
    <w:rsid w:val="001074B8"/>
    <w:rsid w:val="00133CA1"/>
    <w:rsid w:val="001353E0"/>
    <w:rsid w:val="001A5B08"/>
    <w:rsid w:val="001C15FF"/>
    <w:rsid w:val="001C327C"/>
    <w:rsid w:val="001D7453"/>
    <w:rsid w:val="001E409A"/>
    <w:rsid w:val="00207211"/>
    <w:rsid w:val="00223F26"/>
    <w:rsid w:val="00225ECD"/>
    <w:rsid w:val="00226339"/>
    <w:rsid w:val="00287AA6"/>
    <w:rsid w:val="002A305F"/>
    <w:rsid w:val="002D18A2"/>
    <w:rsid w:val="00301977"/>
    <w:rsid w:val="0030620C"/>
    <w:rsid w:val="00340A9C"/>
    <w:rsid w:val="00356F31"/>
    <w:rsid w:val="00362722"/>
    <w:rsid w:val="00376437"/>
    <w:rsid w:val="0038533C"/>
    <w:rsid w:val="003B4B0B"/>
    <w:rsid w:val="003D5359"/>
    <w:rsid w:val="00412855"/>
    <w:rsid w:val="00412B86"/>
    <w:rsid w:val="00464C1D"/>
    <w:rsid w:val="004833E7"/>
    <w:rsid w:val="00484899"/>
    <w:rsid w:val="004908DA"/>
    <w:rsid w:val="004F541F"/>
    <w:rsid w:val="00501016"/>
    <w:rsid w:val="00534395"/>
    <w:rsid w:val="00562B83"/>
    <w:rsid w:val="0057054A"/>
    <w:rsid w:val="00580430"/>
    <w:rsid w:val="0059360A"/>
    <w:rsid w:val="005A69A9"/>
    <w:rsid w:val="005F798A"/>
    <w:rsid w:val="00607D92"/>
    <w:rsid w:val="006111D4"/>
    <w:rsid w:val="00634776"/>
    <w:rsid w:val="006915E6"/>
    <w:rsid w:val="00691C23"/>
    <w:rsid w:val="0069528F"/>
    <w:rsid w:val="006D3C8D"/>
    <w:rsid w:val="00714172"/>
    <w:rsid w:val="0071668F"/>
    <w:rsid w:val="00750B46"/>
    <w:rsid w:val="00763655"/>
    <w:rsid w:val="007A0C67"/>
    <w:rsid w:val="007B2E0B"/>
    <w:rsid w:val="007C70C0"/>
    <w:rsid w:val="007D1219"/>
    <w:rsid w:val="007D6EF1"/>
    <w:rsid w:val="007E0FCF"/>
    <w:rsid w:val="007E2FBE"/>
    <w:rsid w:val="00802514"/>
    <w:rsid w:val="00811793"/>
    <w:rsid w:val="00812148"/>
    <w:rsid w:val="00846C12"/>
    <w:rsid w:val="008E54F4"/>
    <w:rsid w:val="008F4812"/>
    <w:rsid w:val="00901A1D"/>
    <w:rsid w:val="00910B57"/>
    <w:rsid w:val="00930CE7"/>
    <w:rsid w:val="00943062"/>
    <w:rsid w:val="00961AAB"/>
    <w:rsid w:val="00990414"/>
    <w:rsid w:val="009D40A3"/>
    <w:rsid w:val="009F47F9"/>
    <w:rsid w:val="00A43CEA"/>
    <w:rsid w:val="00A61B85"/>
    <w:rsid w:val="00A65F11"/>
    <w:rsid w:val="00A9066D"/>
    <w:rsid w:val="00A94345"/>
    <w:rsid w:val="00AD240D"/>
    <w:rsid w:val="00B214DE"/>
    <w:rsid w:val="00B26B3E"/>
    <w:rsid w:val="00B40DAA"/>
    <w:rsid w:val="00BE7859"/>
    <w:rsid w:val="00BF1D48"/>
    <w:rsid w:val="00C00973"/>
    <w:rsid w:val="00C03B2E"/>
    <w:rsid w:val="00C65465"/>
    <w:rsid w:val="00C71226"/>
    <w:rsid w:val="00C84EBB"/>
    <w:rsid w:val="00CA3A6D"/>
    <w:rsid w:val="00CB1A16"/>
    <w:rsid w:val="00CB69A8"/>
    <w:rsid w:val="00CD1843"/>
    <w:rsid w:val="00CF269C"/>
    <w:rsid w:val="00CF3A90"/>
    <w:rsid w:val="00CF45A8"/>
    <w:rsid w:val="00CF57DB"/>
    <w:rsid w:val="00D109C8"/>
    <w:rsid w:val="00D21DDE"/>
    <w:rsid w:val="00D7256C"/>
    <w:rsid w:val="00D94CE3"/>
    <w:rsid w:val="00DA0072"/>
    <w:rsid w:val="00DA0CB7"/>
    <w:rsid w:val="00DA779B"/>
    <w:rsid w:val="00DB2F1C"/>
    <w:rsid w:val="00DB3127"/>
    <w:rsid w:val="00E51EA0"/>
    <w:rsid w:val="00E8029D"/>
    <w:rsid w:val="00E86B7E"/>
    <w:rsid w:val="00EB03BC"/>
    <w:rsid w:val="00ED5C85"/>
    <w:rsid w:val="00ED7E53"/>
    <w:rsid w:val="00F246BC"/>
    <w:rsid w:val="00F63EC9"/>
    <w:rsid w:val="00F65D97"/>
    <w:rsid w:val="00F762DA"/>
    <w:rsid w:val="00F778AF"/>
    <w:rsid w:val="00FA633C"/>
    <w:rsid w:val="00FB4424"/>
    <w:rsid w:val="00FB4A22"/>
    <w:rsid w:val="00FC469A"/>
    <w:rsid w:val="00FE6E58"/>
    <w:rsid w:val="00FE7D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047A83"/>
  <w15:chartTrackingRefBased/>
  <w15:docId w15:val="{A1ABEE21-DEC4-42F0-9F7F-DEB4EC3A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4E7E"/>
    <w:pPr>
      <w:widowControl w:val="0"/>
      <w:autoSpaceDE w:val="0"/>
      <w:autoSpaceDN w:val="0"/>
      <w:adjustRightInd w:val="0"/>
    </w:pPr>
    <w:rPr>
      <w:rFonts w:ascii="Dutch Roman 12pt" w:hAnsi="Dutch Roman 12pt" w:cs="Arial Narrow"/>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0B4E7E"/>
  </w:style>
  <w:style w:type="paragraph" w:styleId="Sprechblasentext">
    <w:name w:val="Balloon Text"/>
    <w:basedOn w:val="Standard"/>
    <w:semiHidden/>
    <w:rsid w:val="003E1CD9"/>
    <w:rPr>
      <w:rFonts w:ascii="Tahoma" w:hAnsi="Tahoma" w:cs="Tahoma"/>
      <w:sz w:val="16"/>
      <w:szCs w:val="16"/>
    </w:rPr>
  </w:style>
  <w:style w:type="character" w:styleId="Kommentarzeichen">
    <w:name w:val="annotation reference"/>
    <w:uiPriority w:val="99"/>
    <w:semiHidden/>
    <w:unhideWhenUsed/>
    <w:rsid w:val="004833E7"/>
    <w:rPr>
      <w:sz w:val="18"/>
      <w:szCs w:val="18"/>
    </w:rPr>
  </w:style>
  <w:style w:type="paragraph" w:styleId="Kommentartext">
    <w:name w:val="annotation text"/>
    <w:basedOn w:val="Standard"/>
    <w:link w:val="KommentartextZchn"/>
    <w:uiPriority w:val="99"/>
    <w:unhideWhenUsed/>
    <w:rsid w:val="004833E7"/>
  </w:style>
  <w:style w:type="character" w:customStyle="1" w:styleId="KommentartextZchn">
    <w:name w:val="Kommentartext Zchn"/>
    <w:link w:val="Kommentartext"/>
    <w:uiPriority w:val="99"/>
    <w:rsid w:val="004833E7"/>
    <w:rPr>
      <w:rFonts w:ascii="Dutch Roman 12pt" w:hAnsi="Dutch Roman 12pt" w:cs="Arial Narrow"/>
      <w:sz w:val="24"/>
      <w:szCs w:val="24"/>
    </w:rPr>
  </w:style>
  <w:style w:type="paragraph" w:styleId="Kommentarthema">
    <w:name w:val="annotation subject"/>
    <w:basedOn w:val="Kommentartext"/>
    <w:next w:val="Kommentartext"/>
    <w:link w:val="KommentarthemaZchn"/>
    <w:uiPriority w:val="99"/>
    <w:semiHidden/>
    <w:unhideWhenUsed/>
    <w:rsid w:val="004833E7"/>
    <w:rPr>
      <w:b/>
      <w:bCs/>
      <w:sz w:val="20"/>
      <w:szCs w:val="20"/>
    </w:rPr>
  </w:style>
  <w:style w:type="character" w:customStyle="1" w:styleId="KommentarthemaZchn">
    <w:name w:val="Kommentarthema Zchn"/>
    <w:link w:val="Kommentarthema"/>
    <w:uiPriority w:val="99"/>
    <w:semiHidden/>
    <w:rsid w:val="004833E7"/>
    <w:rPr>
      <w:rFonts w:ascii="Dutch Roman 12pt" w:hAnsi="Dutch Roman 12pt" w:cs="Arial Narrow"/>
      <w:b/>
      <w:bCs/>
      <w:sz w:val="24"/>
      <w:szCs w:val="24"/>
    </w:rPr>
  </w:style>
  <w:style w:type="paragraph" w:styleId="berarbeitung">
    <w:name w:val="Revision"/>
    <w:hidden/>
    <w:uiPriority w:val="71"/>
    <w:rsid w:val="00DA779B"/>
    <w:rPr>
      <w:rFonts w:ascii="Dutch Roman 12pt" w:hAnsi="Dutch Roman 12pt"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94263-5040-4C0B-8FE0-394E30C42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962</Words>
  <Characters>6062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Professor Dr</vt:lpstr>
    </vt:vector>
  </TitlesOfParts>
  <Company>Humboldt-Universität zu Berlin</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Dr</dc:title>
  <dc:subject/>
  <dc:creator>Juristische Fakultät</dc:creator>
  <cp:keywords/>
  <cp:lastModifiedBy>Tobias Reinbacher</cp:lastModifiedBy>
  <cp:revision>6</cp:revision>
  <cp:lastPrinted>2020-10-16T11:49:00Z</cp:lastPrinted>
  <dcterms:created xsi:type="dcterms:W3CDTF">2024-10-04T07:50:00Z</dcterms:created>
  <dcterms:modified xsi:type="dcterms:W3CDTF">2024-10-14T10:08:00Z</dcterms:modified>
</cp:coreProperties>
</file>