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124E5" w14:textId="21B862C4" w:rsidR="00225253" w:rsidRDefault="00225253">
      <w:pPr>
        <w:tabs>
          <w:tab w:val="right" w:pos="10206"/>
        </w:tabs>
        <w:jc w:val="both"/>
        <w:rPr>
          <w:b/>
          <w:spacing w:val="-3"/>
        </w:rPr>
      </w:pPr>
      <w:r>
        <w:rPr>
          <w:b/>
          <w:spacing w:val="-3"/>
        </w:rPr>
        <w:t xml:space="preserve">Prof. Dr. </w:t>
      </w:r>
      <w:r w:rsidR="00E8751B">
        <w:rPr>
          <w:b/>
          <w:spacing w:val="-3"/>
        </w:rPr>
        <w:t xml:space="preserve">Dr. h.c. </w:t>
      </w:r>
      <w:r>
        <w:rPr>
          <w:b/>
          <w:spacing w:val="-3"/>
        </w:rPr>
        <w:t>Bernd Heinrich/</w:t>
      </w:r>
      <w:r w:rsidR="00525208" w:rsidRPr="00525208">
        <w:rPr>
          <w:b/>
          <w:spacing w:val="-3"/>
        </w:rPr>
        <w:t xml:space="preserve"> </w:t>
      </w:r>
      <w:r w:rsidR="00B20F64">
        <w:rPr>
          <w:b/>
          <w:spacing w:val="-3"/>
        </w:rPr>
        <w:t>Prof</w:t>
      </w:r>
      <w:r w:rsidR="00525208">
        <w:rPr>
          <w:b/>
          <w:spacing w:val="-3"/>
        </w:rPr>
        <w:t xml:space="preserve">. </w:t>
      </w:r>
      <w:r>
        <w:rPr>
          <w:b/>
          <w:spacing w:val="-3"/>
        </w:rPr>
        <w:t>Dr. Tobias Reinbacher</w:t>
      </w:r>
      <w:r>
        <w:rPr>
          <w:b/>
          <w:spacing w:val="-3"/>
        </w:rPr>
        <w:tab/>
      </w:r>
      <w:r w:rsidR="00AE19D7">
        <w:rPr>
          <w:b/>
          <w:spacing w:val="-3"/>
        </w:rPr>
        <w:t xml:space="preserve">Stand: 1. </w:t>
      </w:r>
      <w:r w:rsidR="00797B47">
        <w:rPr>
          <w:b/>
          <w:spacing w:val="-3"/>
        </w:rPr>
        <w:t>Oktober</w:t>
      </w:r>
      <w:r w:rsidR="00D14F9D">
        <w:rPr>
          <w:b/>
          <w:spacing w:val="-3"/>
        </w:rPr>
        <w:t xml:space="preserve"> </w:t>
      </w:r>
      <w:r w:rsidR="0051605A">
        <w:rPr>
          <w:b/>
          <w:spacing w:val="-3"/>
        </w:rPr>
        <w:t>202</w:t>
      </w:r>
      <w:r w:rsidR="0054555B">
        <w:rPr>
          <w:b/>
          <w:spacing w:val="-3"/>
        </w:rPr>
        <w:t>4</w:t>
      </w:r>
    </w:p>
    <w:p w14:paraId="7E612DF1" w14:textId="77777777" w:rsidR="00225253" w:rsidRDefault="00225253">
      <w:pPr>
        <w:tabs>
          <w:tab w:val="left" w:pos="-720"/>
        </w:tabs>
        <w:jc w:val="both"/>
        <w:rPr>
          <w:spacing w:val="-3"/>
        </w:rPr>
      </w:pPr>
    </w:p>
    <w:p w14:paraId="712C8510" w14:textId="26FE1285" w:rsidR="00225253" w:rsidRDefault="00225253" w:rsidP="00225253">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54555B">
        <w:rPr>
          <w:b/>
          <w:spacing w:val="-3"/>
        </w:rPr>
        <w:t> </w:t>
      </w:r>
      <w:r>
        <w:rPr>
          <w:b/>
          <w:spacing w:val="-3"/>
        </w:rPr>
        <w:t>2</w:t>
      </w:r>
    </w:p>
    <w:p w14:paraId="53F9A33C" w14:textId="77777777" w:rsidR="00225253" w:rsidRDefault="00225253" w:rsidP="00225253">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60"/>
        </w:rPr>
      </w:pPr>
      <w:r>
        <w:rPr>
          <w:b/>
          <w:spacing w:val="-7"/>
          <w:sz w:val="60"/>
        </w:rPr>
        <w:t>Das Vorverfahren</w:t>
      </w:r>
    </w:p>
    <w:p w14:paraId="2AF80858" w14:textId="77777777" w:rsidR="00225253" w:rsidRDefault="00225253">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472A48">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DE14FB">
        <w:rPr>
          <w:rFonts w:ascii="Times New Roman" w:hAnsi="Times New Roman"/>
          <w:noProof/>
          <w:vanish/>
          <w:spacing w:val="-7"/>
          <w:sz w:val="60"/>
        </w:rPr>
        <w:t>1</w:t>
      </w:r>
      <w:r>
        <w:rPr>
          <w:rFonts w:ascii="Times New Roman" w:hAnsi="Times New Roman"/>
          <w:vanish/>
          <w:spacing w:val="-7"/>
          <w:sz w:val="60"/>
        </w:rPr>
        <w:fldChar w:fldCharType="end"/>
      </w:r>
    </w:p>
    <w:p w14:paraId="0864DFC1" w14:textId="77777777" w:rsidR="00225253" w:rsidRPr="00787334" w:rsidRDefault="00225253" w:rsidP="00EE13AA">
      <w:pPr>
        <w:widowControl/>
        <w:tabs>
          <w:tab w:val="left" w:pos="-720"/>
          <w:tab w:val="left" w:pos="0"/>
          <w:tab w:val="left" w:pos="576"/>
          <w:tab w:val="left" w:pos="864"/>
          <w:tab w:val="left" w:pos="1116"/>
          <w:tab w:val="left" w:pos="1404"/>
          <w:tab w:val="left" w:pos="1692"/>
          <w:tab w:val="left" w:pos="1980"/>
          <w:tab w:val="left" w:pos="2268"/>
          <w:tab w:val="left" w:pos="2880"/>
        </w:tabs>
        <w:jc w:val="both"/>
        <w:rPr>
          <w:rFonts w:ascii="Times New Roman" w:hAnsi="Times New Roman"/>
          <w:b/>
          <w:spacing w:val="-2"/>
          <w:sz w:val="16"/>
        </w:rPr>
      </w:pPr>
    </w:p>
    <w:p w14:paraId="20E8A30A" w14:textId="3AEE8D05" w:rsidR="00225253" w:rsidRPr="00787334" w:rsidRDefault="00225253" w:rsidP="00225253">
      <w:pPr>
        <w:widowControl/>
        <w:tabs>
          <w:tab w:val="left" w:pos="-720"/>
          <w:tab w:val="left" w:pos="0"/>
          <w:tab w:val="left" w:pos="28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787334">
        <w:rPr>
          <w:rFonts w:ascii="Times New Roman" w:hAnsi="Times New Roman"/>
          <w:b/>
          <w:spacing w:val="-2"/>
          <w:sz w:val="16"/>
        </w:rPr>
        <w:t xml:space="preserve">I. </w:t>
      </w:r>
      <w:r>
        <w:rPr>
          <w:rFonts w:ascii="Times New Roman" w:hAnsi="Times New Roman"/>
          <w:b/>
          <w:spacing w:val="-2"/>
          <w:sz w:val="16"/>
        </w:rPr>
        <w:tab/>
      </w:r>
      <w:r w:rsidRPr="00787334">
        <w:rPr>
          <w:rFonts w:ascii="Times New Roman" w:hAnsi="Times New Roman"/>
          <w:b/>
          <w:spacing w:val="-2"/>
          <w:sz w:val="16"/>
        </w:rPr>
        <w:t>Allgemeines</w:t>
      </w:r>
      <w:r w:rsidRPr="00787334">
        <w:rPr>
          <w:rFonts w:ascii="Times New Roman" w:hAnsi="Times New Roman"/>
          <w:spacing w:val="-2"/>
          <w:sz w:val="16"/>
        </w:rPr>
        <w:t>: Das Vorverfahren oder Ermittlungsverfahren bildet den ersten Abschnitt des Erkenntnisverfahrens und damit des gesamten Strafverfahrens. Erhält die Staatsanwaltschaft (StA) Kenntnis von einer Straftat und besteht auf Grund tatsächlicher Anhaltspunkte ein Anfangsverdacht, so ist die StA verpflichtet, das Ermittlungsverfahren einzuleiten (Legalitätsprinzip; siehe dazu Arbeitsblatt Nr.</w:t>
      </w:r>
      <w:r w:rsidR="00EF4F4E">
        <w:rPr>
          <w:rFonts w:ascii="Times New Roman" w:hAnsi="Times New Roman"/>
          <w:spacing w:val="-2"/>
          <w:sz w:val="16"/>
        </w:rPr>
        <w:t> </w:t>
      </w:r>
      <w:r w:rsidRPr="00787334">
        <w:rPr>
          <w:rFonts w:ascii="Times New Roman" w:hAnsi="Times New Roman"/>
          <w:spacing w:val="-2"/>
          <w:sz w:val="16"/>
        </w:rPr>
        <w:t xml:space="preserve">5). Im Vorverfahren ermittelt die StA sodann, ob ein hinreichender Tatverdacht zur Erhebung </w:t>
      </w:r>
      <w:r>
        <w:rPr>
          <w:rFonts w:ascii="Times New Roman" w:hAnsi="Times New Roman"/>
          <w:spacing w:val="-2"/>
          <w:sz w:val="16"/>
        </w:rPr>
        <w:t>einer</w:t>
      </w:r>
      <w:r w:rsidRPr="00787334">
        <w:rPr>
          <w:rFonts w:ascii="Times New Roman" w:hAnsi="Times New Roman"/>
          <w:spacing w:val="-2"/>
          <w:sz w:val="16"/>
        </w:rPr>
        <w:t xml:space="preserve"> öffentlichen Klage besteht. Ist dies nicht der Fall, stellt sie das Strafverfahren mangels Tatverdachts ein, § 170 II StPO. Die Person, gegen welche ein Anfangsverdacht besteht und gegen welche daher ermittelt wird, trägt den Namen „Beschuldigter“. Das Ermittlungsverfahren liegt vollständig und ausschließlich im Zuständigkeitsbereich der StA. Sie wird daher gewöhnlich auch als die „Herrin des Vorverfahrens“ bezeichnet. </w:t>
      </w:r>
      <w:r w:rsidRPr="00E7797D">
        <w:rPr>
          <w:rFonts w:ascii="Times New Roman" w:hAnsi="Times New Roman"/>
          <w:b/>
          <w:spacing w:val="-2"/>
          <w:sz w:val="16"/>
        </w:rPr>
        <w:t>Beachte</w:t>
      </w:r>
      <w:r w:rsidRPr="00787334">
        <w:rPr>
          <w:rFonts w:ascii="Times New Roman" w:hAnsi="Times New Roman"/>
          <w:spacing w:val="-2"/>
          <w:sz w:val="16"/>
        </w:rPr>
        <w:t xml:space="preserve"> aber: Bei bestimmten Ermittlungsmaßnahmen, wie etwa bei Abhörmaßnahmen, muss die StA dennoch vorher</w:t>
      </w:r>
      <w:r>
        <w:rPr>
          <w:rFonts w:ascii="Times New Roman" w:hAnsi="Times New Roman"/>
          <w:spacing w:val="-2"/>
          <w:sz w:val="16"/>
        </w:rPr>
        <w:t>,</w:t>
      </w:r>
      <w:r w:rsidRPr="00787334">
        <w:rPr>
          <w:rFonts w:ascii="Times New Roman" w:hAnsi="Times New Roman"/>
          <w:spacing w:val="-2"/>
          <w:sz w:val="16"/>
        </w:rPr>
        <w:t xml:space="preserve"> oder bei Gefahr im Verzug zumindest nachträglich</w:t>
      </w:r>
      <w:r>
        <w:rPr>
          <w:rFonts w:ascii="Times New Roman" w:hAnsi="Times New Roman"/>
          <w:spacing w:val="-2"/>
          <w:sz w:val="16"/>
        </w:rPr>
        <w:t>,</w:t>
      </w:r>
      <w:r w:rsidRPr="00787334">
        <w:rPr>
          <w:rFonts w:ascii="Times New Roman" w:hAnsi="Times New Roman"/>
          <w:spacing w:val="-2"/>
          <w:sz w:val="16"/>
        </w:rPr>
        <w:t xml:space="preserve"> eine richterliche Anordnung durch den sog. „Ermittlungsrichter“ einholen</w:t>
      </w:r>
      <w:r w:rsidR="001B68DB">
        <w:rPr>
          <w:rFonts w:ascii="Times New Roman" w:hAnsi="Times New Roman"/>
          <w:spacing w:val="-2"/>
          <w:sz w:val="16"/>
        </w:rPr>
        <w:t xml:space="preserve"> (Richtervorbehalt)</w:t>
      </w:r>
      <w:r w:rsidRPr="00787334">
        <w:rPr>
          <w:rFonts w:ascii="Times New Roman" w:hAnsi="Times New Roman"/>
          <w:spacing w:val="-2"/>
          <w:sz w:val="16"/>
        </w:rPr>
        <w:t>; dies ändert aber nichts am Charakter des Vorverfahrens als staatsanwalt</w:t>
      </w:r>
      <w:r>
        <w:rPr>
          <w:rFonts w:ascii="Times New Roman" w:hAnsi="Times New Roman"/>
          <w:spacing w:val="-2"/>
          <w:sz w:val="16"/>
        </w:rPr>
        <w:t>schaft</w:t>
      </w:r>
      <w:r w:rsidRPr="00787334">
        <w:rPr>
          <w:rFonts w:ascii="Times New Roman" w:hAnsi="Times New Roman"/>
          <w:spacing w:val="-2"/>
          <w:sz w:val="16"/>
        </w:rPr>
        <w:t>liches Ermittlungsverfahren.</w:t>
      </w:r>
    </w:p>
    <w:p w14:paraId="17C38BC1" w14:textId="6CA4BF9F" w:rsidR="00225253" w:rsidRPr="00787334" w:rsidRDefault="00225253" w:rsidP="00EF4F4E">
      <w:pPr>
        <w:widowControl/>
        <w:tabs>
          <w:tab w:val="left" w:pos="-720"/>
          <w:tab w:val="left" w:pos="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787334">
        <w:rPr>
          <w:rFonts w:ascii="Times New Roman" w:hAnsi="Times New Roman"/>
          <w:b/>
          <w:spacing w:val="-2"/>
          <w:sz w:val="16"/>
        </w:rPr>
        <w:t xml:space="preserve">II. </w:t>
      </w:r>
      <w:r>
        <w:rPr>
          <w:rFonts w:ascii="Times New Roman" w:hAnsi="Times New Roman"/>
          <w:b/>
          <w:spacing w:val="-2"/>
          <w:sz w:val="16"/>
        </w:rPr>
        <w:tab/>
      </w:r>
      <w:r w:rsidRPr="00787334">
        <w:rPr>
          <w:rFonts w:ascii="Times New Roman" w:hAnsi="Times New Roman"/>
          <w:b/>
          <w:spacing w:val="-2"/>
          <w:sz w:val="16"/>
        </w:rPr>
        <w:t xml:space="preserve">Einleitung des Ermittlungsverfahrens: </w:t>
      </w:r>
      <w:r w:rsidRPr="00787334">
        <w:rPr>
          <w:rFonts w:ascii="Times New Roman" w:hAnsi="Times New Roman"/>
          <w:spacing w:val="-2"/>
          <w:sz w:val="16"/>
        </w:rPr>
        <w:t xml:space="preserve">Das Ermittlungsverfahren wird eingeleitet, wenn die StA Kenntnis von der Möglichkeit des Vorliegens eines strafbaren Verhaltens erhält und sich aus dieser Kenntnis ein </w:t>
      </w:r>
      <w:r w:rsidRPr="00220EB3">
        <w:rPr>
          <w:rFonts w:ascii="Times New Roman" w:hAnsi="Times New Roman"/>
          <w:b/>
          <w:spacing w:val="-2"/>
          <w:sz w:val="16"/>
        </w:rPr>
        <w:t>Anfangsverdacht</w:t>
      </w:r>
      <w:r w:rsidRPr="00787334">
        <w:rPr>
          <w:rFonts w:ascii="Times New Roman" w:hAnsi="Times New Roman"/>
          <w:spacing w:val="-2"/>
          <w:sz w:val="16"/>
        </w:rPr>
        <w:t xml:space="preserve"> gegen einen Beschuldigten ergibt. Das Ermittlungsverfahren kann dabei auf zwei verschiedene Arten in Gang gesetzt werden:</w:t>
      </w:r>
    </w:p>
    <w:p w14:paraId="63FD41C4" w14:textId="67DBB018" w:rsidR="00225253" w:rsidRPr="00787334" w:rsidRDefault="00225253" w:rsidP="00A07E24">
      <w:pPr>
        <w:widowControl/>
        <w:tabs>
          <w:tab w:val="left" w:pos="-720"/>
          <w:tab w:val="left" w:pos="288"/>
          <w:tab w:val="left" w:pos="576"/>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220EB3">
        <w:rPr>
          <w:rFonts w:ascii="Times New Roman" w:hAnsi="Times New Roman"/>
          <w:spacing w:val="-2"/>
          <w:sz w:val="16"/>
        </w:rPr>
        <w:tab/>
      </w:r>
      <w:r w:rsidRPr="00787334">
        <w:rPr>
          <w:rFonts w:ascii="Times New Roman" w:hAnsi="Times New Roman"/>
          <w:spacing w:val="-2"/>
          <w:sz w:val="16"/>
          <w:u w:val="single"/>
        </w:rPr>
        <w:t xml:space="preserve">1. </w:t>
      </w:r>
      <w:r>
        <w:rPr>
          <w:rFonts w:ascii="Times New Roman" w:hAnsi="Times New Roman"/>
          <w:spacing w:val="-2"/>
          <w:sz w:val="16"/>
          <w:u w:val="single"/>
        </w:rPr>
        <w:tab/>
      </w:r>
      <w:r w:rsidRPr="00787334">
        <w:rPr>
          <w:rFonts w:ascii="Times New Roman" w:hAnsi="Times New Roman"/>
          <w:spacing w:val="-2"/>
          <w:sz w:val="16"/>
          <w:u w:val="single"/>
        </w:rPr>
        <w:t>Durch Strafanzeige oder Strafantrag:</w:t>
      </w:r>
      <w:r w:rsidRPr="00787334">
        <w:rPr>
          <w:rFonts w:ascii="Times New Roman" w:hAnsi="Times New Roman"/>
          <w:spacing w:val="-2"/>
          <w:sz w:val="16"/>
        </w:rPr>
        <w:t xml:space="preserve"> Zunächst steht es jedem Bürger </w:t>
      </w:r>
      <w:proofErr w:type="spellStart"/>
      <w:r w:rsidRPr="00787334">
        <w:rPr>
          <w:rFonts w:ascii="Times New Roman" w:hAnsi="Times New Roman"/>
          <w:spacing w:val="-2"/>
          <w:sz w:val="16"/>
        </w:rPr>
        <w:t>grds</w:t>
      </w:r>
      <w:proofErr w:type="spellEnd"/>
      <w:r w:rsidRPr="00787334">
        <w:rPr>
          <w:rFonts w:ascii="Times New Roman" w:hAnsi="Times New Roman"/>
          <w:spacing w:val="-2"/>
          <w:sz w:val="16"/>
        </w:rPr>
        <w:t xml:space="preserve">. zu, eine </w:t>
      </w:r>
      <w:r w:rsidRPr="00787334">
        <w:rPr>
          <w:rFonts w:ascii="Times New Roman" w:hAnsi="Times New Roman"/>
          <w:b/>
          <w:spacing w:val="-2"/>
          <w:sz w:val="16"/>
        </w:rPr>
        <w:t>Strafanzeige</w:t>
      </w:r>
      <w:r w:rsidRPr="00787334">
        <w:rPr>
          <w:rFonts w:ascii="Times New Roman" w:hAnsi="Times New Roman"/>
          <w:spacing w:val="-2"/>
          <w:sz w:val="16"/>
        </w:rPr>
        <w:t xml:space="preserve"> zu erstatten, § 158 I </w:t>
      </w:r>
      <w:r w:rsidR="00EF4F4E">
        <w:rPr>
          <w:rFonts w:ascii="Times New Roman" w:hAnsi="Times New Roman"/>
          <w:spacing w:val="-2"/>
          <w:sz w:val="16"/>
        </w:rPr>
        <w:t xml:space="preserve">1 Alt. 1 </w:t>
      </w:r>
      <w:r w:rsidRPr="00787334">
        <w:rPr>
          <w:rFonts w:ascii="Times New Roman" w:hAnsi="Times New Roman"/>
          <w:spacing w:val="-2"/>
          <w:sz w:val="16"/>
        </w:rPr>
        <w:t xml:space="preserve">StPO. Darunter ist die Mitteilung eines Sachverhalts gegenüber der StA, der Polizei oder einem Gericht zu verstehen, </w:t>
      </w:r>
      <w:r w:rsidR="00EF4F4E">
        <w:rPr>
          <w:rFonts w:ascii="Times New Roman" w:hAnsi="Times New Roman"/>
          <w:spacing w:val="-2"/>
          <w:sz w:val="16"/>
        </w:rPr>
        <w:t xml:space="preserve">der nach Meinung des Anzeigenden </w:t>
      </w:r>
      <w:r w:rsidRPr="00787334">
        <w:rPr>
          <w:rFonts w:ascii="Times New Roman" w:hAnsi="Times New Roman"/>
          <w:spacing w:val="-2"/>
          <w:sz w:val="16"/>
        </w:rPr>
        <w:t xml:space="preserve">Anlass zur Strafverfolgung gibt. </w:t>
      </w:r>
      <w:r w:rsidRPr="00E7797D">
        <w:rPr>
          <w:rFonts w:ascii="Times New Roman" w:hAnsi="Times New Roman"/>
          <w:b/>
          <w:spacing w:val="-2"/>
          <w:sz w:val="16"/>
        </w:rPr>
        <w:t>Beachte</w:t>
      </w:r>
      <w:r w:rsidRPr="00787334">
        <w:rPr>
          <w:rFonts w:ascii="Times New Roman" w:hAnsi="Times New Roman"/>
          <w:spacing w:val="-2"/>
          <w:sz w:val="16"/>
        </w:rPr>
        <w:t>: Unter den Voraussetzungen des § 138 StGB kann bei bestimmten geplanten Verbrechen sogar eine Anzeigepflicht bestehen. Bei bewussten Falschanzeigen kann sich der Anzeigeerstatter hingegen selbst strafbar machen, §§ 145d, 164, 187 StGB. Strafanzeigen</w:t>
      </w:r>
      <w:r w:rsidR="00EF4F4E">
        <w:rPr>
          <w:rFonts w:ascii="Times New Roman" w:hAnsi="Times New Roman"/>
          <w:spacing w:val="-2"/>
          <w:sz w:val="16"/>
        </w:rPr>
        <w:t xml:space="preserve"> </w:t>
      </w:r>
      <w:r w:rsidR="00040867">
        <w:rPr>
          <w:rFonts w:ascii="Times New Roman" w:hAnsi="Times New Roman"/>
          <w:spacing w:val="-2"/>
          <w:sz w:val="16"/>
        </w:rPr>
        <w:t>können formlos</w:t>
      </w:r>
      <w:r w:rsidRPr="00787334">
        <w:rPr>
          <w:rFonts w:ascii="Times New Roman" w:hAnsi="Times New Roman"/>
          <w:spacing w:val="-2"/>
          <w:sz w:val="16"/>
        </w:rPr>
        <w:t xml:space="preserve"> </w:t>
      </w:r>
      <w:r w:rsidR="009657D3">
        <w:rPr>
          <w:rFonts w:ascii="Times New Roman" w:hAnsi="Times New Roman"/>
          <w:spacing w:val="-2"/>
          <w:sz w:val="16"/>
        </w:rPr>
        <w:t xml:space="preserve">angebracht </w:t>
      </w:r>
      <w:r w:rsidRPr="00787334">
        <w:rPr>
          <w:rFonts w:ascii="Times New Roman" w:hAnsi="Times New Roman"/>
          <w:spacing w:val="-2"/>
          <w:sz w:val="16"/>
        </w:rPr>
        <w:t>werden.</w:t>
      </w:r>
      <w:r w:rsidR="00801C8E">
        <w:rPr>
          <w:rFonts w:ascii="Times New Roman" w:hAnsi="Times New Roman"/>
          <w:spacing w:val="-2"/>
          <w:sz w:val="16"/>
        </w:rPr>
        <w:t xml:space="preserve"> </w:t>
      </w:r>
      <w:r w:rsidRPr="00787334">
        <w:rPr>
          <w:rFonts w:ascii="Times New Roman" w:hAnsi="Times New Roman"/>
          <w:spacing w:val="-2"/>
          <w:sz w:val="16"/>
        </w:rPr>
        <w:t xml:space="preserve">Daneben besteht die Möglichkeit, einen </w:t>
      </w:r>
      <w:r w:rsidRPr="00787334">
        <w:rPr>
          <w:rFonts w:ascii="Times New Roman" w:hAnsi="Times New Roman"/>
          <w:b/>
          <w:spacing w:val="-2"/>
          <w:sz w:val="16"/>
        </w:rPr>
        <w:t>Strafantrag</w:t>
      </w:r>
      <w:r w:rsidRPr="00787334">
        <w:rPr>
          <w:rFonts w:ascii="Times New Roman" w:hAnsi="Times New Roman"/>
          <w:spacing w:val="-2"/>
          <w:sz w:val="16"/>
        </w:rPr>
        <w:t xml:space="preserve"> zu stellen. Hierbei gilt es zwischen dem Strafantrag im </w:t>
      </w:r>
      <w:proofErr w:type="gramStart"/>
      <w:r w:rsidRPr="00787334">
        <w:rPr>
          <w:rFonts w:ascii="Times New Roman" w:hAnsi="Times New Roman"/>
          <w:spacing w:val="-2"/>
          <w:sz w:val="16"/>
        </w:rPr>
        <w:t>weiteren</w:t>
      </w:r>
      <w:proofErr w:type="gramEnd"/>
      <w:r w:rsidR="00EF4F4E">
        <w:rPr>
          <w:rFonts w:ascii="Times New Roman" w:hAnsi="Times New Roman"/>
          <w:spacing w:val="-2"/>
          <w:sz w:val="16"/>
        </w:rPr>
        <w:t xml:space="preserve"> </w:t>
      </w:r>
      <w:r w:rsidRPr="00787334">
        <w:rPr>
          <w:rFonts w:ascii="Times New Roman" w:hAnsi="Times New Roman"/>
          <w:spacing w:val="-2"/>
          <w:sz w:val="16"/>
        </w:rPr>
        <w:t>und dem im engeren Sinne zu unterscheiden. Der Strafantrag im weiteren Sinne gemäß § 158 I </w:t>
      </w:r>
      <w:r w:rsidR="00EF4F4E">
        <w:rPr>
          <w:rFonts w:ascii="Times New Roman" w:hAnsi="Times New Roman"/>
          <w:spacing w:val="-2"/>
          <w:sz w:val="16"/>
        </w:rPr>
        <w:t xml:space="preserve">1 Alt. 2 </w:t>
      </w:r>
      <w:r w:rsidRPr="00787334">
        <w:rPr>
          <w:rFonts w:ascii="Times New Roman" w:hAnsi="Times New Roman"/>
          <w:spacing w:val="-2"/>
          <w:sz w:val="16"/>
        </w:rPr>
        <w:t xml:space="preserve">StPO steht wiederum jedem Bürger offen und unterscheidet sich von der Strafanzeige nur dadurch, dass der Anzeigende über die bloße Übermittlung des Sachverhalts hinaus deutlich macht, dass er die Straftat auch tatsächlich verfolgt sehen möchte. Der Strafantrag im engeren Sinne </w:t>
      </w:r>
      <w:r w:rsidR="00EF4F4E">
        <w:rPr>
          <w:rFonts w:ascii="Times New Roman" w:hAnsi="Times New Roman"/>
          <w:spacing w:val="-2"/>
          <w:sz w:val="16"/>
        </w:rPr>
        <w:t xml:space="preserve">(§ 158 II StPO) </w:t>
      </w:r>
      <w:r w:rsidRPr="00787334">
        <w:rPr>
          <w:rFonts w:ascii="Times New Roman" w:hAnsi="Times New Roman"/>
          <w:spacing w:val="-2"/>
          <w:sz w:val="16"/>
        </w:rPr>
        <w:t xml:space="preserve">ist Gegenstand der §§ 77 ff. StGB. Er ist bei den sog. </w:t>
      </w:r>
      <w:r w:rsidRPr="00926C71">
        <w:rPr>
          <w:rFonts w:ascii="Times New Roman" w:hAnsi="Times New Roman"/>
          <w:spacing w:val="-2"/>
          <w:sz w:val="16"/>
        </w:rPr>
        <w:t>Antragsdelikten echte</w:t>
      </w:r>
      <w:r w:rsidRPr="00787334">
        <w:rPr>
          <w:rFonts w:ascii="Times New Roman" w:hAnsi="Times New Roman"/>
          <w:spacing w:val="-2"/>
          <w:sz w:val="16"/>
        </w:rPr>
        <w:t xml:space="preserve"> Prozessvoraussetzung</w:t>
      </w:r>
      <w:r w:rsidR="00040867">
        <w:rPr>
          <w:rFonts w:ascii="Times New Roman" w:hAnsi="Times New Roman"/>
          <w:spacing w:val="-2"/>
          <w:sz w:val="16"/>
        </w:rPr>
        <w:t>. Auch hier besteht kein Formerfordernis</w:t>
      </w:r>
      <w:r w:rsidR="009657D3">
        <w:rPr>
          <w:rFonts w:ascii="Times New Roman" w:hAnsi="Times New Roman"/>
          <w:spacing w:val="-2"/>
          <w:sz w:val="16"/>
        </w:rPr>
        <w:t xml:space="preserve"> mehr</w:t>
      </w:r>
      <w:r w:rsidR="00040867">
        <w:rPr>
          <w:rFonts w:ascii="Times New Roman" w:hAnsi="Times New Roman"/>
          <w:spacing w:val="-2"/>
          <w:sz w:val="16"/>
        </w:rPr>
        <w:t xml:space="preserve">. Allerdings müssen </w:t>
      </w:r>
      <w:r w:rsidR="00801C8E">
        <w:rPr>
          <w:rFonts w:ascii="Times New Roman" w:hAnsi="Times New Roman"/>
          <w:spacing w:val="-2"/>
          <w:sz w:val="16"/>
        </w:rPr>
        <w:t xml:space="preserve">nach § 158 II StPO </w:t>
      </w:r>
      <w:r w:rsidR="00040867">
        <w:rPr>
          <w:rFonts w:ascii="Times New Roman" w:hAnsi="Times New Roman"/>
          <w:spacing w:val="-2"/>
          <w:sz w:val="16"/>
        </w:rPr>
        <w:t>die Identität und der Verfolgungswille der antragstellenden Person sichergestellt werden</w:t>
      </w:r>
      <w:r w:rsidR="00801C8E">
        <w:rPr>
          <w:rFonts w:ascii="Times New Roman" w:hAnsi="Times New Roman"/>
          <w:spacing w:val="-2"/>
          <w:sz w:val="16"/>
        </w:rPr>
        <w:t>.</w:t>
      </w:r>
      <w:r w:rsidRPr="00787334">
        <w:rPr>
          <w:rFonts w:ascii="Times New Roman" w:hAnsi="Times New Roman"/>
          <w:spacing w:val="-2"/>
          <w:sz w:val="16"/>
        </w:rPr>
        <w:t xml:space="preserve"> Ohne Strafantrag des Antragsberechtigten kommt es nicht zur Eröffnung des Hauptverfahrens</w:t>
      </w:r>
      <w:r w:rsidR="00AB41E2">
        <w:rPr>
          <w:rFonts w:ascii="Times New Roman" w:hAnsi="Times New Roman"/>
          <w:spacing w:val="-2"/>
          <w:sz w:val="16"/>
        </w:rPr>
        <w:t>.</w:t>
      </w:r>
      <w:r w:rsidRPr="00787334">
        <w:rPr>
          <w:rFonts w:ascii="Times New Roman" w:hAnsi="Times New Roman"/>
          <w:spacing w:val="-2"/>
          <w:sz w:val="16"/>
        </w:rPr>
        <w:t xml:space="preserve"> </w:t>
      </w:r>
      <w:r w:rsidR="00AB41E2">
        <w:rPr>
          <w:rFonts w:ascii="Times New Roman" w:hAnsi="Times New Roman"/>
          <w:spacing w:val="-2"/>
          <w:sz w:val="16"/>
        </w:rPr>
        <w:t>I</w:t>
      </w:r>
      <w:r w:rsidRPr="00787334">
        <w:rPr>
          <w:rFonts w:ascii="Times New Roman" w:hAnsi="Times New Roman"/>
          <w:spacing w:val="-2"/>
          <w:sz w:val="16"/>
        </w:rPr>
        <w:t xml:space="preserve">n der Regel wird bei Antragsdelikten auch schon </w:t>
      </w:r>
      <w:r w:rsidR="00EF4F4E" w:rsidRPr="00787334">
        <w:rPr>
          <w:rFonts w:ascii="Times New Roman" w:hAnsi="Times New Roman"/>
          <w:spacing w:val="-2"/>
          <w:sz w:val="16"/>
        </w:rPr>
        <w:t>kein</w:t>
      </w:r>
      <w:r w:rsidRPr="00787334">
        <w:rPr>
          <w:rFonts w:ascii="Times New Roman" w:hAnsi="Times New Roman"/>
          <w:spacing w:val="-2"/>
          <w:sz w:val="16"/>
        </w:rPr>
        <w:t xml:space="preserve"> Strafverfahren eingeleitet, es sei denn, es handelt sich um ein </w:t>
      </w:r>
      <w:r w:rsidR="00525532">
        <w:rPr>
          <w:rFonts w:ascii="Times New Roman" w:hAnsi="Times New Roman"/>
          <w:spacing w:val="-2"/>
          <w:sz w:val="16"/>
        </w:rPr>
        <w:t>relativ</w:t>
      </w:r>
      <w:r w:rsidR="00525532" w:rsidRPr="00787334">
        <w:rPr>
          <w:rFonts w:ascii="Times New Roman" w:hAnsi="Times New Roman"/>
          <w:spacing w:val="-2"/>
          <w:sz w:val="16"/>
        </w:rPr>
        <w:t xml:space="preserve">es </w:t>
      </w:r>
      <w:r w:rsidRPr="00787334">
        <w:rPr>
          <w:rFonts w:ascii="Times New Roman" w:hAnsi="Times New Roman"/>
          <w:spacing w:val="-2"/>
          <w:sz w:val="16"/>
        </w:rPr>
        <w:t>Antragsdelikt, bei welchem daneben auch noch die Möglichkeit der Strafverfolgung von Amts wegen besteht</w:t>
      </w:r>
      <w:r w:rsidR="00AB41E2">
        <w:rPr>
          <w:rFonts w:ascii="Times New Roman" w:hAnsi="Times New Roman"/>
          <w:spacing w:val="-2"/>
          <w:sz w:val="16"/>
        </w:rPr>
        <w:t xml:space="preserve">, wenn die </w:t>
      </w:r>
      <w:proofErr w:type="spellStart"/>
      <w:r w:rsidR="00AB41E2">
        <w:rPr>
          <w:rFonts w:ascii="Times New Roman" w:hAnsi="Times New Roman"/>
          <w:spacing w:val="-2"/>
          <w:sz w:val="16"/>
        </w:rPr>
        <w:t>StA</w:t>
      </w:r>
      <w:proofErr w:type="spellEnd"/>
      <w:r w:rsidR="00AB41E2">
        <w:rPr>
          <w:rFonts w:ascii="Times New Roman" w:hAnsi="Times New Roman"/>
          <w:spacing w:val="-2"/>
          <w:sz w:val="16"/>
        </w:rPr>
        <w:t xml:space="preserve"> ein </w:t>
      </w:r>
      <w:r w:rsidR="00926C71">
        <w:rPr>
          <w:rFonts w:ascii="Times New Roman" w:hAnsi="Times New Roman"/>
          <w:spacing w:val="-2"/>
          <w:sz w:val="16"/>
        </w:rPr>
        <w:t xml:space="preserve">besonderes </w:t>
      </w:r>
      <w:r w:rsidR="00AB41E2">
        <w:rPr>
          <w:rFonts w:ascii="Times New Roman" w:hAnsi="Times New Roman"/>
          <w:spacing w:val="-2"/>
          <w:sz w:val="16"/>
        </w:rPr>
        <w:t>öffentliches Interesse an der Strafverfolgung bejaht.</w:t>
      </w:r>
      <w:r w:rsidRPr="00787334">
        <w:rPr>
          <w:rFonts w:ascii="Times New Roman" w:hAnsi="Times New Roman"/>
          <w:spacing w:val="-2"/>
          <w:sz w:val="16"/>
        </w:rPr>
        <w:t xml:space="preserve"> Antragsberechtigt sind beim Strafantrag im engeren Sinne nur bestimmte, in den §§ 77 f. StGB näher bezeichnete Personen. In der Regel ist dies der durch die Straftat Verletzte, § 77 I StGB. </w:t>
      </w:r>
      <w:r w:rsidR="00040867">
        <w:rPr>
          <w:rFonts w:ascii="Times New Roman" w:hAnsi="Times New Roman"/>
          <w:spacing w:val="-2"/>
          <w:sz w:val="16"/>
        </w:rPr>
        <w:t>Darüber hinaus ist die in §</w:t>
      </w:r>
      <w:r w:rsidR="00FF7E36">
        <w:rPr>
          <w:rFonts w:ascii="Times New Roman" w:hAnsi="Times New Roman"/>
          <w:spacing w:val="-2"/>
          <w:sz w:val="16"/>
        </w:rPr>
        <w:t> </w:t>
      </w:r>
      <w:r w:rsidR="00040867">
        <w:rPr>
          <w:rFonts w:ascii="Times New Roman" w:hAnsi="Times New Roman"/>
          <w:spacing w:val="-2"/>
          <w:sz w:val="16"/>
        </w:rPr>
        <w:t>77b StGB geregelte Antragsfrist einzuhalten.</w:t>
      </w:r>
    </w:p>
    <w:p w14:paraId="05D0D931" w14:textId="6CAF3868" w:rsidR="00225253" w:rsidRPr="00787334"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787334">
        <w:rPr>
          <w:rFonts w:ascii="Times New Roman" w:hAnsi="Times New Roman"/>
          <w:spacing w:val="-2"/>
          <w:sz w:val="16"/>
        </w:rPr>
        <w:tab/>
      </w:r>
      <w:r w:rsidRPr="00787334">
        <w:rPr>
          <w:rFonts w:ascii="Times New Roman" w:hAnsi="Times New Roman"/>
          <w:spacing w:val="-2"/>
          <w:sz w:val="16"/>
          <w:u w:val="single"/>
        </w:rPr>
        <w:t xml:space="preserve">2. </w:t>
      </w:r>
      <w:r>
        <w:rPr>
          <w:rFonts w:ascii="Times New Roman" w:hAnsi="Times New Roman"/>
          <w:spacing w:val="-2"/>
          <w:sz w:val="16"/>
          <w:u w:val="single"/>
        </w:rPr>
        <w:tab/>
      </w:r>
      <w:r w:rsidRPr="00787334">
        <w:rPr>
          <w:rFonts w:ascii="Times New Roman" w:hAnsi="Times New Roman"/>
          <w:spacing w:val="-2"/>
          <w:sz w:val="16"/>
          <w:u w:val="single"/>
        </w:rPr>
        <w:t>Von Amts wegen:</w:t>
      </w:r>
      <w:r w:rsidRPr="00787334">
        <w:rPr>
          <w:rFonts w:ascii="Times New Roman" w:hAnsi="Times New Roman"/>
          <w:spacing w:val="-2"/>
          <w:sz w:val="16"/>
        </w:rPr>
        <w:t xml:space="preserve"> Selbstverständlich kann die StA auch </w:t>
      </w:r>
      <w:r w:rsidRPr="00787334">
        <w:rPr>
          <w:rFonts w:ascii="Times New Roman" w:hAnsi="Times New Roman"/>
          <w:b/>
          <w:spacing w:val="-2"/>
          <w:sz w:val="16"/>
        </w:rPr>
        <w:t>von Amts wegen</w:t>
      </w:r>
      <w:r w:rsidRPr="00787334">
        <w:rPr>
          <w:rFonts w:ascii="Times New Roman" w:hAnsi="Times New Roman"/>
          <w:spacing w:val="-2"/>
          <w:sz w:val="16"/>
        </w:rPr>
        <w:t xml:space="preserve"> ermitteln, § 160 I Alt. </w:t>
      </w:r>
      <w:r w:rsidR="00EF4F4E">
        <w:rPr>
          <w:rFonts w:ascii="Times New Roman" w:hAnsi="Times New Roman"/>
          <w:spacing w:val="-2"/>
          <w:sz w:val="16"/>
        </w:rPr>
        <w:t xml:space="preserve">2 </w:t>
      </w:r>
      <w:r w:rsidRPr="00787334">
        <w:rPr>
          <w:rFonts w:ascii="Times New Roman" w:hAnsi="Times New Roman"/>
          <w:spacing w:val="-2"/>
          <w:sz w:val="16"/>
        </w:rPr>
        <w:t xml:space="preserve">StPO, sofern (noch) keine Strafanzeige oder </w:t>
      </w:r>
      <w:r w:rsidR="00EF4F4E">
        <w:rPr>
          <w:rFonts w:ascii="Times New Roman" w:hAnsi="Times New Roman"/>
          <w:spacing w:val="-2"/>
          <w:sz w:val="16"/>
        </w:rPr>
        <w:t xml:space="preserve">ein </w:t>
      </w:r>
      <w:r w:rsidRPr="00787334">
        <w:rPr>
          <w:rFonts w:ascii="Times New Roman" w:hAnsi="Times New Roman"/>
          <w:spacing w:val="-2"/>
          <w:sz w:val="16"/>
        </w:rPr>
        <w:t xml:space="preserve">Strafantrag vorliegt und sie durch eigene Wahrnehmung oder durch Wahrnehmung der Polizei oder eines Gerichts Kenntnis erlangt, z.B. wenn die Polizei auf der Streifenfahrt Vorfälle beobachtet oder das Gericht während einer Vernehmung im Rahmen der Verhandlung entsprechende Tatsachen erfährt. Hier verbirgt sich ein kleines </w:t>
      </w:r>
      <w:r w:rsidRPr="009F3095">
        <w:rPr>
          <w:rFonts w:ascii="Times New Roman" w:hAnsi="Times New Roman"/>
          <w:b/>
          <w:spacing w:val="-2"/>
          <w:sz w:val="16"/>
        </w:rPr>
        <w:t>Problem</w:t>
      </w:r>
      <w:r w:rsidRPr="00787334">
        <w:rPr>
          <w:rFonts w:ascii="Times New Roman" w:hAnsi="Times New Roman"/>
          <w:spacing w:val="-2"/>
          <w:sz w:val="16"/>
        </w:rPr>
        <w:t xml:space="preserve">: Muss ein Beamter ein Ermittlungsverfahren einleiten, auch wenn er privat Kenntnis erlangt? Das Legalitätsprinzip (siehe oben und Arbeitsblatt Nr. 5) verpflichtet Ermittlungsbeamte </w:t>
      </w:r>
      <w:proofErr w:type="spellStart"/>
      <w:r w:rsidRPr="00787334">
        <w:rPr>
          <w:rFonts w:ascii="Times New Roman" w:hAnsi="Times New Roman"/>
          <w:spacing w:val="-2"/>
          <w:sz w:val="16"/>
        </w:rPr>
        <w:t>grds</w:t>
      </w:r>
      <w:proofErr w:type="spellEnd"/>
      <w:r w:rsidRPr="00787334">
        <w:rPr>
          <w:rFonts w:ascii="Times New Roman" w:hAnsi="Times New Roman"/>
          <w:spacing w:val="-2"/>
          <w:sz w:val="16"/>
        </w:rPr>
        <w:t>. zur Aufnahme eines Ermittlungsverfahrens, sofern ein Anfangsverdacht besteht. Dies gilt jedenfalls während der Dienstzeit. Das Problem besteht hier insbesondere darin, dass auf</w:t>
      </w:r>
      <w:r w:rsidR="0054555B">
        <w:rPr>
          <w:rFonts w:ascii="Times New Roman" w:hAnsi="Times New Roman"/>
          <w:spacing w:val="-2"/>
          <w:sz w:val="16"/>
        </w:rPr>
        <w:t>g</w:t>
      </w:r>
      <w:r w:rsidRPr="00787334">
        <w:rPr>
          <w:rFonts w:ascii="Times New Roman" w:hAnsi="Times New Roman"/>
          <w:spacing w:val="-2"/>
          <w:sz w:val="16"/>
        </w:rPr>
        <w:t>rund des Legalitätsprinzips auch eine Strafbarkeit gemäß den §§ 258,</w:t>
      </w:r>
      <w:r w:rsidR="00C72063">
        <w:rPr>
          <w:rFonts w:ascii="Times New Roman" w:hAnsi="Times New Roman"/>
          <w:spacing w:val="-2"/>
          <w:sz w:val="16"/>
        </w:rPr>
        <w:t xml:space="preserve"> 258a,</w:t>
      </w:r>
      <w:r w:rsidRPr="00787334">
        <w:rPr>
          <w:rFonts w:ascii="Times New Roman" w:hAnsi="Times New Roman"/>
          <w:spacing w:val="-2"/>
          <w:sz w:val="16"/>
        </w:rPr>
        <w:t xml:space="preserve"> 13 StGB im Raume steht. Da den Polizisten und Staatsanwälten andererseits auch ein Recht auf Privatsphäre zustehen muss, möchte die Rechtsprechung die Beamten nur bei „schweren Straftaten“ mit dieser strafbewehrten Pflicht bei privater Kenntnisnahme konfrontieren (vgl. </w:t>
      </w:r>
      <w:r w:rsidRPr="009F3095">
        <w:rPr>
          <w:rFonts w:ascii="Times New Roman" w:hAnsi="Times New Roman"/>
          <w:spacing w:val="-2"/>
          <w:sz w:val="16"/>
        </w:rPr>
        <w:t>BGHSt 5, 225; 38, 388</w:t>
      </w:r>
      <w:r w:rsidRPr="00787334">
        <w:rPr>
          <w:rFonts w:ascii="Times New Roman" w:hAnsi="Times New Roman"/>
          <w:spacing w:val="-2"/>
          <w:sz w:val="16"/>
        </w:rPr>
        <w:t xml:space="preserve">). Diese Ansicht </w:t>
      </w:r>
      <w:proofErr w:type="gramStart"/>
      <w:r w:rsidRPr="00787334">
        <w:rPr>
          <w:rFonts w:ascii="Times New Roman" w:hAnsi="Times New Roman"/>
          <w:spacing w:val="-2"/>
          <w:sz w:val="16"/>
        </w:rPr>
        <w:t>ist freilich</w:t>
      </w:r>
      <w:proofErr w:type="gramEnd"/>
      <w:r w:rsidRPr="00787334">
        <w:rPr>
          <w:rFonts w:ascii="Times New Roman" w:hAnsi="Times New Roman"/>
          <w:spacing w:val="-2"/>
          <w:sz w:val="16"/>
        </w:rPr>
        <w:t xml:space="preserve"> umstritten, dürfte aber zutreffend sein.</w:t>
      </w:r>
    </w:p>
    <w:p w14:paraId="3828F03D" w14:textId="77777777" w:rsidR="00225253" w:rsidRPr="00E53BA4" w:rsidRDefault="00225253" w:rsidP="003F0A53">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rPr>
      </w:pPr>
      <w:r w:rsidRPr="00787334">
        <w:rPr>
          <w:rFonts w:ascii="Times New Roman" w:hAnsi="Times New Roman"/>
          <w:b/>
          <w:spacing w:val="-2"/>
          <w:sz w:val="16"/>
        </w:rPr>
        <w:t xml:space="preserve">III. Der Anfangsverdacht: </w:t>
      </w:r>
      <w:r w:rsidRPr="00787334">
        <w:rPr>
          <w:rFonts w:ascii="Times New Roman" w:hAnsi="Times New Roman"/>
          <w:spacing w:val="-2"/>
          <w:sz w:val="16"/>
        </w:rPr>
        <w:t>Gemeinsame Voraussetzung für beide Arten der Einleitung des Ermittlungsverfahrens ist das Vorliegen eines Anfangsverdachts hinsichtlich einer Straftat. Dieser besteht, wenn tatsächliche Anhaltspunkte vorliegen, die nach den kriminalistischen Erfahrungen die Beteiligung des Betroffenen an einer verfolgbaren Straftat als möglich erscheinen lassen, vgl. § 152 II StPO. Hierbei steht der StA ein Beurteilungsspielraum zu.</w:t>
      </w:r>
    </w:p>
    <w:p w14:paraId="159519EC" w14:textId="22391FB2" w:rsidR="00225253" w:rsidRPr="00787334" w:rsidRDefault="00225253" w:rsidP="003F0A53">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u w:val="single"/>
        </w:rPr>
      </w:pPr>
      <w:r w:rsidRPr="00787334">
        <w:rPr>
          <w:rFonts w:ascii="Times New Roman" w:hAnsi="Times New Roman"/>
          <w:b/>
          <w:spacing w:val="-2"/>
          <w:sz w:val="16"/>
        </w:rPr>
        <w:t>IV. Durchführung des Ermittlungsverfahrens:</w:t>
      </w:r>
      <w:r w:rsidRPr="00787334">
        <w:rPr>
          <w:rFonts w:ascii="Times New Roman" w:hAnsi="Times New Roman"/>
          <w:spacing w:val="-2"/>
          <w:sz w:val="16"/>
        </w:rPr>
        <w:t xml:space="preserve"> Nach Einleitung des Ermittlungsverfahrens hat die StA umfassend zu ermitteln, d.h. sowohl im Hinblick auf </w:t>
      </w:r>
      <w:proofErr w:type="spellStart"/>
      <w:r w:rsidRPr="00787334">
        <w:rPr>
          <w:rFonts w:ascii="Times New Roman" w:hAnsi="Times New Roman"/>
          <w:spacing w:val="-2"/>
          <w:sz w:val="16"/>
        </w:rPr>
        <w:t>be</w:t>
      </w:r>
      <w:proofErr w:type="spellEnd"/>
      <w:r w:rsidRPr="00787334">
        <w:rPr>
          <w:rFonts w:ascii="Times New Roman" w:hAnsi="Times New Roman"/>
          <w:spacing w:val="-2"/>
          <w:sz w:val="16"/>
        </w:rPr>
        <w:t>- als auch auf entlastende Tatsachen („StA als objektivste Behörde der Welt“). Hierzu stehen ihr verschiedene Ermittlungsmaßnahmen zur Verfügung, welche sie selbst oder – wie regelmäßig – unter Mithilfe der Polizei einsetzen kann:</w:t>
      </w:r>
    </w:p>
    <w:p w14:paraId="14102A56" w14:textId="11F2B03D" w:rsidR="00225253" w:rsidRPr="00787334" w:rsidRDefault="00225253" w:rsidP="00225253">
      <w:pPr>
        <w:widowControl/>
        <w:tabs>
          <w:tab w:val="left" w:pos="-720"/>
          <w:tab w:val="left" w:pos="284"/>
          <w:tab w:val="left" w:pos="567"/>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787334">
        <w:rPr>
          <w:rFonts w:ascii="Times New Roman" w:hAnsi="Times New Roman"/>
          <w:spacing w:val="-2"/>
          <w:sz w:val="16"/>
          <w:u w:val="single"/>
        </w:rPr>
        <w:t xml:space="preserve">1. </w:t>
      </w:r>
      <w:r>
        <w:rPr>
          <w:rFonts w:ascii="Times New Roman" w:hAnsi="Times New Roman"/>
          <w:spacing w:val="-2"/>
          <w:sz w:val="16"/>
          <w:u w:val="single"/>
        </w:rPr>
        <w:tab/>
      </w:r>
      <w:r w:rsidRPr="00787334">
        <w:rPr>
          <w:rFonts w:ascii="Times New Roman" w:hAnsi="Times New Roman"/>
          <w:spacing w:val="-2"/>
          <w:sz w:val="16"/>
          <w:u w:val="single"/>
        </w:rPr>
        <w:t>Vernehmung von Zeugen und Sachverständigen:</w:t>
      </w:r>
      <w:r w:rsidRPr="00787334">
        <w:rPr>
          <w:rFonts w:ascii="Times New Roman" w:hAnsi="Times New Roman"/>
          <w:spacing w:val="-2"/>
          <w:sz w:val="16"/>
        </w:rPr>
        <w:t xml:space="preserve"> Auf die Ladung der StA hin sind Zeugen u</w:t>
      </w:r>
      <w:r>
        <w:rPr>
          <w:rFonts w:ascii="Times New Roman" w:hAnsi="Times New Roman"/>
          <w:spacing w:val="-2"/>
          <w:sz w:val="16"/>
        </w:rPr>
        <w:t>nd Sachverständige verpflichtet</w:t>
      </w:r>
      <w:r w:rsidRPr="00787334">
        <w:rPr>
          <w:rFonts w:ascii="Times New Roman" w:hAnsi="Times New Roman"/>
          <w:spacing w:val="-2"/>
          <w:sz w:val="16"/>
        </w:rPr>
        <w:t xml:space="preserve"> zu erscheinen und Angaben zu machen, § 161a </w:t>
      </w:r>
      <w:r w:rsidR="00B46150">
        <w:rPr>
          <w:rFonts w:ascii="Times New Roman" w:hAnsi="Times New Roman"/>
          <w:spacing w:val="-2"/>
          <w:sz w:val="16"/>
        </w:rPr>
        <w:t xml:space="preserve">I </w:t>
      </w:r>
      <w:r w:rsidR="005375F8">
        <w:rPr>
          <w:rFonts w:ascii="Times New Roman" w:hAnsi="Times New Roman"/>
          <w:spacing w:val="-2"/>
          <w:sz w:val="16"/>
        </w:rPr>
        <w:t xml:space="preserve">1 </w:t>
      </w:r>
      <w:r w:rsidRPr="00787334">
        <w:rPr>
          <w:rFonts w:ascii="Times New Roman" w:hAnsi="Times New Roman"/>
          <w:spacing w:val="-2"/>
          <w:sz w:val="16"/>
        </w:rPr>
        <w:t xml:space="preserve">StPO. </w:t>
      </w:r>
      <w:r w:rsidR="00E103BA">
        <w:rPr>
          <w:rFonts w:ascii="Times New Roman" w:hAnsi="Times New Roman"/>
          <w:spacing w:val="-2"/>
          <w:sz w:val="16"/>
        </w:rPr>
        <w:t xml:space="preserve">Ferner haben die Zeugen auch die Pflicht vor Ermittlungspersonen der </w:t>
      </w:r>
      <w:proofErr w:type="spellStart"/>
      <w:r w:rsidR="0054555B">
        <w:rPr>
          <w:rFonts w:ascii="Times New Roman" w:hAnsi="Times New Roman"/>
          <w:spacing w:val="-2"/>
          <w:sz w:val="16"/>
        </w:rPr>
        <w:t>StA</w:t>
      </w:r>
      <w:proofErr w:type="spellEnd"/>
      <w:r w:rsidR="0054555B">
        <w:rPr>
          <w:rFonts w:ascii="Times New Roman" w:hAnsi="Times New Roman"/>
          <w:spacing w:val="-2"/>
          <w:sz w:val="16"/>
        </w:rPr>
        <w:t xml:space="preserve"> </w:t>
      </w:r>
      <w:r w:rsidR="00E103BA">
        <w:rPr>
          <w:rFonts w:ascii="Times New Roman" w:hAnsi="Times New Roman"/>
          <w:spacing w:val="-2"/>
          <w:sz w:val="16"/>
        </w:rPr>
        <w:t xml:space="preserve">zu erscheinen, sofern der Ladung ein Auftrag der </w:t>
      </w:r>
      <w:proofErr w:type="spellStart"/>
      <w:r w:rsidR="0054555B">
        <w:rPr>
          <w:rFonts w:ascii="Times New Roman" w:hAnsi="Times New Roman"/>
          <w:spacing w:val="-2"/>
          <w:sz w:val="16"/>
        </w:rPr>
        <w:t>StA</w:t>
      </w:r>
      <w:proofErr w:type="spellEnd"/>
      <w:r w:rsidR="0054555B">
        <w:rPr>
          <w:rFonts w:ascii="Times New Roman" w:hAnsi="Times New Roman"/>
          <w:spacing w:val="-2"/>
          <w:sz w:val="16"/>
        </w:rPr>
        <w:t xml:space="preserve"> </w:t>
      </w:r>
      <w:r w:rsidR="00E103BA">
        <w:rPr>
          <w:rFonts w:ascii="Times New Roman" w:hAnsi="Times New Roman"/>
          <w:spacing w:val="-2"/>
          <w:sz w:val="16"/>
        </w:rPr>
        <w:t>zugrunde liegt, § 163 III 1 StPO.</w:t>
      </w:r>
    </w:p>
    <w:p w14:paraId="4B34D02D" w14:textId="38EE64F1" w:rsidR="00225253" w:rsidRPr="00787334"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u w:val="single"/>
        </w:rPr>
      </w:pPr>
      <w:r w:rsidRPr="00787334">
        <w:rPr>
          <w:rFonts w:ascii="Times New Roman" w:hAnsi="Times New Roman"/>
          <w:spacing w:val="-2"/>
          <w:sz w:val="16"/>
        </w:rPr>
        <w:tab/>
      </w:r>
      <w:r w:rsidRPr="00787334">
        <w:rPr>
          <w:rFonts w:ascii="Times New Roman" w:hAnsi="Times New Roman"/>
          <w:spacing w:val="-2"/>
          <w:sz w:val="16"/>
          <w:u w:val="single"/>
        </w:rPr>
        <w:t xml:space="preserve">2. </w:t>
      </w:r>
      <w:r>
        <w:rPr>
          <w:rFonts w:ascii="Times New Roman" w:hAnsi="Times New Roman"/>
          <w:spacing w:val="-2"/>
          <w:sz w:val="16"/>
          <w:u w:val="single"/>
        </w:rPr>
        <w:tab/>
      </w:r>
      <w:r w:rsidRPr="00787334">
        <w:rPr>
          <w:rFonts w:ascii="Times New Roman" w:hAnsi="Times New Roman"/>
          <w:spacing w:val="-2"/>
          <w:sz w:val="16"/>
          <w:u w:val="single"/>
        </w:rPr>
        <w:t>Beschuldigtenvernehmung:</w:t>
      </w:r>
      <w:r w:rsidRPr="00787334">
        <w:rPr>
          <w:rFonts w:ascii="Times New Roman" w:hAnsi="Times New Roman"/>
          <w:spacing w:val="-2"/>
          <w:sz w:val="16"/>
        </w:rPr>
        <w:t xml:space="preserve"> Auch der Beschuldigte selbst muss spätestens vor Abschluss der Ermittlungen vernommen werden</w:t>
      </w:r>
      <w:r w:rsidR="003F6220">
        <w:rPr>
          <w:rFonts w:ascii="Times New Roman" w:hAnsi="Times New Roman"/>
          <w:spacing w:val="-2"/>
          <w:sz w:val="16"/>
        </w:rPr>
        <w:t xml:space="preserve"> </w:t>
      </w:r>
      <w:r w:rsidR="003F6220" w:rsidRPr="00525532">
        <w:rPr>
          <w:rFonts w:ascii="Times New Roman" w:hAnsi="Times New Roman"/>
          <w:spacing w:val="-2"/>
          <w:sz w:val="16"/>
        </w:rPr>
        <w:t>(§</w:t>
      </w:r>
      <w:r w:rsidR="0054555B">
        <w:rPr>
          <w:rFonts w:ascii="Times New Roman" w:hAnsi="Times New Roman"/>
          <w:spacing w:val="-2"/>
          <w:sz w:val="16"/>
        </w:rPr>
        <w:t> </w:t>
      </w:r>
      <w:r w:rsidR="003F6220" w:rsidRPr="00525532">
        <w:rPr>
          <w:rFonts w:ascii="Times New Roman" w:hAnsi="Times New Roman"/>
          <w:spacing w:val="-2"/>
          <w:sz w:val="16"/>
        </w:rPr>
        <w:t>163a StPO), es sei denn das Verfahren wird eingestellt</w:t>
      </w:r>
      <w:r w:rsidR="00F463FF">
        <w:rPr>
          <w:rFonts w:ascii="Times New Roman" w:hAnsi="Times New Roman"/>
          <w:spacing w:val="-2"/>
          <w:sz w:val="16"/>
        </w:rPr>
        <w:t>;</w:t>
      </w:r>
      <w:r w:rsidR="003F6220" w:rsidRPr="00525532">
        <w:rPr>
          <w:rFonts w:ascii="Times New Roman" w:hAnsi="Times New Roman"/>
          <w:spacing w:val="-2"/>
          <w:sz w:val="16"/>
        </w:rPr>
        <w:t xml:space="preserve"> </w:t>
      </w:r>
      <w:r w:rsidR="00F463FF">
        <w:rPr>
          <w:rFonts w:ascii="Times New Roman" w:hAnsi="Times New Roman"/>
          <w:color w:val="000000" w:themeColor="text1"/>
          <w:spacing w:val="-2"/>
          <w:sz w:val="16"/>
        </w:rPr>
        <w:t>bei</w:t>
      </w:r>
      <w:r w:rsidR="003F6220" w:rsidRPr="00310F95">
        <w:rPr>
          <w:rFonts w:ascii="Times New Roman" w:hAnsi="Times New Roman"/>
          <w:color w:val="000000" w:themeColor="text1"/>
          <w:spacing w:val="-2"/>
          <w:sz w:val="16"/>
        </w:rPr>
        <w:t xml:space="preserve"> eine</w:t>
      </w:r>
      <w:r w:rsidR="00F463FF">
        <w:rPr>
          <w:rFonts w:ascii="Times New Roman" w:hAnsi="Times New Roman"/>
          <w:color w:val="000000" w:themeColor="text1"/>
          <w:spacing w:val="-2"/>
          <w:sz w:val="16"/>
        </w:rPr>
        <w:t>r</w:t>
      </w:r>
      <w:r w:rsidR="003F6220" w:rsidRPr="00310F95">
        <w:rPr>
          <w:rFonts w:ascii="Times New Roman" w:hAnsi="Times New Roman"/>
          <w:color w:val="000000" w:themeColor="text1"/>
          <w:spacing w:val="-2"/>
          <w:sz w:val="16"/>
        </w:rPr>
        <w:t xml:space="preserve"> „einfache</w:t>
      </w:r>
      <w:r w:rsidR="00F463FF">
        <w:rPr>
          <w:rFonts w:ascii="Times New Roman" w:hAnsi="Times New Roman"/>
          <w:color w:val="000000" w:themeColor="text1"/>
          <w:spacing w:val="-2"/>
          <w:sz w:val="16"/>
        </w:rPr>
        <w:t>n</w:t>
      </w:r>
      <w:r w:rsidR="003F6220" w:rsidRPr="00310F95">
        <w:rPr>
          <w:rFonts w:ascii="Times New Roman" w:hAnsi="Times New Roman"/>
          <w:color w:val="000000" w:themeColor="text1"/>
          <w:spacing w:val="-2"/>
          <w:sz w:val="16"/>
        </w:rPr>
        <w:t xml:space="preserve"> Sache“</w:t>
      </w:r>
      <w:r w:rsidR="00F463FF">
        <w:rPr>
          <w:rFonts w:ascii="Times New Roman" w:hAnsi="Times New Roman"/>
          <w:color w:val="000000" w:themeColor="text1"/>
          <w:spacing w:val="-2"/>
          <w:sz w:val="16"/>
        </w:rPr>
        <w:t xml:space="preserve"> genügt die Möglichkeit zur schriftlichen Äußerung</w:t>
      </w:r>
      <w:r w:rsidR="0017534F">
        <w:rPr>
          <w:rFonts w:ascii="Times New Roman" w:hAnsi="Times New Roman"/>
          <w:color w:val="000000" w:themeColor="text1"/>
          <w:spacing w:val="-2"/>
          <w:sz w:val="16"/>
        </w:rPr>
        <w:t xml:space="preserve"> (</w:t>
      </w:r>
      <w:r w:rsidR="00F463FF">
        <w:rPr>
          <w:rFonts w:ascii="Times New Roman" w:hAnsi="Times New Roman"/>
          <w:color w:val="000000" w:themeColor="text1"/>
          <w:spacing w:val="-2"/>
          <w:sz w:val="16"/>
        </w:rPr>
        <w:t>§ 163a I 2 StPO</w:t>
      </w:r>
      <w:r w:rsidR="0017534F">
        <w:rPr>
          <w:rFonts w:ascii="Times New Roman" w:hAnsi="Times New Roman"/>
          <w:color w:val="000000" w:themeColor="text1"/>
          <w:spacing w:val="-2"/>
          <w:sz w:val="16"/>
        </w:rPr>
        <w:t>)</w:t>
      </w:r>
      <w:r w:rsidRPr="00310F95">
        <w:rPr>
          <w:rFonts w:ascii="Times New Roman" w:hAnsi="Times New Roman"/>
          <w:color w:val="000000" w:themeColor="text1"/>
          <w:spacing w:val="-2"/>
          <w:sz w:val="16"/>
        </w:rPr>
        <w:t xml:space="preserve">. </w:t>
      </w:r>
      <w:r w:rsidRPr="00787334">
        <w:rPr>
          <w:rFonts w:ascii="Times New Roman" w:hAnsi="Times New Roman"/>
          <w:spacing w:val="-2"/>
          <w:sz w:val="16"/>
        </w:rPr>
        <w:t>Auch er muss auf eine Ladung hin vor der StA erscheinen, ist aber im Gegensatz zu Zeugen und Sachverständigen nicht zur Aussage verpflichtet</w:t>
      </w:r>
      <w:r w:rsidR="0054555B">
        <w:rPr>
          <w:rFonts w:ascii="Times New Roman" w:hAnsi="Times New Roman"/>
          <w:spacing w:val="-2"/>
          <w:sz w:val="16"/>
        </w:rPr>
        <w:t xml:space="preserve"> </w:t>
      </w:r>
      <w:r w:rsidR="00F361C8">
        <w:rPr>
          <w:rFonts w:ascii="Times New Roman" w:hAnsi="Times New Roman"/>
          <w:spacing w:val="-2"/>
          <w:sz w:val="16"/>
        </w:rPr>
        <w:t>(vgl. § 136 I 2 StPO)</w:t>
      </w:r>
      <w:r w:rsidRPr="00787334">
        <w:rPr>
          <w:rFonts w:ascii="Times New Roman" w:hAnsi="Times New Roman"/>
          <w:spacing w:val="-2"/>
          <w:sz w:val="16"/>
        </w:rPr>
        <w:t>.</w:t>
      </w:r>
    </w:p>
    <w:p w14:paraId="44232B42" w14:textId="77777777" w:rsidR="00225253" w:rsidRPr="00787334"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pacing w:val="-2"/>
          <w:sz w:val="16"/>
        </w:rPr>
      </w:pPr>
      <w:r w:rsidRPr="00787334">
        <w:rPr>
          <w:rFonts w:ascii="Times New Roman" w:hAnsi="Times New Roman"/>
          <w:spacing w:val="-2"/>
          <w:sz w:val="16"/>
        </w:rPr>
        <w:tab/>
      </w:r>
      <w:r w:rsidRPr="00787334">
        <w:rPr>
          <w:rFonts w:ascii="Times New Roman" w:hAnsi="Times New Roman"/>
          <w:spacing w:val="-2"/>
          <w:sz w:val="16"/>
          <w:u w:val="single"/>
        </w:rPr>
        <w:t xml:space="preserve">3. </w:t>
      </w:r>
      <w:r>
        <w:rPr>
          <w:rFonts w:ascii="Times New Roman" w:hAnsi="Times New Roman"/>
          <w:spacing w:val="-2"/>
          <w:sz w:val="16"/>
          <w:u w:val="single"/>
        </w:rPr>
        <w:tab/>
      </w:r>
      <w:r w:rsidRPr="00787334">
        <w:rPr>
          <w:rFonts w:ascii="Times New Roman" w:hAnsi="Times New Roman"/>
          <w:spacing w:val="-2"/>
          <w:sz w:val="16"/>
          <w:u w:val="single"/>
        </w:rPr>
        <w:t>Sonstige Ermittlungen:</w:t>
      </w:r>
      <w:r w:rsidRPr="00787334">
        <w:rPr>
          <w:rFonts w:ascii="Times New Roman" w:hAnsi="Times New Roman"/>
          <w:spacing w:val="-2"/>
          <w:sz w:val="16"/>
        </w:rPr>
        <w:t xml:space="preserve"> Die StA kann zudem weitere Ermittlungen durchführen wie etwa Beschattungen, Überwachungsmaßnahmen etc. Sie bedient sich hierzu in der Regel der Polizei.</w:t>
      </w:r>
    </w:p>
    <w:p w14:paraId="143F65CF" w14:textId="7CB95456" w:rsidR="00225253" w:rsidRPr="00E53BA4"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283"/>
        <w:jc w:val="both"/>
        <w:rPr>
          <w:rFonts w:ascii="Times New Roman" w:hAnsi="Times New Roman"/>
          <w:sz w:val="16"/>
        </w:rPr>
      </w:pPr>
      <w:r w:rsidRPr="00787334">
        <w:rPr>
          <w:rFonts w:ascii="Times New Roman" w:hAnsi="Times New Roman"/>
          <w:spacing w:val="-2"/>
          <w:sz w:val="16"/>
        </w:rPr>
        <w:tab/>
      </w:r>
      <w:r w:rsidRPr="00787334">
        <w:rPr>
          <w:rFonts w:ascii="Times New Roman" w:hAnsi="Times New Roman"/>
          <w:spacing w:val="-2"/>
          <w:sz w:val="16"/>
          <w:u w:val="single"/>
        </w:rPr>
        <w:t xml:space="preserve">4. </w:t>
      </w:r>
      <w:r>
        <w:rPr>
          <w:rFonts w:ascii="Times New Roman" w:hAnsi="Times New Roman"/>
          <w:spacing w:val="-2"/>
          <w:sz w:val="16"/>
          <w:u w:val="single"/>
        </w:rPr>
        <w:tab/>
      </w:r>
      <w:r w:rsidRPr="00787334">
        <w:rPr>
          <w:rFonts w:ascii="Times New Roman" w:hAnsi="Times New Roman"/>
          <w:spacing w:val="-2"/>
          <w:sz w:val="16"/>
          <w:u w:val="single"/>
        </w:rPr>
        <w:t>Einschaltung des Ermittlungsrichters:</w:t>
      </w:r>
      <w:r w:rsidRPr="00787334">
        <w:rPr>
          <w:rFonts w:ascii="Times New Roman" w:hAnsi="Times New Roman"/>
          <w:spacing w:val="-2"/>
          <w:sz w:val="16"/>
        </w:rPr>
        <w:t xml:space="preserve"> Unter Umständen kann es auch opportun oder sogar notwendig sein, bereits im Vorverfahren einen Ermittlungsrichter einzuschalten, z.B. ist dies bei bestimmten Zwangsmaßnahmen, wie etwa Haftbefehl, Durchsuchung etc., gesetzlich angeordnet</w:t>
      </w:r>
      <w:r w:rsidRPr="00787334">
        <w:rPr>
          <w:rFonts w:ascii="Times New Roman" w:hAnsi="Times New Roman"/>
          <w:sz w:val="16"/>
        </w:rPr>
        <w:t>. Andererseits können so auch bereits Aussagen für die Hauptverhandlung gesichert werden, sodass es auch ein geschickter Schachzug sein kann, eine Vernehmung durch den Richter durchführen zu lassen (Verwertung richterlicher Protokolle über Geständnis des Beschuldigten oder über Zeugenaussagen im Prozess</w:t>
      </w:r>
      <w:r w:rsidR="00C40304">
        <w:rPr>
          <w:rFonts w:ascii="Times New Roman" w:hAnsi="Times New Roman"/>
          <w:sz w:val="16"/>
        </w:rPr>
        <w:t>, Vernehmung des Richters als Zeuge vom Hörensagen</w:t>
      </w:r>
      <w:r w:rsidRPr="00787334">
        <w:rPr>
          <w:rFonts w:ascii="Times New Roman" w:hAnsi="Times New Roman"/>
          <w:sz w:val="16"/>
        </w:rPr>
        <w:t>). Schließlich steht auch die eidliche Vernehmung nur dem Richter zur Verfügung.</w:t>
      </w:r>
    </w:p>
    <w:p w14:paraId="5F318014" w14:textId="77777777" w:rsidR="00225253" w:rsidRPr="00B0250D" w:rsidRDefault="00225253" w:rsidP="00EF4F4E">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rPr>
      </w:pPr>
      <w:r w:rsidRPr="00787334">
        <w:rPr>
          <w:rFonts w:ascii="Times New Roman" w:hAnsi="Times New Roman"/>
          <w:b/>
          <w:spacing w:val="-2"/>
          <w:sz w:val="16"/>
        </w:rPr>
        <w:t xml:space="preserve">V. </w:t>
      </w:r>
      <w:r>
        <w:rPr>
          <w:rFonts w:ascii="Times New Roman" w:hAnsi="Times New Roman"/>
          <w:b/>
          <w:spacing w:val="-2"/>
          <w:sz w:val="16"/>
        </w:rPr>
        <w:tab/>
      </w:r>
      <w:r w:rsidRPr="00787334">
        <w:rPr>
          <w:rFonts w:ascii="Times New Roman" w:hAnsi="Times New Roman"/>
          <w:b/>
          <w:spacing w:val="-2"/>
          <w:sz w:val="16"/>
        </w:rPr>
        <w:t xml:space="preserve">Abschluss: </w:t>
      </w:r>
      <w:r w:rsidRPr="00787334">
        <w:rPr>
          <w:rFonts w:ascii="Times New Roman" w:hAnsi="Times New Roman"/>
          <w:spacing w:val="-2"/>
          <w:sz w:val="16"/>
        </w:rPr>
        <w:t>Das Ermittlungsverfahren kann auf zwei Arten seinen Abschluss finden:</w:t>
      </w:r>
    </w:p>
    <w:p w14:paraId="090B5CDB" w14:textId="658CEE54" w:rsidR="00225253" w:rsidRPr="00787334"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u w:val="single"/>
        </w:rPr>
      </w:pPr>
      <w:r w:rsidRPr="00787334">
        <w:rPr>
          <w:rFonts w:ascii="Times New Roman" w:hAnsi="Times New Roman"/>
          <w:spacing w:val="-2"/>
          <w:sz w:val="16"/>
        </w:rPr>
        <w:tab/>
      </w:r>
      <w:r w:rsidRPr="00787334">
        <w:rPr>
          <w:rFonts w:ascii="Times New Roman" w:hAnsi="Times New Roman"/>
          <w:spacing w:val="-2"/>
          <w:sz w:val="16"/>
          <w:u w:val="single"/>
        </w:rPr>
        <w:t xml:space="preserve">1. </w:t>
      </w:r>
      <w:r>
        <w:rPr>
          <w:rFonts w:ascii="Times New Roman" w:hAnsi="Times New Roman"/>
          <w:spacing w:val="-2"/>
          <w:sz w:val="16"/>
          <w:u w:val="single"/>
        </w:rPr>
        <w:tab/>
      </w:r>
      <w:r w:rsidRPr="00787334">
        <w:rPr>
          <w:rFonts w:ascii="Times New Roman" w:hAnsi="Times New Roman"/>
          <w:spacing w:val="-2"/>
          <w:sz w:val="16"/>
          <w:u w:val="single"/>
        </w:rPr>
        <w:t>Durch Erhebung der öffentlichen Klage:</w:t>
      </w:r>
      <w:r w:rsidRPr="00787334">
        <w:rPr>
          <w:rFonts w:ascii="Times New Roman" w:hAnsi="Times New Roman"/>
          <w:spacing w:val="-2"/>
          <w:sz w:val="16"/>
        </w:rPr>
        <w:t xml:space="preserve"> Besteht nach Durchführung der Ermittlungen ein hinreichender Tatverdacht gegen den Beschuldigten, so muss die StA die öffentliche Klage erheben, § 170</w:t>
      </w:r>
      <w:r w:rsidR="00F361C8">
        <w:rPr>
          <w:rFonts w:ascii="Times New Roman" w:hAnsi="Times New Roman"/>
          <w:spacing w:val="-2"/>
          <w:sz w:val="16"/>
        </w:rPr>
        <w:t> </w:t>
      </w:r>
      <w:r w:rsidRPr="00787334">
        <w:rPr>
          <w:rFonts w:ascii="Times New Roman" w:hAnsi="Times New Roman"/>
          <w:spacing w:val="-2"/>
          <w:sz w:val="16"/>
        </w:rPr>
        <w:t>I StPO. Es beginnt das Zwischenverfahren</w:t>
      </w:r>
      <w:r w:rsidR="009E2431">
        <w:rPr>
          <w:rFonts w:ascii="Times New Roman" w:hAnsi="Times New Roman"/>
          <w:spacing w:val="-2"/>
          <w:sz w:val="16"/>
        </w:rPr>
        <w:t xml:space="preserve"> (siehe dazu Arbeitsblatt Nr. 3).</w:t>
      </w:r>
    </w:p>
    <w:p w14:paraId="13F5EC04" w14:textId="234AF904" w:rsidR="00225253" w:rsidRPr="00787334"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rPr>
      </w:pPr>
      <w:r w:rsidRPr="00220EB3">
        <w:rPr>
          <w:rFonts w:ascii="Times New Roman" w:hAnsi="Times New Roman"/>
          <w:spacing w:val="-2"/>
          <w:sz w:val="16"/>
        </w:rPr>
        <w:tab/>
      </w:r>
      <w:r w:rsidRPr="00787334">
        <w:rPr>
          <w:rFonts w:ascii="Times New Roman" w:hAnsi="Times New Roman"/>
          <w:spacing w:val="-2"/>
          <w:sz w:val="16"/>
          <w:u w:val="single"/>
        </w:rPr>
        <w:t xml:space="preserve">2. </w:t>
      </w:r>
      <w:r>
        <w:rPr>
          <w:rFonts w:ascii="Times New Roman" w:hAnsi="Times New Roman"/>
          <w:spacing w:val="-2"/>
          <w:sz w:val="16"/>
          <w:u w:val="single"/>
        </w:rPr>
        <w:tab/>
      </w:r>
      <w:r w:rsidRPr="00787334">
        <w:rPr>
          <w:rFonts w:ascii="Times New Roman" w:hAnsi="Times New Roman"/>
          <w:spacing w:val="-2"/>
          <w:sz w:val="16"/>
          <w:u w:val="single"/>
        </w:rPr>
        <w:t>Durch Einstellung des Verfahrens:</w:t>
      </w:r>
      <w:r w:rsidRPr="00787334">
        <w:rPr>
          <w:rFonts w:ascii="Times New Roman" w:hAnsi="Times New Roman"/>
          <w:spacing w:val="-2"/>
          <w:sz w:val="16"/>
        </w:rPr>
        <w:t xml:space="preserve"> Das </w:t>
      </w:r>
      <w:r w:rsidR="00206844">
        <w:rPr>
          <w:rFonts w:ascii="Times New Roman" w:hAnsi="Times New Roman"/>
          <w:spacing w:val="-2"/>
          <w:sz w:val="16"/>
        </w:rPr>
        <w:t>Ermittlungsv</w:t>
      </w:r>
      <w:r w:rsidRPr="00787334">
        <w:rPr>
          <w:rFonts w:ascii="Times New Roman" w:hAnsi="Times New Roman"/>
          <w:spacing w:val="-2"/>
          <w:sz w:val="16"/>
        </w:rPr>
        <w:t xml:space="preserve">erfahren kann aber auch durch Einstellung </w:t>
      </w:r>
      <w:r w:rsidR="00206844">
        <w:rPr>
          <w:rFonts w:ascii="Times New Roman" w:hAnsi="Times New Roman"/>
          <w:spacing w:val="-2"/>
          <w:sz w:val="16"/>
        </w:rPr>
        <w:t>abgeschlossen werden</w:t>
      </w:r>
      <w:r w:rsidRPr="00787334">
        <w:rPr>
          <w:rFonts w:ascii="Times New Roman" w:hAnsi="Times New Roman"/>
          <w:spacing w:val="-2"/>
          <w:sz w:val="16"/>
        </w:rPr>
        <w:t>. Diese ist vorzunehmen, wenn kein hinreichender Tatverdacht ermittelt wurde, § 170 II StPO. Sie ist aber auch aus Opportunitätsgründe</w:t>
      </w:r>
      <w:r>
        <w:rPr>
          <w:rFonts w:ascii="Times New Roman" w:hAnsi="Times New Roman"/>
          <w:spacing w:val="-2"/>
          <w:sz w:val="16"/>
        </w:rPr>
        <w:t>n</w:t>
      </w:r>
      <w:r w:rsidRPr="00787334">
        <w:rPr>
          <w:rFonts w:ascii="Times New Roman" w:hAnsi="Times New Roman"/>
          <w:spacing w:val="-2"/>
          <w:sz w:val="16"/>
        </w:rPr>
        <w:t xml:space="preserve"> möglich, vgl. die §§</w:t>
      </w:r>
      <w:r w:rsidR="00F361C8">
        <w:rPr>
          <w:rFonts w:ascii="Times New Roman" w:hAnsi="Times New Roman"/>
          <w:spacing w:val="-2"/>
          <w:sz w:val="16"/>
        </w:rPr>
        <w:t> </w:t>
      </w:r>
      <w:r w:rsidRPr="00787334">
        <w:rPr>
          <w:rFonts w:ascii="Times New Roman" w:hAnsi="Times New Roman"/>
          <w:spacing w:val="-2"/>
          <w:sz w:val="16"/>
        </w:rPr>
        <w:t>153</w:t>
      </w:r>
      <w:r w:rsidR="00F361C8">
        <w:rPr>
          <w:rFonts w:ascii="Times New Roman" w:hAnsi="Times New Roman"/>
          <w:spacing w:val="-2"/>
          <w:sz w:val="16"/>
        </w:rPr>
        <w:t> </w:t>
      </w:r>
      <w:r w:rsidRPr="00787334">
        <w:rPr>
          <w:rFonts w:ascii="Times New Roman" w:hAnsi="Times New Roman"/>
          <w:spacing w:val="-2"/>
          <w:sz w:val="16"/>
        </w:rPr>
        <w:t>ff. StPO (siehe dazu Arbeitsblatt Nr.</w:t>
      </w:r>
      <w:r w:rsidR="00F361C8">
        <w:rPr>
          <w:rFonts w:ascii="Times New Roman" w:hAnsi="Times New Roman"/>
          <w:spacing w:val="-2"/>
          <w:sz w:val="16"/>
        </w:rPr>
        <w:t> </w:t>
      </w:r>
      <w:r w:rsidRPr="00787334">
        <w:rPr>
          <w:rFonts w:ascii="Times New Roman" w:hAnsi="Times New Roman"/>
          <w:spacing w:val="-2"/>
          <w:sz w:val="16"/>
        </w:rPr>
        <w:t>34).</w:t>
      </w:r>
    </w:p>
    <w:p w14:paraId="5C6C209B" w14:textId="77777777" w:rsidR="00225253" w:rsidRPr="00787334" w:rsidRDefault="00225253">
      <w:pPr>
        <w:widowControl/>
        <w:tabs>
          <w:tab w:val="left" w:pos="-720"/>
          <w:tab w:val="left" w:pos="288"/>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6"/>
        </w:rPr>
      </w:pPr>
    </w:p>
    <w:p w14:paraId="3B2BBB44" w14:textId="3F09CD65" w:rsidR="00225253" w:rsidRPr="00EE13AA" w:rsidRDefault="00225253" w:rsidP="00225253">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spacing w:val="-2"/>
          <w:sz w:val="14"/>
          <w:szCs w:val="14"/>
        </w:rPr>
      </w:pPr>
      <w:r w:rsidRPr="00EE13AA">
        <w:rPr>
          <w:rFonts w:ascii="Times New Roman" w:hAnsi="Times New Roman"/>
          <w:b/>
          <w:spacing w:val="-2"/>
          <w:sz w:val="14"/>
          <w:szCs w:val="14"/>
        </w:rPr>
        <w:t xml:space="preserve">Literatur/Lehrbücher: </w:t>
      </w:r>
      <w:r w:rsidR="00C40304" w:rsidRPr="00EE13AA">
        <w:rPr>
          <w:rFonts w:ascii="Times New Roman" w:hAnsi="Times New Roman"/>
          <w:b/>
          <w:spacing w:val="-2"/>
          <w:sz w:val="14"/>
          <w:szCs w:val="14"/>
        </w:rPr>
        <w:tab/>
      </w:r>
      <w:r w:rsidR="00CF6D92" w:rsidRPr="00EE13AA">
        <w:rPr>
          <w:rFonts w:ascii="Times New Roman" w:hAnsi="Times New Roman"/>
          <w:b/>
          <w:spacing w:val="-2"/>
          <w:sz w:val="14"/>
          <w:szCs w:val="14"/>
        </w:rPr>
        <w:tab/>
      </w:r>
      <w:r w:rsidR="00C40304" w:rsidRPr="00EE13AA">
        <w:rPr>
          <w:rFonts w:ascii="Times New Roman" w:hAnsi="Times New Roman"/>
          <w:i/>
          <w:spacing w:val="-2"/>
          <w:sz w:val="14"/>
          <w:szCs w:val="14"/>
        </w:rPr>
        <w:t>Heinrich/Reinbacher</w:t>
      </w:r>
      <w:r w:rsidR="00C40304" w:rsidRPr="00EE13AA">
        <w:rPr>
          <w:rFonts w:ascii="Times New Roman" w:hAnsi="Times New Roman"/>
          <w:spacing w:val="-2"/>
          <w:sz w:val="14"/>
          <w:szCs w:val="14"/>
        </w:rPr>
        <w:t>, Examinatorium Strafprozessrecht,</w:t>
      </w:r>
      <w:r w:rsidR="005759C5" w:rsidRPr="00EE13AA">
        <w:rPr>
          <w:rFonts w:ascii="Times New Roman" w:hAnsi="Times New Roman"/>
          <w:spacing w:val="-2"/>
          <w:sz w:val="14"/>
          <w:szCs w:val="14"/>
        </w:rPr>
        <w:t xml:space="preserve"> </w:t>
      </w:r>
      <w:r w:rsidR="00432BAE">
        <w:rPr>
          <w:rFonts w:ascii="Times New Roman" w:hAnsi="Times New Roman"/>
          <w:spacing w:val="-2"/>
          <w:sz w:val="14"/>
          <w:szCs w:val="14"/>
        </w:rPr>
        <w:t>4</w:t>
      </w:r>
      <w:r w:rsidR="005759C5" w:rsidRPr="00EE13AA">
        <w:rPr>
          <w:rFonts w:ascii="Times New Roman" w:hAnsi="Times New Roman"/>
          <w:spacing w:val="-2"/>
          <w:sz w:val="14"/>
          <w:szCs w:val="14"/>
        </w:rPr>
        <w:t>. Auflage 20</w:t>
      </w:r>
      <w:r w:rsidR="001C47C3">
        <w:rPr>
          <w:rFonts w:ascii="Times New Roman" w:hAnsi="Times New Roman"/>
          <w:spacing w:val="-2"/>
          <w:sz w:val="14"/>
          <w:szCs w:val="14"/>
        </w:rPr>
        <w:t>2</w:t>
      </w:r>
      <w:r w:rsidR="00432BAE">
        <w:rPr>
          <w:rFonts w:ascii="Times New Roman" w:hAnsi="Times New Roman"/>
          <w:spacing w:val="-2"/>
          <w:sz w:val="14"/>
          <w:szCs w:val="14"/>
        </w:rPr>
        <w:t>3</w:t>
      </w:r>
      <w:r w:rsidR="005759C5" w:rsidRPr="00EE13AA">
        <w:rPr>
          <w:rFonts w:ascii="Times New Roman" w:hAnsi="Times New Roman"/>
          <w:spacing w:val="-2"/>
          <w:sz w:val="14"/>
          <w:szCs w:val="14"/>
        </w:rPr>
        <w:t>,</w:t>
      </w:r>
      <w:r w:rsidR="00C40304" w:rsidRPr="00EE13AA">
        <w:rPr>
          <w:rFonts w:ascii="Times New Roman" w:hAnsi="Times New Roman"/>
          <w:spacing w:val="-2"/>
          <w:sz w:val="14"/>
          <w:szCs w:val="14"/>
        </w:rPr>
        <w:t xml:space="preserve"> Problem</w:t>
      </w:r>
      <w:r w:rsidR="00F361C8">
        <w:rPr>
          <w:rFonts w:ascii="Times New Roman" w:hAnsi="Times New Roman"/>
          <w:spacing w:val="-2"/>
          <w:sz w:val="14"/>
          <w:szCs w:val="14"/>
        </w:rPr>
        <w:t> </w:t>
      </w:r>
      <w:r w:rsidR="00C40304" w:rsidRPr="00EE13AA">
        <w:rPr>
          <w:rFonts w:ascii="Times New Roman" w:hAnsi="Times New Roman"/>
          <w:spacing w:val="-2"/>
          <w:sz w:val="14"/>
          <w:szCs w:val="14"/>
        </w:rPr>
        <w:t>2.</w:t>
      </w:r>
    </w:p>
    <w:p w14:paraId="17BBFB31" w14:textId="401C6C19" w:rsidR="00225253" w:rsidRPr="00EE13AA" w:rsidRDefault="00225253" w:rsidP="00E4507A">
      <w:pPr>
        <w:widowControl/>
        <w:tabs>
          <w:tab w:val="left" w:pos="-720"/>
          <w:tab w:val="left" w:pos="288"/>
          <w:tab w:val="left" w:pos="567"/>
          <w:tab w:val="left" w:pos="864"/>
          <w:tab w:val="left" w:pos="1116"/>
          <w:tab w:val="left" w:pos="1404"/>
          <w:tab w:val="left" w:pos="1560"/>
          <w:tab w:val="left" w:pos="1692"/>
          <w:tab w:val="left" w:pos="2268"/>
          <w:tab w:val="left" w:pos="2880"/>
        </w:tabs>
        <w:ind w:left="1692" w:hanging="1692"/>
        <w:jc w:val="both"/>
        <w:rPr>
          <w:rFonts w:ascii="Times New Roman" w:hAnsi="Times New Roman"/>
          <w:spacing w:val="-2"/>
          <w:sz w:val="14"/>
          <w:szCs w:val="14"/>
        </w:rPr>
      </w:pPr>
      <w:r w:rsidRPr="00EE13AA">
        <w:rPr>
          <w:rFonts w:ascii="Times New Roman" w:hAnsi="Times New Roman"/>
          <w:b/>
          <w:spacing w:val="-2"/>
          <w:sz w:val="14"/>
          <w:szCs w:val="14"/>
        </w:rPr>
        <w:t>Literatur/Aufsätze:</w:t>
      </w:r>
      <w:r w:rsidRPr="00EE13AA">
        <w:rPr>
          <w:rFonts w:ascii="Times New Roman" w:hAnsi="Times New Roman"/>
          <w:b/>
          <w:spacing w:val="-2"/>
          <w:sz w:val="14"/>
          <w:szCs w:val="14"/>
        </w:rPr>
        <w:tab/>
      </w:r>
      <w:r w:rsidRPr="00EE13AA">
        <w:rPr>
          <w:rFonts w:ascii="Times New Roman" w:hAnsi="Times New Roman"/>
          <w:b/>
          <w:spacing w:val="-2"/>
          <w:sz w:val="14"/>
          <w:szCs w:val="14"/>
        </w:rPr>
        <w:tab/>
      </w:r>
      <w:r w:rsidRPr="00EE13AA">
        <w:rPr>
          <w:rFonts w:ascii="Times New Roman" w:hAnsi="Times New Roman"/>
          <w:b/>
          <w:spacing w:val="-2"/>
          <w:sz w:val="14"/>
          <w:szCs w:val="14"/>
        </w:rPr>
        <w:tab/>
      </w:r>
      <w:r w:rsidRPr="00EE13AA">
        <w:rPr>
          <w:rFonts w:ascii="Times New Roman" w:hAnsi="Times New Roman"/>
          <w:i/>
          <w:spacing w:val="-2"/>
          <w:sz w:val="14"/>
          <w:szCs w:val="14"/>
        </w:rPr>
        <w:t>Ambos</w:t>
      </w:r>
      <w:r w:rsidRPr="00EE13AA">
        <w:rPr>
          <w:rFonts w:ascii="Times New Roman" w:hAnsi="Times New Roman"/>
          <w:spacing w:val="-2"/>
          <w:sz w:val="14"/>
          <w:szCs w:val="14"/>
        </w:rPr>
        <w:t>, Staatsanwaltschaftliche Kontrolle der Polizei,</w:t>
      </w:r>
      <w:r w:rsidR="007543E2" w:rsidRPr="00EE13AA">
        <w:rPr>
          <w:rFonts w:ascii="Times New Roman" w:hAnsi="Times New Roman"/>
          <w:spacing w:val="-2"/>
          <w:sz w:val="14"/>
          <w:szCs w:val="14"/>
        </w:rPr>
        <w:t xml:space="preserve"> </w:t>
      </w:r>
      <w:proofErr w:type="spellStart"/>
      <w:r w:rsidRPr="00EE13AA">
        <w:rPr>
          <w:rFonts w:ascii="Times New Roman" w:hAnsi="Times New Roman"/>
          <w:spacing w:val="-2"/>
          <w:sz w:val="14"/>
          <w:szCs w:val="14"/>
        </w:rPr>
        <w:t>Verpolizeilichung</w:t>
      </w:r>
      <w:proofErr w:type="spellEnd"/>
      <w:r w:rsidRPr="00EE13AA">
        <w:rPr>
          <w:rFonts w:ascii="Times New Roman" w:hAnsi="Times New Roman"/>
          <w:spacing w:val="-2"/>
          <w:sz w:val="14"/>
          <w:szCs w:val="14"/>
        </w:rPr>
        <w:t xml:space="preserve"> des </w:t>
      </w:r>
      <w:r w:rsidRPr="00073BC6">
        <w:rPr>
          <w:rFonts w:ascii="Times New Roman" w:hAnsi="Times New Roman"/>
          <w:spacing w:val="-2"/>
          <w:sz w:val="14"/>
          <w:szCs w:val="14"/>
        </w:rPr>
        <w:t>Ermittlungsverfahrens und organisierte Kriminalität, JURA 2003, 674</w:t>
      </w:r>
      <w:r w:rsidR="00C40304" w:rsidRPr="00073BC6">
        <w:rPr>
          <w:rFonts w:ascii="Times New Roman" w:hAnsi="Times New Roman"/>
          <w:spacing w:val="-2"/>
          <w:sz w:val="14"/>
          <w:szCs w:val="14"/>
        </w:rPr>
        <w:t xml:space="preserve">; </w:t>
      </w:r>
      <w:r w:rsidR="005F26A8" w:rsidRPr="00073BC6">
        <w:rPr>
          <w:rFonts w:ascii="Times New Roman" w:hAnsi="Times New Roman"/>
          <w:i/>
          <w:spacing w:val="-2"/>
          <w:sz w:val="14"/>
          <w:szCs w:val="14"/>
        </w:rPr>
        <w:t>Bach</w:t>
      </w:r>
      <w:r w:rsidR="005F26A8" w:rsidRPr="00073BC6">
        <w:rPr>
          <w:rFonts w:ascii="Times New Roman" w:hAnsi="Times New Roman"/>
          <w:spacing w:val="-2"/>
          <w:sz w:val="14"/>
          <w:szCs w:val="14"/>
        </w:rPr>
        <w:t xml:space="preserve">, Der Verdacht im Strafverfahren – abstrakt, JURA 2007; </w:t>
      </w:r>
      <w:r w:rsidR="008569BF" w:rsidRPr="00073BC6">
        <w:rPr>
          <w:rFonts w:ascii="Times New Roman" w:hAnsi="Times New Roman"/>
          <w:i/>
          <w:spacing w:val="-2"/>
          <w:sz w:val="14"/>
          <w:szCs w:val="14"/>
        </w:rPr>
        <w:t>Bosch</w:t>
      </w:r>
      <w:r w:rsidR="008569BF" w:rsidRPr="00073BC6">
        <w:rPr>
          <w:rFonts w:ascii="Times New Roman" w:hAnsi="Times New Roman"/>
          <w:spacing w:val="-2"/>
          <w:sz w:val="14"/>
          <w:szCs w:val="14"/>
        </w:rPr>
        <w:t xml:space="preserve">, Der </w:t>
      </w:r>
      <w:r w:rsidR="008569BF" w:rsidRPr="00073BC6">
        <w:rPr>
          <w:rFonts w:ascii="Times New Roman" w:hAnsi="Times New Roman" w:cs="Times New Roman"/>
          <w:spacing w:val="-2"/>
          <w:sz w:val="14"/>
          <w:szCs w:val="14"/>
        </w:rPr>
        <w:t xml:space="preserve">Strafantrag, JURA 2013, 368; </w:t>
      </w:r>
      <w:r w:rsidR="00E73638" w:rsidRPr="00EF4F4E">
        <w:rPr>
          <w:rFonts w:ascii="Times New Roman" w:hAnsi="Times New Roman" w:cs="Times New Roman"/>
          <w:i/>
          <w:sz w:val="14"/>
          <w:szCs w:val="14"/>
        </w:rPr>
        <w:t>Böhme/Lahmann</w:t>
      </w:r>
      <w:r w:rsidR="00E73638" w:rsidRPr="00EF4F4E">
        <w:rPr>
          <w:rFonts w:ascii="Times New Roman" w:hAnsi="Times New Roman" w:cs="Times New Roman"/>
          <w:sz w:val="14"/>
          <w:szCs w:val="14"/>
        </w:rPr>
        <w:t xml:space="preserve">, Strafantragsrecht, </w:t>
      </w:r>
      <w:proofErr w:type="spellStart"/>
      <w:r w:rsidR="00E73638" w:rsidRPr="00EF4F4E">
        <w:rPr>
          <w:rFonts w:ascii="Times New Roman" w:hAnsi="Times New Roman" w:cs="Times New Roman"/>
          <w:sz w:val="14"/>
          <w:szCs w:val="14"/>
        </w:rPr>
        <w:t>JuS</w:t>
      </w:r>
      <w:proofErr w:type="spellEnd"/>
      <w:r w:rsidR="00E73638" w:rsidRPr="00EF4F4E">
        <w:rPr>
          <w:rFonts w:ascii="Times New Roman" w:hAnsi="Times New Roman" w:cs="Times New Roman"/>
          <w:sz w:val="14"/>
          <w:szCs w:val="14"/>
        </w:rPr>
        <w:t xml:space="preserve"> 2016, 234;</w:t>
      </w:r>
      <w:r w:rsidR="00E73638">
        <w:t xml:space="preserve"> </w:t>
      </w:r>
      <w:proofErr w:type="spellStart"/>
      <w:r w:rsidR="00C40304" w:rsidRPr="00EE13AA">
        <w:rPr>
          <w:rFonts w:ascii="Times New Roman" w:hAnsi="Times New Roman"/>
          <w:i/>
          <w:spacing w:val="-2"/>
          <w:sz w:val="14"/>
          <w:szCs w:val="14"/>
        </w:rPr>
        <w:t>Kröpil</w:t>
      </w:r>
      <w:proofErr w:type="spellEnd"/>
      <w:r w:rsidR="00C40304" w:rsidRPr="00EE13AA">
        <w:rPr>
          <w:rFonts w:ascii="Times New Roman" w:hAnsi="Times New Roman"/>
          <w:spacing w:val="-2"/>
          <w:sz w:val="14"/>
          <w:szCs w:val="14"/>
        </w:rPr>
        <w:t>, Verdacht und Beurteilungsspielraum mit begrenzter Überprüfbark</w:t>
      </w:r>
      <w:r w:rsidR="00966ED8" w:rsidRPr="00EE13AA">
        <w:rPr>
          <w:rFonts w:ascii="Times New Roman" w:hAnsi="Times New Roman"/>
          <w:spacing w:val="-2"/>
          <w:sz w:val="14"/>
          <w:szCs w:val="14"/>
        </w:rPr>
        <w:t xml:space="preserve">eit im Strafverfahren, JURA 2012, 833; </w:t>
      </w:r>
      <w:r w:rsidR="005F26A8" w:rsidRPr="00EE13AA">
        <w:rPr>
          <w:rFonts w:ascii="Times New Roman" w:hAnsi="Times New Roman"/>
          <w:i/>
          <w:spacing w:val="-2"/>
          <w:sz w:val="14"/>
          <w:szCs w:val="14"/>
        </w:rPr>
        <w:t>Mitsch</w:t>
      </w:r>
      <w:r w:rsidR="005F26A8" w:rsidRPr="00EE13AA">
        <w:rPr>
          <w:rFonts w:ascii="Times New Roman" w:hAnsi="Times New Roman"/>
          <w:spacing w:val="-2"/>
          <w:sz w:val="14"/>
          <w:szCs w:val="14"/>
        </w:rPr>
        <w:t>, Strafantragsdelikte, JA 2014, 1</w:t>
      </w:r>
      <w:r w:rsidR="00B46150" w:rsidRPr="00EE13AA">
        <w:rPr>
          <w:rFonts w:ascii="Times New Roman" w:hAnsi="Times New Roman"/>
          <w:spacing w:val="-2"/>
          <w:sz w:val="14"/>
          <w:szCs w:val="14"/>
        </w:rPr>
        <w:t xml:space="preserve">; </w:t>
      </w:r>
      <w:proofErr w:type="spellStart"/>
      <w:r w:rsidR="00B46150" w:rsidRPr="00EE13AA">
        <w:rPr>
          <w:rFonts w:ascii="Times New Roman" w:hAnsi="Times New Roman"/>
          <w:i/>
          <w:spacing w:val="-2"/>
          <w:sz w:val="14"/>
          <w:szCs w:val="14"/>
        </w:rPr>
        <w:t>Soiné</w:t>
      </w:r>
      <w:proofErr w:type="spellEnd"/>
      <w:r w:rsidR="00B46150" w:rsidRPr="00EE13AA">
        <w:rPr>
          <w:rFonts w:ascii="Times New Roman" w:hAnsi="Times New Roman"/>
          <w:spacing w:val="-2"/>
          <w:sz w:val="14"/>
          <w:szCs w:val="14"/>
        </w:rPr>
        <w:t>, Erweiterte Zeugenpflichten gegenüber der Polizei im Ermit</w:t>
      </w:r>
      <w:r w:rsidR="00CF6D92" w:rsidRPr="00EE13AA">
        <w:rPr>
          <w:rFonts w:ascii="Times New Roman" w:hAnsi="Times New Roman"/>
          <w:spacing w:val="-2"/>
          <w:sz w:val="14"/>
          <w:szCs w:val="14"/>
        </w:rPr>
        <w:t xml:space="preserve">tlungsverfahren, NStZ 2018, 141; </w:t>
      </w:r>
      <w:r w:rsidR="00CF6D92" w:rsidRPr="00EE13AA">
        <w:rPr>
          <w:rFonts w:ascii="Times New Roman" w:hAnsi="Times New Roman"/>
          <w:i/>
          <w:spacing w:val="-2"/>
          <w:sz w:val="14"/>
          <w:szCs w:val="14"/>
        </w:rPr>
        <w:t>Scheinfeld/Willenbacher</w:t>
      </w:r>
      <w:r w:rsidR="00CF6D92" w:rsidRPr="00EE13AA">
        <w:rPr>
          <w:rFonts w:ascii="Times New Roman" w:hAnsi="Times New Roman"/>
          <w:spacing w:val="-2"/>
          <w:sz w:val="14"/>
          <w:szCs w:val="14"/>
        </w:rPr>
        <w:t>, Anfangsverdacht bei Anzeige gegen Unbekannt, NJW 2019, 1357</w:t>
      </w:r>
      <w:r w:rsidR="00BC5B89">
        <w:rPr>
          <w:rFonts w:ascii="Times New Roman" w:hAnsi="Times New Roman"/>
          <w:spacing w:val="-2"/>
          <w:sz w:val="14"/>
          <w:szCs w:val="14"/>
        </w:rPr>
        <w:t xml:space="preserve">; </w:t>
      </w:r>
      <w:r w:rsidR="00BC5B89" w:rsidRPr="00D5135A">
        <w:rPr>
          <w:rFonts w:ascii="Times New Roman" w:hAnsi="Times New Roman"/>
          <w:i/>
          <w:spacing w:val="-2"/>
          <w:sz w:val="14"/>
          <w:szCs w:val="14"/>
        </w:rPr>
        <w:t>Böhme/Lahmann</w:t>
      </w:r>
      <w:r w:rsidR="00BC5B89">
        <w:rPr>
          <w:rFonts w:ascii="Times New Roman" w:hAnsi="Times New Roman"/>
          <w:spacing w:val="-2"/>
          <w:sz w:val="14"/>
          <w:szCs w:val="14"/>
        </w:rPr>
        <w:t xml:space="preserve">, Strafantragsrecht, </w:t>
      </w:r>
      <w:proofErr w:type="spellStart"/>
      <w:r w:rsidR="00BC5B89">
        <w:rPr>
          <w:rFonts w:ascii="Times New Roman" w:hAnsi="Times New Roman"/>
          <w:spacing w:val="-2"/>
          <w:sz w:val="14"/>
          <w:szCs w:val="14"/>
        </w:rPr>
        <w:t>JuS</w:t>
      </w:r>
      <w:proofErr w:type="spellEnd"/>
      <w:r w:rsidR="00BC5B89">
        <w:rPr>
          <w:rFonts w:ascii="Times New Roman" w:hAnsi="Times New Roman"/>
          <w:spacing w:val="-2"/>
          <w:sz w:val="14"/>
          <w:szCs w:val="14"/>
        </w:rPr>
        <w:t xml:space="preserve"> 2016, 234.</w:t>
      </w:r>
    </w:p>
    <w:p w14:paraId="21A05853" w14:textId="47EBA4B5" w:rsidR="00225253" w:rsidRPr="00EE13AA" w:rsidRDefault="00225253" w:rsidP="00225253">
      <w:pPr>
        <w:widowControl/>
        <w:tabs>
          <w:tab w:val="left" w:pos="-720"/>
          <w:tab w:val="left" w:pos="288"/>
          <w:tab w:val="left" w:pos="567"/>
          <w:tab w:val="left" w:pos="864"/>
          <w:tab w:val="left" w:pos="1116"/>
          <w:tab w:val="left" w:pos="1404"/>
          <w:tab w:val="left" w:pos="1701"/>
          <w:tab w:val="left" w:pos="2268"/>
          <w:tab w:val="left" w:pos="2880"/>
        </w:tabs>
        <w:ind w:left="1701" w:hanging="1701"/>
        <w:jc w:val="both"/>
        <w:rPr>
          <w:sz w:val="14"/>
          <w:szCs w:val="14"/>
        </w:rPr>
      </w:pPr>
      <w:r w:rsidRPr="00EE13AA">
        <w:rPr>
          <w:rFonts w:ascii="Times New Roman" w:hAnsi="Times New Roman"/>
          <w:b/>
          <w:spacing w:val="-2"/>
          <w:sz w:val="14"/>
          <w:szCs w:val="14"/>
        </w:rPr>
        <w:t xml:space="preserve">Rechtsprechung: </w:t>
      </w:r>
      <w:r w:rsidRPr="00EE13AA">
        <w:rPr>
          <w:rFonts w:ascii="Times New Roman" w:hAnsi="Times New Roman"/>
          <w:b/>
          <w:spacing w:val="-2"/>
          <w:sz w:val="14"/>
          <w:szCs w:val="14"/>
        </w:rPr>
        <w:tab/>
      </w:r>
      <w:r w:rsidRPr="00EE13AA">
        <w:rPr>
          <w:rFonts w:ascii="Times New Roman" w:hAnsi="Times New Roman"/>
          <w:b/>
          <w:spacing w:val="-2"/>
          <w:sz w:val="14"/>
          <w:szCs w:val="14"/>
        </w:rPr>
        <w:tab/>
      </w:r>
      <w:r w:rsidR="00D17CA4" w:rsidRPr="00EE13AA">
        <w:rPr>
          <w:rFonts w:ascii="Times New Roman" w:hAnsi="Times New Roman"/>
          <w:b/>
          <w:spacing w:val="-2"/>
          <w:sz w:val="14"/>
          <w:szCs w:val="14"/>
        </w:rPr>
        <w:tab/>
      </w:r>
      <w:r w:rsidRPr="00EE13AA">
        <w:rPr>
          <w:rFonts w:ascii="Times New Roman" w:hAnsi="Times New Roman"/>
          <w:b/>
          <w:spacing w:val="-2"/>
          <w:sz w:val="14"/>
          <w:szCs w:val="14"/>
        </w:rPr>
        <w:t xml:space="preserve">BGHSt 5, 225 </w:t>
      </w:r>
      <w:r w:rsidRPr="00EE13AA">
        <w:rPr>
          <w:rFonts w:ascii="Times New Roman" w:hAnsi="Times New Roman"/>
          <w:spacing w:val="-2"/>
          <w:sz w:val="14"/>
          <w:szCs w:val="14"/>
        </w:rPr>
        <w:t xml:space="preserve">– Polizeibeamter (grundsätzliche Mitteilungspflicht eines Kriminalpolizeibeamten bei Kenntniserlangung von Straftaten); </w:t>
      </w:r>
      <w:r w:rsidRPr="00EE13AA">
        <w:rPr>
          <w:rFonts w:ascii="Times New Roman" w:hAnsi="Times New Roman"/>
          <w:b/>
          <w:spacing w:val="-2"/>
          <w:sz w:val="14"/>
          <w:szCs w:val="14"/>
        </w:rPr>
        <w:t>BGHSt 38, 388</w:t>
      </w:r>
      <w:r w:rsidRPr="00EE13AA">
        <w:rPr>
          <w:rFonts w:ascii="Times New Roman" w:hAnsi="Times New Roman"/>
          <w:spacing w:val="-2"/>
          <w:sz w:val="14"/>
          <w:szCs w:val="14"/>
        </w:rPr>
        <w:t xml:space="preserve"> – Vergnügungsbar (Pflicht der Staatsanwaltschaft und der Polizei zum Einschreiten bei außerdienstlichen Kenntniserlangung);</w:t>
      </w:r>
      <w:r w:rsidR="00566235" w:rsidRPr="00EE13AA">
        <w:rPr>
          <w:rFonts w:ascii="Times New Roman" w:hAnsi="Times New Roman"/>
          <w:b/>
          <w:spacing w:val="-2"/>
          <w:sz w:val="14"/>
          <w:szCs w:val="14"/>
        </w:rPr>
        <w:t xml:space="preserve"> BGHSt 59, 278</w:t>
      </w:r>
      <w:r w:rsidR="00566235" w:rsidRPr="00EE13AA">
        <w:rPr>
          <w:rFonts w:ascii="Times New Roman" w:hAnsi="Times New Roman"/>
          <w:spacing w:val="-2"/>
          <w:sz w:val="14"/>
          <w:szCs w:val="14"/>
        </w:rPr>
        <w:t xml:space="preserve"> – Wirksamkeit eines Strafantrags (Strafantragsbefugnis eines Betreuers);</w:t>
      </w:r>
      <w:r w:rsidRPr="00EE13AA">
        <w:rPr>
          <w:rFonts w:ascii="Times New Roman" w:hAnsi="Times New Roman"/>
          <w:b/>
          <w:spacing w:val="-2"/>
          <w:sz w:val="14"/>
          <w:szCs w:val="14"/>
        </w:rPr>
        <w:t xml:space="preserve"> </w:t>
      </w:r>
      <w:r w:rsidR="00D17CA4" w:rsidRPr="00EE13AA">
        <w:rPr>
          <w:rFonts w:ascii="Times New Roman" w:hAnsi="Times New Roman"/>
          <w:b/>
          <w:spacing w:val="-2"/>
          <w:sz w:val="14"/>
          <w:szCs w:val="14"/>
        </w:rPr>
        <w:t xml:space="preserve">BGHSt 62, 312 </w:t>
      </w:r>
      <w:r w:rsidR="00D17CA4" w:rsidRPr="00EE13AA">
        <w:rPr>
          <w:rFonts w:ascii="Times New Roman" w:hAnsi="Times New Roman"/>
          <w:spacing w:val="-2"/>
          <w:sz w:val="14"/>
          <w:szCs w:val="14"/>
        </w:rPr>
        <w:t xml:space="preserve">– Rechtsbeugung durch einen Staatsanwalt (Nichtbearbeitung von Ermittlungsverfahren); </w:t>
      </w:r>
      <w:r w:rsidRPr="00EE13AA">
        <w:rPr>
          <w:rFonts w:ascii="Times New Roman" w:hAnsi="Times New Roman"/>
          <w:b/>
          <w:spacing w:val="-2"/>
          <w:sz w:val="14"/>
          <w:szCs w:val="14"/>
        </w:rPr>
        <w:t xml:space="preserve">OLG Brandenburg NJW 2002, 693 – </w:t>
      </w:r>
      <w:r w:rsidRPr="00EE13AA">
        <w:rPr>
          <w:rFonts w:ascii="Times New Roman" w:hAnsi="Times New Roman"/>
          <w:spacing w:val="-2"/>
          <w:sz w:val="14"/>
          <w:szCs w:val="14"/>
        </w:rPr>
        <w:t>Hausfriedensbruch (Strafantragsberechtigung und deren Übertragung auf einen Vertreter)</w:t>
      </w:r>
      <w:r w:rsidR="00EE13AA" w:rsidRPr="00EE13AA">
        <w:rPr>
          <w:rFonts w:ascii="Times New Roman" w:hAnsi="Times New Roman"/>
          <w:spacing w:val="-2"/>
          <w:sz w:val="14"/>
          <w:szCs w:val="14"/>
        </w:rPr>
        <w:t xml:space="preserve">; </w:t>
      </w:r>
      <w:r w:rsidR="00EE13AA" w:rsidRPr="00EE13AA">
        <w:rPr>
          <w:rFonts w:ascii="Times New Roman" w:hAnsi="Times New Roman"/>
          <w:b/>
          <w:bCs/>
          <w:spacing w:val="-2"/>
          <w:sz w:val="14"/>
          <w:szCs w:val="14"/>
        </w:rPr>
        <w:t>BGH NJW 2015, 3383</w:t>
      </w:r>
      <w:r w:rsidR="00EE13AA" w:rsidRPr="00EE13AA">
        <w:rPr>
          <w:rFonts w:ascii="Times New Roman" w:hAnsi="Times New Roman"/>
          <w:bCs/>
          <w:spacing w:val="-2"/>
          <w:sz w:val="14"/>
          <w:szCs w:val="14"/>
        </w:rPr>
        <w:t xml:space="preserve"> – Pflichtverteidiger (Antragsrecht des Beschuldigten hinsichtlich der Pflichtverteidigerbestellung im Vorverfahren), vgl. </w:t>
      </w:r>
      <w:r w:rsidR="00D02B00" w:rsidRPr="00D42517">
        <w:rPr>
          <w:rFonts w:ascii="Times New Roman" w:hAnsi="Times New Roman"/>
          <w:bCs/>
          <w:i/>
          <w:iCs/>
          <w:spacing w:val="-2"/>
          <w:sz w:val="14"/>
          <w:szCs w:val="14"/>
        </w:rPr>
        <w:t>Holland/Wagner</w:t>
      </w:r>
      <w:r w:rsidR="00D02B00">
        <w:rPr>
          <w:rFonts w:ascii="Times New Roman" w:hAnsi="Times New Roman"/>
          <w:bCs/>
          <w:spacing w:val="-2"/>
          <w:sz w:val="14"/>
          <w:szCs w:val="14"/>
        </w:rPr>
        <w:t xml:space="preserve">, Pflichtverteidiger-Fall, </w:t>
      </w:r>
      <w:r w:rsidR="00EE13AA" w:rsidRPr="00EE13AA">
        <w:rPr>
          <w:rFonts w:ascii="Times New Roman" w:hAnsi="Times New Roman"/>
          <w:bCs/>
          <w:spacing w:val="-2"/>
          <w:sz w:val="14"/>
          <w:szCs w:val="14"/>
        </w:rPr>
        <w:t>famos 01/2016</w:t>
      </w:r>
      <w:r w:rsidR="009657D3">
        <w:rPr>
          <w:rFonts w:ascii="Times New Roman" w:hAnsi="Times New Roman"/>
          <w:bCs/>
          <w:spacing w:val="-2"/>
          <w:sz w:val="14"/>
          <w:szCs w:val="14"/>
        </w:rPr>
        <w:t>.</w:t>
      </w:r>
      <w:r w:rsidR="009657D3" w:rsidDel="009657D3">
        <w:rPr>
          <w:rFonts w:ascii="Times New Roman" w:hAnsi="Times New Roman"/>
          <w:bCs/>
          <w:spacing w:val="-2"/>
          <w:sz w:val="14"/>
          <w:szCs w:val="14"/>
        </w:rPr>
        <w:t xml:space="preserve"> </w:t>
      </w:r>
    </w:p>
    <w:sectPr w:rsidR="00225253" w:rsidRPr="00EE13AA" w:rsidSect="00225253">
      <w:pgSz w:w="11906" w:h="16838"/>
      <w:pgMar w:top="567" w:right="680" w:bottom="289"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32B85" w14:textId="77777777" w:rsidR="00DE3089" w:rsidRDefault="00DE3089">
      <w:r>
        <w:separator/>
      </w:r>
    </w:p>
  </w:endnote>
  <w:endnote w:type="continuationSeparator" w:id="0">
    <w:p w14:paraId="532D70E5" w14:textId="77777777" w:rsidR="00DE3089" w:rsidRDefault="00DE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70D3" w14:textId="77777777" w:rsidR="00DE3089" w:rsidRDefault="00DE3089">
      <w:r>
        <w:separator/>
      </w:r>
    </w:p>
  </w:footnote>
  <w:footnote w:type="continuationSeparator" w:id="0">
    <w:p w14:paraId="3DC9C22C" w14:textId="77777777" w:rsidR="00DE3089" w:rsidRDefault="00DE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79A1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398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788F"/>
    <w:rsid w:val="0003053C"/>
    <w:rsid w:val="00036355"/>
    <w:rsid w:val="00040867"/>
    <w:rsid w:val="00073BC6"/>
    <w:rsid w:val="000A37B8"/>
    <w:rsid w:val="000D1BD5"/>
    <w:rsid w:val="000E4BE9"/>
    <w:rsid w:val="001025F5"/>
    <w:rsid w:val="00133CA1"/>
    <w:rsid w:val="001577E7"/>
    <w:rsid w:val="00162F27"/>
    <w:rsid w:val="0017534F"/>
    <w:rsid w:val="001A0D3A"/>
    <w:rsid w:val="001B45C1"/>
    <w:rsid w:val="001B68DB"/>
    <w:rsid w:val="001C327C"/>
    <w:rsid w:val="001C47C3"/>
    <w:rsid w:val="00206844"/>
    <w:rsid w:val="00225253"/>
    <w:rsid w:val="00243A81"/>
    <w:rsid w:val="00264264"/>
    <w:rsid w:val="00286548"/>
    <w:rsid w:val="002A305F"/>
    <w:rsid w:val="002B09FD"/>
    <w:rsid w:val="002B37DA"/>
    <w:rsid w:val="00310F95"/>
    <w:rsid w:val="00325657"/>
    <w:rsid w:val="00330650"/>
    <w:rsid w:val="00337B20"/>
    <w:rsid w:val="003734BD"/>
    <w:rsid w:val="003B6498"/>
    <w:rsid w:val="003C51C5"/>
    <w:rsid w:val="003C72C9"/>
    <w:rsid w:val="003F0A53"/>
    <w:rsid w:val="003F22B2"/>
    <w:rsid w:val="003F6220"/>
    <w:rsid w:val="00431055"/>
    <w:rsid w:val="00432BAE"/>
    <w:rsid w:val="00453467"/>
    <w:rsid w:val="00470889"/>
    <w:rsid w:val="00472051"/>
    <w:rsid w:val="00472A48"/>
    <w:rsid w:val="00493F79"/>
    <w:rsid w:val="00497D91"/>
    <w:rsid w:val="004B60E6"/>
    <w:rsid w:val="004C1951"/>
    <w:rsid w:val="004E1F16"/>
    <w:rsid w:val="0051605A"/>
    <w:rsid w:val="00525208"/>
    <w:rsid w:val="00525532"/>
    <w:rsid w:val="005375F8"/>
    <w:rsid w:val="0054555B"/>
    <w:rsid w:val="00557AAA"/>
    <w:rsid w:val="00566235"/>
    <w:rsid w:val="005759C5"/>
    <w:rsid w:val="00580430"/>
    <w:rsid w:val="005C25DE"/>
    <w:rsid w:val="005F26A8"/>
    <w:rsid w:val="005F4660"/>
    <w:rsid w:val="006518A0"/>
    <w:rsid w:val="00655998"/>
    <w:rsid w:val="00694D0C"/>
    <w:rsid w:val="006D2482"/>
    <w:rsid w:val="006D670E"/>
    <w:rsid w:val="006D7246"/>
    <w:rsid w:val="0070566E"/>
    <w:rsid w:val="00715E87"/>
    <w:rsid w:val="00725014"/>
    <w:rsid w:val="0075185A"/>
    <w:rsid w:val="007543E2"/>
    <w:rsid w:val="00797B47"/>
    <w:rsid w:val="007A1A3E"/>
    <w:rsid w:val="007B0198"/>
    <w:rsid w:val="00801C8E"/>
    <w:rsid w:val="008569BF"/>
    <w:rsid w:val="008A0246"/>
    <w:rsid w:val="00926C71"/>
    <w:rsid w:val="009503B9"/>
    <w:rsid w:val="0095496A"/>
    <w:rsid w:val="009657D3"/>
    <w:rsid w:val="00966ED8"/>
    <w:rsid w:val="009671C5"/>
    <w:rsid w:val="009C152A"/>
    <w:rsid w:val="009E2431"/>
    <w:rsid w:val="00A01555"/>
    <w:rsid w:val="00A058AC"/>
    <w:rsid w:val="00A07E24"/>
    <w:rsid w:val="00A505FF"/>
    <w:rsid w:val="00A55096"/>
    <w:rsid w:val="00A71C50"/>
    <w:rsid w:val="00A73B95"/>
    <w:rsid w:val="00AA13B2"/>
    <w:rsid w:val="00AB41E2"/>
    <w:rsid w:val="00AE19D7"/>
    <w:rsid w:val="00AE4E3B"/>
    <w:rsid w:val="00B03C3A"/>
    <w:rsid w:val="00B147A0"/>
    <w:rsid w:val="00B20F64"/>
    <w:rsid w:val="00B42316"/>
    <w:rsid w:val="00B430C3"/>
    <w:rsid w:val="00B46150"/>
    <w:rsid w:val="00B759D0"/>
    <w:rsid w:val="00B8016C"/>
    <w:rsid w:val="00B93D72"/>
    <w:rsid w:val="00BA4142"/>
    <w:rsid w:val="00BA7AB6"/>
    <w:rsid w:val="00BC5B89"/>
    <w:rsid w:val="00C24703"/>
    <w:rsid w:val="00C40304"/>
    <w:rsid w:val="00C72063"/>
    <w:rsid w:val="00CB706B"/>
    <w:rsid w:val="00CF06C7"/>
    <w:rsid w:val="00CF57DB"/>
    <w:rsid w:val="00CF6D92"/>
    <w:rsid w:val="00D02B00"/>
    <w:rsid w:val="00D14F9D"/>
    <w:rsid w:val="00D17CA4"/>
    <w:rsid w:val="00D36ACE"/>
    <w:rsid w:val="00D42517"/>
    <w:rsid w:val="00D461A3"/>
    <w:rsid w:val="00D5135A"/>
    <w:rsid w:val="00D60A03"/>
    <w:rsid w:val="00D94572"/>
    <w:rsid w:val="00DA0F92"/>
    <w:rsid w:val="00DB2261"/>
    <w:rsid w:val="00DC205C"/>
    <w:rsid w:val="00DC2448"/>
    <w:rsid w:val="00DE14FB"/>
    <w:rsid w:val="00DE1D5B"/>
    <w:rsid w:val="00DE3089"/>
    <w:rsid w:val="00E01AA2"/>
    <w:rsid w:val="00E04B01"/>
    <w:rsid w:val="00E103BA"/>
    <w:rsid w:val="00E26C57"/>
    <w:rsid w:val="00E4507A"/>
    <w:rsid w:val="00E73638"/>
    <w:rsid w:val="00E83919"/>
    <w:rsid w:val="00E8608D"/>
    <w:rsid w:val="00E8751B"/>
    <w:rsid w:val="00EC0A25"/>
    <w:rsid w:val="00EE13AA"/>
    <w:rsid w:val="00EF4F4E"/>
    <w:rsid w:val="00F20E9C"/>
    <w:rsid w:val="00F308BC"/>
    <w:rsid w:val="00F361C8"/>
    <w:rsid w:val="00F463FF"/>
    <w:rsid w:val="00F63EC9"/>
    <w:rsid w:val="00F87F75"/>
    <w:rsid w:val="00FD53BA"/>
    <w:rsid w:val="00FF7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A2FB1E"/>
  <w15:chartTrackingRefBased/>
  <w15:docId w15:val="{1FBDED58-0B92-4E4B-A857-EC935286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3CA0"/>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C23CA0"/>
  </w:style>
  <w:style w:type="paragraph" w:styleId="Sprechblasentext">
    <w:name w:val="Balloon Text"/>
    <w:basedOn w:val="Standard"/>
    <w:semiHidden/>
    <w:rsid w:val="002D1AFB"/>
    <w:rPr>
      <w:rFonts w:ascii="Tahoma" w:hAnsi="Tahoma" w:cs="Tahoma"/>
      <w:sz w:val="16"/>
      <w:szCs w:val="16"/>
    </w:rPr>
  </w:style>
  <w:style w:type="character" w:customStyle="1" w:styleId="bfdesc">
    <w:name w:val="bf_desc"/>
    <w:rsid w:val="00B93D72"/>
  </w:style>
  <w:style w:type="character" w:styleId="Kommentarzeichen">
    <w:name w:val="annotation reference"/>
    <w:uiPriority w:val="99"/>
    <w:semiHidden/>
    <w:unhideWhenUsed/>
    <w:rsid w:val="00557AAA"/>
    <w:rPr>
      <w:sz w:val="18"/>
      <w:szCs w:val="18"/>
    </w:rPr>
  </w:style>
  <w:style w:type="paragraph" w:styleId="Kommentartext">
    <w:name w:val="annotation text"/>
    <w:basedOn w:val="Standard"/>
    <w:link w:val="KommentartextZchn"/>
    <w:uiPriority w:val="99"/>
    <w:unhideWhenUsed/>
    <w:rsid w:val="00557AAA"/>
  </w:style>
  <w:style w:type="character" w:customStyle="1" w:styleId="KommentartextZchn">
    <w:name w:val="Kommentartext Zchn"/>
    <w:link w:val="Kommentartext"/>
    <w:uiPriority w:val="99"/>
    <w:rsid w:val="00557AAA"/>
    <w:rPr>
      <w:rFonts w:ascii="Dutch Roman 12pt" w:hAnsi="Dutch Roman 12pt" w:cs="Arial Narrow"/>
      <w:sz w:val="24"/>
      <w:szCs w:val="24"/>
    </w:rPr>
  </w:style>
  <w:style w:type="paragraph" w:styleId="Kommentarthema">
    <w:name w:val="annotation subject"/>
    <w:basedOn w:val="Kommentartext"/>
    <w:next w:val="Kommentartext"/>
    <w:link w:val="KommentarthemaZchn"/>
    <w:uiPriority w:val="99"/>
    <w:semiHidden/>
    <w:unhideWhenUsed/>
    <w:rsid w:val="00557AAA"/>
    <w:rPr>
      <w:b/>
      <w:bCs/>
      <w:sz w:val="20"/>
      <w:szCs w:val="20"/>
    </w:rPr>
  </w:style>
  <w:style w:type="character" w:customStyle="1" w:styleId="KommentarthemaZchn">
    <w:name w:val="Kommentarthema Zchn"/>
    <w:link w:val="Kommentarthema"/>
    <w:uiPriority w:val="99"/>
    <w:semiHidden/>
    <w:rsid w:val="00557AAA"/>
    <w:rPr>
      <w:rFonts w:ascii="Dutch Roman 12pt" w:hAnsi="Dutch Roman 12pt" w:cs="Arial Narrow"/>
      <w:b/>
      <w:bCs/>
      <w:sz w:val="24"/>
      <w:szCs w:val="24"/>
    </w:rPr>
  </w:style>
  <w:style w:type="paragraph" w:styleId="berarbeitung">
    <w:name w:val="Revision"/>
    <w:hidden/>
    <w:uiPriority w:val="71"/>
    <w:rsid w:val="006D2482"/>
    <w:rPr>
      <w:rFonts w:ascii="Dutch Roman 12pt" w:hAnsi="Dutch Roman 12pt"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07E9AF-04D6-4051-9D74-32D5ACDA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8568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Tobias Reinbacher</cp:lastModifiedBy>
  <cp:revision>7</cp:revision>
  <cp:lastPrinted>2020-10-16T11:49:00Z</cp:lastPrinted>
  <dcterms:created xsi:type="dcterms:W3CDTF">2024-10-04T08:20:00Z</dcterms:created>
  <dcterms:modified xsi:type="dcterms:W3CDTF">2024-10-14T10:11:00Z</dcterms:modified>
</cp:coreProperties>
</file>