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112E9" w14:textId="346FD26F" w:rsidR="00A7514B" w:rsidRDefault="00A7514B">
      <w:pPr>
        <w:tabs>
          <w:tab w:val="right" w:pos="10206"/>
        </w:tabs>
        <w:jc w:val="both"/>
        <w:rPr>
          <w:b/>
          <w:spacing w:val="-3"/>
        </w:rPr>
      </w:pPr>
      <w:r>
        <w:rPr>
          <w:b/>
          <w:spacing w:val="-3"/>
        </w:rPr>
        <w:t xml:space="preserve">Prof. Dr. </w:t>
      </w:r>
      <w:r w:rsidR="00BB3CF8">
        <w:rPr>
          <w:b/>
          <w:spacing w:val="-3"/>
        </w:rPr>
        <w:t xml:space="preserve">Dr. h.c. </w:t>
      </w:r>
      <w:r>
        <w:rPr>
          <w:b/>
          <w:spacing w:val="-3"/>
        </w:rPr>
        <w:t>Bernd Heinrich/</w:t>
      </w:r>
      <w:r w:rsidR="00A54D31">
        <w:rPr>
          <w:b/>
          <w:spacing w:val="-3"/>
        </w:rPr>
        <w:t>Prof. Dr.</w:t>
      </w:r>
      <w:r>
        <w:rPr>
          <w:b/>
          <w:spacing w:val="-3"/>
        </w:rPr>
        <w:t xml:space="preserve"> Tobias Reinbacher</w:t>
      </w:r>
      <w:r>
        <w:rPr>
          <w:b/>
          <w:spacing w:val="-3"/>
        </w:rPr>
        <w:tab/>
        <w:t xml:space="preserve">Stand: 1. </w:t>
      </w:r>
      <w:r w:rsidR="00774B3A">
        <w:rPr>
          <w:b/>
          <w:spacing w:val="-3"/>
        </w:rPr>
        <w:t>Oktober</w:t>
      </w:r>
      <w:r w:rsidR="00C2723A">
        <w:rPr>
          <w:b/>
          <w:spacing w:val="-3"/>
        </w:rPr>
        <w:t xml:space="preserve"> </w:t>
      </w:r>
      <w:r w:rsidR="003D4C35">
        <w:rPr>
          <w:b/>
          <w:spacing w:val="-3"/>
        </w:rPr>
        <w:t>202</w:t>
      </w:r>
      <w:r w:rsidR="007470C5">
        <w:rPr>
          <w:b/>
          <w:spacing w:val="-3"/>
        </w:rPr>
        <w:t>4</w:t>
      </w:r>
    </w:p>
    <w:p w14:paraId="6CEF4FAE" w14:textId="77777777" w:rsidR="00A7514B" w:rsidRDefault="00A7514B">
      <w:pPr>
        <w:tabs>
          <w:tab w:val="left" w:pos="-720"/>
        </w:tabs>
        <w:jc w:val="both"/>
        <w:rPr>
          <w:spacing w:val="-3"/>
        </w:rPr>
      </w:pPr>
    </w:p>
    <w:p w14:paraId="33D0BAA7" w14:textId="4F4FC80F" w:rsidR="00A7514B" w:rsidRDefault="00A7514B" w:rsidP="00A7514B">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7470C5">
        <w:rPr>
          <w:b/>
          <w:spacing w:val="-3"/>
        </w:rPr>
        <w:t> </w:t>
      </w:r>
      <w:r>
        <w:rPr>
          <w:b/>
          <w:spacing w:val="-3"/>
        </w:rPr>
        <w:t>3</w:t>
      </w:r>
    </w:p>
    <w:p w14:paraId="699556A2" w14:textId="77777777" w:rsidR="00A7514B" w:rsidRDefault="00A7514B" w:rsidP="00A7514B">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60"/>
        </w:rPr>
      </w:pPr>
      <w:r>
        <w:rPr>
          <w:b/>
          <w:spacing w:val="-7"/>
          <w:sz w:val="60"/>
        </w:rPr>
        <w:t>Das Zwischenverfahren</w:t>
      </w:r>
    </w:p>
    <w:p w14:paraId="21296703" w14:textId="77777777" w:rsidR="00A7514B" w:rsidRDefault="00A7514B">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156B28">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B46235">
        <w:rPr>
          <w:rFonts w:ascii="Times New Roman" w:hAnsi="Times New Roman"/>
          <w:noProof/>
          <w:vanish/>
          <w:spacing w:val="-7"/>
          <w:sz w:val="60"/>
        </w:rPr>
        <w:t>1</w:t>
      </w:r>
      <w:r>
        <w:rPr>
          <w:rFonts w:ascii="Times New Roman" w:hAnsi="Times New Roman"/>
          <w:vanish/>
          <w:spacing w:val="-7"/>
          <w:sz w:val="60"/>
        </w:rPr>
        <w:fldChar w:fldCharType="end"/>
      </w:r>
    </w:p>
    <w:p w14:paraId="4C618F9E" w14:textId="77777777" w:rsidR="00A7514B" w:rsidRDefault="00A7514B" w:rsidP="00A7514B">
      <w:pPr>
        <w:widowControl/>
        <w:tabs>
          <w:tab w:val="left" w:pos="-720"/>
          <w:tab w:val="left" w:pos="0"/>
          <w:tab w:val="left" w:pos="576"/>
          <w:tab w:val="left" w:pos="864"/>
          <w:tab w:val="left" w:pos="1116"/>
          <w:tab w:val="left" w:pos="1404"/>
          <w:tab w:val="left" w:pos="1692"/>
          <w:tab w:val="left" w:pos="1980"/>
          <w:tab w:val="left" w:pos="2268"/>
          <w:tab w:val="left" w:pos="2880"/>
        </w:tabs>
        <w:ind w:left="567" w:hanging="567"/>
        <w:jc w:val="both"/>
        <w:rPr>
          <w:rFonts w:ascii="Times New Roman" w:hAnsi="Times New Roman"/>
          <w:b/>
          <w:spacing w:val="-2"/>
          <w:sz w:val="18"/>
        </w:rPr>
      </w:pPr>
    </w:p>
    <w:p w14:paraId="13F02391" w14:textId="16818E58" w:rsidR="00A7514B" w:rsidRPr="008824D9" w:rsidRDefault="00A7514B" w:rsidP="007470C5">
      <w:pPr>
        <w:widowControl/>
        <w:tabs>
          <w:tab w:val="left" w:pos="-720"/>
          <w:tab w:val="left" w:pos="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8"/>
        </w:rPr>
      </w:pPr>
      <w:r>
        <w:rPr>
          <w:rFonts w:ascii="Times New Roman" w:hAnsi="Times New Roman"/>
          <w:b/>
          <w:spacing w:val="-2"/>
          <w:sz w:val="18"/>
        </w:rPr>
        <w:t xml:space="preserve">I. </w:t>
      </w:r>
      <w:r>
        <w:rPr>
          <w:rFonts w:ascii="Times New Roman" w:hAnsi="Times New Roman"/>
          <w:b/>
          <w:spacing w:val="-2"/>
          <w:sz w:val="18"/>
        </w:rPr>
        <w:tab/>
        <w:t>Allgemeines</w:t>
      </w:r>
      <w:r w:rsidRPr="008824D9">
        <w:rPr>
          <w:rFonts w:ascii="Times New Roman" w:hAnsi="Times New Roman"/>
          <w:b/>
          <w:spacing w:val="-2"/>
          <w:sz w:val="18"/>
        </w:rPr>
        <w:t>:</w:t>
      </w:r>
      <w:r>
        <w:rPr>
          <w:rFonts w:ascii="Times New Roman" w:hAnsi="Times New Roman"/>
          <w:spacing w:val="-2"/>
          <w:sz w:val="18"/>
        </w:rPr>
        <w:t xml:space="preserve"> Entschließt sich die </w:t>
      </w:r>
      <w:proofErr w:type="spellStart"/>
      <w:r>
        <w:rPr>
          <w:rFonts w:ascii="Times New Roman" w:hAnsi="Times New Roman"/>
          <w:spacing w:val="-2"/>
          <w:sz w:val="18"/>
        </w:rPr>
        <w:t>StA</w:t>
      </w:r>
      <w:proofErr w:type="spellEnd"/>
      <w:r>
        <w:rPr>
          <w:rFonts w:ascii="Times New Roman" w:hAnsi="Times New Roman"/>
          <w:spacing w:val="-2"/>
          <w:sz w:val="18"/>
        </w:rPr>
        <w:t xml:space="preserve"> zur Erhebung der öffentlichen Klage, so leitet sie die Anklageschrift an das zuständige Gericht weiter. Damit beginnt der zweite Abschnitt des Erkenntnisverfahrens, das sog. Zwischenverfahren, §§ 199-211 StPO. Der </w:t>
      </w:r>
      <w:r w:rsidRPr="008824D9">
        <w:rPr>
          <w:rFonts w:ascii="Times New Roman" w:hAnsi="Times New Roman"/>
          <w:sz w:val="18"/>
          <w:szCs w:val="32"/>
        </w:rPr>
        <w:t xml:space="preserve">Sinn dieses Verfahrensabschnittes liegt darin, dass das Gericht als unabhängige zweite Instanz noch einmal überprüfen soll, ob hinreichende Verdachtsgründe vorliegen, bevor eine Hauptverhandlung durchgeführt wird, </w:t>
      </w:r>
      <w:r>
        <w:rPr>
          <w:rFonts w:ascii="Times New Roman" w:hAnsi="Times New Roman"/>
          <w:sz w:val="18"/>
          <w:szCs w:val="32"/>
        </w:rPr>
        <w:t>da</w:t>
      </w:r>
      <w:r w:rsidRPr="008824D9">
        <w:rPr>
          <w:rFonts w:ascii="Times New Roman" w:hAnsi="Times New Roman"/>
          <w:sz w:val="18"/>
          <w:szCs w:val="32"/>
        </w:rPr>
        <w:t xml:space="preserve"> diese mit sehr schwerwiegenden persönlichen Nachteilen verbunden</w:t>
      </w:r>
      <w:r>
        <w:rPr>
          <w:rFonts w:ascii="Times New Roman" w:hAnsi="Times New Roman"/>
          <w:sz w:val="18"/>
          <w:szCs w:val="32"/>
        </w:rPr>
        <w:t xml:space="preserve"> ist</w:t>
      </w:r>
      <w:r w:rsidRPr="008824D9">
        <w:rPr>
          <w:rFonts w:ascii="Times New Roman" w:hAnsi="Times New Roman"/>
          <w:sz w:val="18"/>
          <w:szCs w:val="32"/>
        </w:rPr>
        <w:t>. Außerdem können hier bereits bzw. noch einmal Beweisanträge gestellt oder Einwendungen vorgebracht werden, § 201 StPO. Das Gericht untersucht im Zwischenverfahren, ob das Hauptverfahren auf</w:t>
      </w:r>
      <w:r w:rsidR="007470C5">
        <w:rPr>
          <w:rFonts w:ascii="Times New Roman" w:hAnsi="Times New Roman"/>
          <w:sz w:val="18"/>
          <w:szCs w:val="32"/>
        </w:rPr>
        <w:t>g</w:t>
      </w:r>
      <w:r w:rsidRPr="008824D9">
        <w:rPr>
          <w:rFonts w:ascii="Times New Roman" w:hAnsi="Times New Roman"/>
          <w:sz w:val="18"/>
          <w:szCs w:val="32"/>
        </w:rPr>
        <w:t xml:space="preserve">rund der von der </w:t>
      </w:r>
      <w:proofErr w:type="spellStart"/>
      <w:r w:rsidRPr="008824D9">
        <w:rPr>
          <w:rFonts w:ascii="Times New Roman" w:hAnsi="Times New Roman"/>
          <w:sz w:val="18"/>
          <w:szCs w:val="32"/>
        </w:rPr>
        <w:t>StA</w:t>
      </w:r>
      <w:proofErr w:type="spellEnd"/>
      <w:r w:rsidRPr="008824D9">
        <w:rPr>
          <w:rFonts w:ascii="Times New Roman" w:hAnsi="Times New Roman"/>
          <w:sz w:val="18"/>
          <w:szCs w:val="32"/>
        </w:rPr>
        <w:t xml:space="preserve"> übermittelten Anklageschrift zu eröffnen ist oder ob nach Auffassung des Gerichts noch Änderungen anzubringen sind. Es ist dabei an die Anträge der </w:t>
      </w:r>
      <w:proofErr w:type="spellStart"/>
      <w:r w:rsidRPr="008824D9">
        <w:rPr>
          <w:rFonts w:ascii="Times New Roman" w:hAnsi="Times New Roman"/>
          <w:sz w:val="18"/>
          <w:szCs w:val="32"/>
        </w:rPr>
        <w:t>StA</w:t>
      </w:r>
      <w:proofErr w:type="spellEnd"/>
      <w:r w:rsidRPr="008824D9">
        <w:rPr>
          <w:rFonts w:ascii="Times New Roman" w:hAnsi="Times New Roman"/>
          <w:sz w:val="18"/>
          <w:szCs w:val="32"/>
        </w:rPr>
        <w:t xml:space="preserve"> </w:t>
      </w:r>
      <w:proofErr w:type="spellStart"/>
      <w:r w:rsidRPr="008824D9">
        <w:rPr>
          <w:rFonts w:ascii="Times New Roman" w:hAnsi="Times New Roman"/>
          <w:sz w:val="18"/>
          <w:szCs w:val="32"/>
        </w:rPr>
        <w:t>grds</w:t>
      </w:r>
      <w:proofErr w:type="spellEnd"/>
      <w:r w:rsidRPr="008824D9">
        <w:rPr>
          <w:rFonts w:ascii="Times New Roman" w:hAnsi="Times New Roman"/>
          <w:sz w:val="18"/>
          <w:szCs w:val="32"/>
        </w:rPr>
        <w:t>. nicht gebunden, § 206 StPO. Zuständig für das Zwischenverfahren ist das Gericht, das auch in der Hauptsache zuständig ist, § 199 I StPO.</w:t>
      </w:r>
      <w:r w:rsidR="00340210">
        <w:rPr>
          <w:rFonts w:ascii="Times New Roman" w:hAnsi="Times New Roman"/>
          <w:sz w:val="18"/>
          <w:szCs w:val="32"/>
        </w:rPr>
        <w:t xml:space="preserve"> </w:t>
      </w:r>
      <w:r w:rsidRPr="008824D9">
        <w:rPr>
          <w:rFonts w:ascii="Times New Roman" w:hAnsi="Times New Roman"/>
          <w:sz w:val="18"/>
          <w:szCs w:val="32"/>
        </w:rPr>
        <w:t>Im Strafbefehlsverfahren, §§ 407</w:t>
      </w:r>
      <w:r w:rsidR="007470C5">
        <w:rPr>
          <w:rFonts w:ascii="Times New Roman" w:hAnsi="Times New Roman"/>
          <w:sz w:val="18"/>
          <w:szCs w:val="32"/>
        </w:rPr>
        <w:t> </w:t>
      </w:r>
      <w:r w:rsidRPr="008824D9">
        <w:rPr>
          <w:rFonts w:ascii="Times New Roman" w:hAnsi="Times New Roman"/>
          <w:sz w:val="18"/>
          <w:szCs w:val="32"/>
        </w:rPr>
        <w:t>ff. StPO</w:t>
      </w:r>
      <w:r w:rsidR="00CB699C">
        <w:rPr>
          <w:rFonts w:ascii="Times New Roman" w:hAnsi="Times New Roman"/>
          <w:sz w:val="18"/>
          <w:szCs w:val="32"/>
        </w:rPr>
        <w:t xml:space="preserve">, </w:t>
      </w:r>
      <w:r w:rsidR="00850FFE">
        <w:rPr>
          <w:rFonts w:ascii="Times New Roman" w:hAnsi="Times New Roman"/>
          <w:sz w:val="18"/>
          <w:szCs w:val="32"/>
        </w:rPr>
        <w:t>sowie im beschleunigten Verfahren, §§</w:t>
      </w:r>
      <w:r w:rsidR="00844BE9">
        <w:rPr>
          <w:rFonts w:ascii="Times New Roman" w:hAnsi="Times New Roman"/>
          <w:sz w:val="18"/>
          <w:szCs w:val="32"/>
        </w:rPr>
        <w:t> </w:t>
      </w:r>
      <w:r w:rsidR="00850FFE">
        <w:rPr>
          <w:rFonts w:ascii="Times New Roman" w:hAnsi="Times New Roman"/>
          <w:sz w:val="18"/>
          <w:szCs w:val="32"/>
        </w:rPr>
        <w:t>417</w:t>
      </w:r>
      <w:r w:rsidR="007470C5">
        <w:rPr>
          <w:rFonts w:ascii="Times New Roman" w:hAnsi="Times New Roman"/>
          <w:sz w:val="18"/>
          <w:szCs w:val="32"/>
        </w:rPr>
        <w:t> </w:t>
      </w:r>
      <w:r w:rsidR="00850FFE">
        <w:rPr>
          <w:rFonts w:ascii="Times New Roman" w:hAnsi="Times New Roman"/>
          <w:sz w:val="18"/>
          <w:szCs w:val="32"/>
        </w:rPr>
        <w:t>ff. StPO</w:t>
      </w:r>
      <w:r w:rsidRPr="008824D9">
        <w:rPr>
          <w:rFonts w:ascii="Times New Roman" w:hAnsi="Times New Roman"/>
          <w:sz w:val="18"/>
          <w:szCs w:val="32"/>
        </w:rPr>
        <w:t>, entfällt das Zwischenverfahren (</w:t>
      </w:r>
      <w:r w:rsidR="00850FFE">
        <w:rPr>
          <w:rFonts w:ascii="Times New Roman" w:hAnsi="Times New Roman"/>
          <w:sz w:val="18"/>
          <w:szCs w:val="32"/>
        </w:rPr>
        <w:t>siehe zum Strafbefehlsverfahren</w:t>
      </w:r>
      <w:r w:rsidRPr="008824D9">
        <w:rPr>
          <w:rFonts w:ascii="Times New Roman" w:hAnsi="Times New Roman"/>
          <w:sz w:val="18"/>
          <w:szCs w:val="32"/>
        </w:rPr>
        <w:t xml:space="preserve"> Arbeitsblatt Nr. 47).</w:t>
      </w:r>
      <w:r w:rsidR="007470C5">
        <w:rPr>
          <w:rFonts w:ascii="Times New Roman" w:hAnsi="Times New Roman"/>
          <w:b/>
          <w:spacing w:val="-2"/>
          <w:sz w:val="18"/>
        </w:rPr>
        <w:t xml:space="preserve"> </w:t>
      </w:r>
      <w:r w:rsidRPr="008824D9">
        <w:rPr>
          <w:rFonts w:ascii="Times New Roman" w:hAnsi="Times New Roman"/>
          <w:b/>
          <w:spacing w:val="-2"/>
          <w:sz w:val="18"/>
        </w:rPr>
        <w:t>Beachte</w:t>
      </w:r>
      <w:r w:rsidRPr="008824D9">
        <w:rPr>
          <w:rFonts w:ascii="Times New Roman" w:hAnsi="Times New Roman"/>
          <w:spacing w:val="-2"/>
          <w:sz w:val="18"/>
        </w:rPr>
        <w:t xml:space="preserve">: Ab Einleitung des Zwischenverfahrens wird der Beschuldigte als </w:t>
      </w:r>
      <w:r w:rsidRPr="008824D9">
        <w:rPr>
          <w:rFonts w:ascii="Times New Roman" w:hAnsi="Times New Roman"/>
          <w:b/>
          <w:spacing w:val="-2"/>
          <w:sz w:val="18"/>
        </w:rPr>
        <w:t>Angeschuldigter</w:t>
      </w:r>
      <w:r w:rsidRPr="008824D9">
        <w:rPr>
          <w:rFonts w:ascii="Times New Roman" w:hAnsi="Times New Roman"/>
          <w:spacing w:val="-2"/>
          <w:sz w:val="18"/>
        </w:rPr>
        <w:t xml:space="preserve"> bezeichnet</w:t>
      </w:r>
      <w:r w:rsidR="00984A89">
        <w:rPr>
          <w:rFonts w:ascii="Times New Roman" w:hAnsi="Times New Roman"/>
          <w:spacing w:val="-2"/>
          <w:sz w:val="18"/>
        </w:rPr>
        <w:t>, §</w:t>
      </w:r>
      <w:r w:rsidR="007470C5">
        <w:rPr>
          <w:rFonts w:ascii="Times New Roman" w:hAnsi="Times New Roman"/>
          <w:spacing w:val="-2"/>
          <w:sz w:val="18"/>
        </w:rPr>
        <w:t> </w:t>
      </w:r>
      <w:r w:rsidR="00984A89">
        <w:rPr>
          <w:rFonts w:ascii="Times New Roman" w:hAnsi="Times New Roman"/>
          <w:spacing w:val="-2"/>
          <w:sz w:val="18"/>
        </w:rPr>
        <w:t>157 StPO.</w:t>
      </w:r>
    </w:p>
    <w:p w14:paraId="7E913628" w14:textId="033E7374" w:rsidR="00A7514B" w:rsidRDefault="00A7514B" w:rsidP="00A7514B">
      <w:pPr>
        <w:widowControl/>
        <w:tabs>
          <w:tab w:val="left" w:pos="-720"/>
          <w:tab w:val="left" w:pos="0"/>
          <w:tab w:val="left" w:pos="284"/>
          <w:tab w:val="left" w:pos="864"/>
          <w:tab w:val="left" w:pos="1116"/>
          <w:tab w:val="left" w:pos="1404"/>
          <w:tab w:val="left" w:pos="1692"/>
          <w:tab w:val="left" w:pos="1980"/>
          <w:tab w:val="left" w:pos="2268"/>
          <w:tab w:val="left" w:pos="2880"/>
        </w:tabs>
        <w:spacing w:before="120"/>
        <w:ind w:left="284" w:hanging="284"/>
        <w:jc w:val="both"/>
        <w:rPr>
          <w:rFonts w:ascii="Times New Roman" w:hAnsi="Times New Roman"/>
          <w:spacing w:val="-2"/>
          <w:sz w:val="18"/>
        </w:rPr>
      </w:pPr>
      <w:r>
        <w:rPr>
          <w:rFonts w:ascii="Times New Roman" w:hAnsi="Times New Roman"/>
          <w:b/>
          <w:spacing w:val="-2"/>
          <w:sz w:val="18"/>
        </w:rPr>
        <w:t xml:space="preserve">II. </w:t>
      </w:r>
      <w:r>
        <w:rPr>
          <w:rFonts w:ascii="Times New Roman" w:hAnsi="Times New Roman"/>
          <w:b/>
          <w:spacing w:val="-2"/>
          <w:sz w:val="18"/>
        </w:rPr>
        <w:tab/>
        <w:t>Einleitung:</w:t>
      </w:r>
      <w:r>
        <w:rPr>
          <w:rFonts w:ascii="Times New Roman" w:hAnsi="Times New Roman"/>
          <w:spacing w:val="-2"/>
          <w:sz w:val="18"/>
        </w:rPr>
        <w:t xml:space="preserve"> Das Zwischenverfahren wird eingeleitet durch die Einreichung der Anklageschrift durch die </w:t>
      </w:r>
      <w:proofErr w:type="spellStart"/>
      <w:r>
        <w:rPr>
          <w:rFonts w:ascii="Times New Roman" w:hAnsi="Times New Roman"/>
          <w:spacing w:val="-2"/>
          <w:sz w:val="18"/>
        </w:rPr>
        <w:t>StA</w:t>
      </w:r>
      <w:proofErr w:type="spellEnd"/>
      <w:r>
        <w:rPr>
          <w:rFonts w:ascii="Times New Roman" w:hAnsi="Times New Roman"/>
          <w:spacing w:val="-2"/>
          <w:sz w:val="18"/>
        </w:rPr>
        <w:t xml:space="preserve"> beim zuständigen Gericht. Die Anklageschrift hat dabei die genauen Anforderungen der §§ 199 f. StPO zu erfüllen. Ist die Anklageschrift fehler- ode</w:t>
      </w:r>
      <w:r w:rsidR="006C1008">
        <w:rPr>
          <w:rFonts w:ascii="Times New Roman" w:hAnsi="Times New Roman"/>
          <w:spacing w:val="-2"/>
          <w:sz w:val="18"/>
        </w:rPr>
        <w:t>r mangel</w:t>
      </w:r>
      <w:r>
        <w:rPr>
          <w:rFonts w:ascii="Times New Roman" w:hAnsi="Times New Roman"/>
          <w:spacing w:val="-2"/>
          <w:sz w:val="18"/>
        </w:rPr>
        <w:t xml:space="preserve">haft, so kann die </w:t>
      </w:r>
      <w:proofErr w:type="spellStart"/>
      <w:r>
        <w:rPr>
          <w:rFonts w:ascii="Times New Roman" w:hAnsi="Times New Roman"/>
          <w:spacing w:val="-2"/>
          <w:sz w:val="18"/>
        </w:rPr>
        <w:t>StA</w:t>
      </w:r>
      <w:proofErr w:type="spellEnd"/>
      <w:r>
        <w:rPr>
          <w:rFonts w:ascii="Times New Roman" w:hAnsi="Times New Roman"/>
          <w:spacing w:val="-2"/>
          <w:sz w:val="18"/>
        </w:rPr>
        <w:t xml:space="preserve"> diese Mängel noch durch eine Nachbesserung beseitigen. Geschieht dies nicht, so lehnt das Gericht die Eröffnung de</w:t>
      </w:r>
      <w:r w:rsidR="00EC5AFC">
        <w:rPr>
          <w:rFonts w:ascii="Times New Roman" w:hAnsi="Times New Roman"/>
          <w:spacing w:val="-2"/>
          <w:sz w:val="18"/>
        </w:rPr>
        <w:t>s</w:t>
      </w:r>
      <w:r>
        <w:rPr>
          <w:rFonts w:ascii="Times New Roman" w:hAnsi="Times New Roman"/>
          <w:spacing w:val="-2"/>
          <w:sz w:val="18"/>
        </w:rPr>
        <w:t xml:space="preserve"> Hauptver</w:t>
      </w:r>
      <w:r w:rsidR="00EC5AFC">
        <w:rPr>
          <w:rFonts w:ascii="Times New Roman" w:hAnsi="Times New Roman"/>
          <w:spacing w:val="-2"/>
          <w:sz w:val="18"/>
        </w:rPr>
        <w:t>fahrens</w:t>
      </w:r>
      <w:r>
        <w:rPr>
          <w:rFonts w:ascii="Times New Roman" w:hAnsi="Times New Roman"/>
          <w:spacing w:val="-2"/>
          <w:sz w:val="18"/>
        </w:rPr>
        <w:t xml:space="preserve"> ab</w:t>
      </w:r>
      <w:r w:rsidR="006C1008">
        <w:rPr>
          <w:rFonts w:ascii="Times New Roman" w:hAnsi="Times New Roman"/>
          <w:spacing w:val="-2"/>
          <w:sz w:val="18"/>
        </w:rPr>
        <w:t>,</w:t>
      </w:r>
      <w:r w:rsidR="00EF2F28">
        <w:rPr>
          <w:rFonts w:ascii="Times New Roman" w:hAnsi="Times New Roman"/>
          <w:spacing w:val="-2"/>
          <w:sz w:val="18"/>
        </w:rPr>
        <w:t xml:space="preserve"> §</w:t>
      </w:r>
      <w:r w:rsidR="007470C5">
        <w:rPr>
          <w:rFonts w:ascii="Times New Roman" w:hAnsi="Times New Roman"/>
          <w:spacing w:val="-2"/>
          <w:sz w:val="18"/>
        </w:rPr>
        <w:t> </w:t>
      </w:r>
      <w:r w:rsidR="00EF2F28">
        <w:rPr>
          <w:rFonts w:ascii="Times New Roman" w:hAnsi="Times New Roman"/>
          <w:spacing w:val="-2"/>
          <w:sz w:val="18"/>
        </w:rPr>
        <w:t>204 StPO</w:t>
      </w:r>
      <w:r w:rsidR="006C1008">
        <w:rPr>
          <w:rFonts w:ascii="Times New Roman" w:hAnsi="Times New Roman"/>
          <w:spacing w:val="-2"/>
          <w:sz w:val="18"/>
        </w:rPr>
        <w:t>.</w:t>
      </w:r>
    </w:p>
    <w:p w14:paraId="23D79D7C" w14:textId="71A17D8B" w:rsidR="00A7514B" w:rsidRPr="008824D9" w:rsidRDefault="00A7514B" w:rsidP="00A7514B">
      <w:pPr>
        <w:widowControl/>
        <w:tabs>
          <w:tab w:val="left" w:pos="-720"/>
          <w:tab w:val="left" w:pos="284"/>
          <w:tab w:val="left" w:pos="864"/>
          <w:tab w:val="left" w:pos="1116"/>
          <w:tab w:val="left" w:pos="1404"/>
          <w:tab w:val="left" w:pos="1692"/>
          <w:tab w:val="left" w:pos="1980"/>
          <w:tab w:val="left" w:pos="2268"/>
          <w:tab w:val="left" w:pos="2880"/>
        </w:tabs>
        <w:spacing w:before="120"/>
        <w:ind w:left="284" w:hanging="284"/>
        <w:jc w:val="both"/>
        <w:rPr>
          <w:rFonts w:ascii="Times New Roman" w:hAnsi="Times New Roman"/>
          <w:spacing w:val="-2"/>
          <w:sz w:val="18"/>
        </w:rPr>
      </w:pPr>
      <w:r>
        <w:rPr>
          <w:rFonts w:ascii="Times New Roman" w:hAnsi="Times New Roman"/>
          <w:b/>
          <w:spacing w:val="-2"/>
          <w:sz w:val="18"/>
        </w:rPr>
        <w:t xml:space="preserve">III. Ablauf: </w:t>
      </w:r>
      <w:r>
        <w:rPr>
          <w:rFonts w:ascii="Times New Roman" w:hAnsi="Times New Roman"/>
          <w:spacing w:val="-2"/>
          <w:sz w:val="18"/>
        </w:rPr>
        <w:t xml:space="preserve">Das Gericht überprüft nun die Anklageschrift, um schließlich zu entscheiden, ob </w:t>
      </w:r>
      <w:r w:rsidR="00850FFE">
        <w:rPr>
          <w:rFonts w:ascii="Times New Roman" w:hAnsi="Times New Roman"/>
          <w:spacing w:val="-2"/>
          <w:sz w:val="18"/>
        </w:rPr>
        <w:t>das Hauptverfahren</w:t>
      </w:r>
      <w:r>
        <w:rPr>
          <w:rFonts w:ascii="Times New Roman" w:hAnsi="Times New Roman"/>
          <w:spacing w:val="-2"/>
          <w:sz w:val="18"/>
        </w:rPr>
        <w:t xml:space="preserve"> zu eröffnen ist bzw. ob noch Änderungen an der Anklage vorzunehmen sind. Die Überprüfung im Zwischenverfahren ist nicht öffentlich. </w:t>
      </w:r>
      <w:r w:rsidR="00C0490D">
        <w:rPr>
          <w:rFonts w:ascii="Times New Roman" w:hAnsi="Times New Roman"/>
          <w:spacing w:val="-2"/>
          <w:sz w:val="18"/>
        </w:rPr>
        <w:t>An der Entscheidung wirken etwaige</w:t>
      </w:r>
      <w:r>
        <w:rPr>
          <w:rFonts w:ascii="Times New Roman" w:hAnsi="Times New Roman"/>
          <w:spacing w:val="-2"/>
          <w:sz w:val="18"/>
        </w:rPr>
        <w:t xml:space="preserve"> Schöffen nicht </w:t>
      </w:r>
      <w:r w:rsidR="00C0490D">
        <w:rPr>
          <w:rFonts w:ascii="Times New Roman" w:hAnsi="Times New Roman"/>
          <w:spacing w:val="-2"/>
          <w:sz w:val="18"/>
        </w:rPr>
        <w:t>mit (vgl. § 30 II, 76 I 2 GVG)</w:t>
      </w:r>
      <w:r>
        <w:rPr>
          <w:rFonts w:ascii="Times New Roman" w:hAnsi="Times New Roman"/>
          <w:spacing w:val="-2"/>
          <w:sz w:val="18"/>
        </w:rPr>
        <w:t>. Sie treten erst in der Hauptverhandlung auf. Neben dieser Überprüfung hat das Gericht weitere Formalitäten zu beachten. Zunächst ist die Anklageschrift dem Angeschuldigten zuzuleiten, damit er die Möglichkeit erhält, sich dazu zu äußern und ggf. Beweisanträge zu stellen oder Einwendungen vorzubringen, § 201 I </w:t>
      </w:r>
      <w:r w:rsidR="007470C5">
        <w:rPr>
          <w:rFonts w:ascii="Times New Roman" w:hAnsi="Times New Roman"/>
          <w:spacing w:val="-2"/>
          <w:sz w:val="18"/>
        </w:rPr>
        <w:t xml:space="preserve">1 </w:t>
      </w:r>
      <w:r>
        <w:rPr>
          <w:rFonts w:ascii="Times New Roman" w:hAnsi="Times New Roman"/>
          <w:spacing w:val="-2"/>
          <w:sz w:val="18"/>
        </w:rPr>
        <w:t>StPO. Stellt der Angeschuldigte Anträge oder bringt er Einwendungen vor, so entscheidet das Gericht sodann über diese Anträge; ein diesbezüglicher Beschluss ist unanfechtbar, § 201 II</w:t>
      </w:r>
      <w:r w:rsidR="007470C5">
        <w:rPr>
          <w:rFonts w:ascii="Times New Roman" w:hAnsi="Times New Roman"/>
          <w:spacing w:val="-2"/>
          <w:sz w:val="18"/>
        </w:rPr>
        <w:t> </w:t>
      </w:r>
      <w:r w:rsidR="00EC5AFC">
        <w:rPr>
          <w:rFonts w:ascii="Times New Roman" w:hAnsi="Times New Roman"/>
          <w:spacing w:val="-2"/>
          <w:sz w:val="18"/>
        </w:rPr>
        <w:t>2</w:t>
      </w:r>
      <w:r w:rsidR="007470C5">
        <w:rPr>
          <w:rFonts w:ascii="Times New Roman" w:hAnsi="Times New Roman"/>
          <w:spacing w:val="-2"/>
          <w:sz w:val="18"/>
        </w:rPr>
        <w:t xml:space="preserve"> </w:t>
      </w:r>
      <w:r>
        <w:rPr>
          <w:rFonts w:ascii="Times New Roman" w:hAnsi="Times New Roman"/>
          <w:spacing w:val="-2"/>
          <w:sz w:val="18"/>
        </w:rPr>
        <w:t>StPO. Das Gericht kann auch selbst weitere Beweiserhebungen anordnen, wenn es diese für notwendig hält, um seine Entscheidung vorzubereiten</w:t>
      </w:r>
      <w:r w:rsidR="00EF2F28">
        <w:rPr>
          <w:rFonts w:ascii="Times New Roman" w:hAnsi="Times New Roman"/>
          <w:spacing w:val="-2"/>
          <w:sz w:val="18"/>
        </w:rPr>
        <w:t>, §</w:t>
      </w:r>
      <w:r w:rsidR="007470C5">
        <w:rPr>
          <w:rFonts w:ascii="Times New Roman" w:hAnsi="Times New Roman"/>
          <w:spacing w:val="-2"/>
          <w:sz w:val="18"/>
        </w:rPr>
        <w:t> </w:t>
      </w:r>
      <w:r w:rsidR="00EF2F28">
        <w:rPr>
          <w:rFonts w:ascii="Times New Roman" w:hAnsi="Times New Roman"/>
          <w:spacing w:val="-2"/>
          <w:sz w:val="18"/>
        </w:rPr>
        <w:t>202</w:t>
      </w:r>
      <w:r w:rsidR="00A37745">
        <w:rPr>
          <w:rFonts w:ascii="Times New Roman" w:hAnsi="Times New Roman"/>
          <w:spacing w:val="-2"/>
          <w:sz w:val="18"/>
        </w:rPr>
        <w:t xml:space="preserve"> </w:t>
      </w:r>
      <w:r w:rsidR="007470C5">
        <w:rPr>
          <w:rFonts w:ascii="Times New Roman" w:hAnsi="Times New Roman"/>
          <w:spacing w:val="-2"/>
          <w:sz w:val="18"/>
        </w:rPr>
        <w:t xml:space="preserve">S. 1 </w:t>
      </w:r>
      <w:r w:rsidR="00A37745">
        <w:rPr>
          <w:rFonts w:ascii="Times New Roman" w:hAnsi="Times New Roman"/>
          <w:spacing w:val="-2"/>
          <w:sz w:val="18"/>
        </w:rPr>
        <w:t>StPO</w:t>
      </w:r>
      <w:r>
        <w:rPr>
          <w:rFonts w:ascii="Times New Roman" w:hAnsi="Times New Roman"/>
          <w:spacing w:val="-2"/>
          <w:sz w:val="18"/>
        </w:rPr>
        <w:t>. Des Weiteren muss das Gericht überprüfen, ob ein Fall der notwendigen Verteidigung, § 140 StPO, vorliegt. Ist dies der Fall, so muss das Gericht dem Angeschuldigten nach der Zustellung der Anklageschrift einen Verteidiger bestellen, sofern er noch unverteidigt ist, § 141 StPO.</w:t>
      </w:r>
    </w:p>
    <w:p w14:paraId="21C168C1" w14:textId="5B5A2F76" w:rsidR="00A7514B" w:rsidRDefault="00A7514B" w:rsidP="00A7514B">
      <w:pPr>
        <w:widowControl/>
        <w:tabs>
          <w:tab w:val="left" w:pos="-720"/>
          <w:tab w:val="left" w:pos="284"/>
          <w:tab w:val="left" w:pos="864"/>
          <w:tab w:val="left" w:pos="1116"/>
          <w:tab w:val="left" w:pos="1404"/>
          <w:tab w:val="left" w:pos="1692"/>
          <w:tab w:val="left" w:pos="1980"/>
          <w:tab w:val="left" w:pos="2268"/>
          <w:tab w:val="left" w:pos="2880"/>
        </w:tabs>
        <w:spacing w:before="120"/>
        <w:ind w:left="284" w:hanging="284"/>
        <w:jc w:val="both"/>
        <w:rPr>
          <w:rFonts w:ascii="Times New Roman" w:hAnsi="Times New Roman"/>
          <w:spacing w:val="-2"/>
          <w:sz w:val="18"/>
        </w:rPr>
      </w:pPr>
      <w:r w:rsidRPr="008824D9">
        <w:rPr>
          <w:rFonts w:ascii="Times New Roman" w:hAnsi="Times New Roman"/>
          <w:b/>
          <w:spacing w:val="-2"/>
          <w:sz w:val="18"/>
        </w:rPr>
        <w:t>IV. Abschluss</w:t>
      </w:r>
      <w:r>
        <w:rPr>
          <w:rFonts w:ascii="Times New Roman" w:hAnsi="Times New Roman"/>
          <w:spacing w:val="-2"/>
          <w:sz w:val="18"/>
        </w:rPr>
        <w:t xml:space="preserve">: Das Zwischenverfahren kann auf verschiedene Weise seinen Abschluss finden: durch Eröffnungsbeschluss (Eröffnung des Hauptverfahrens) </w:t>
      </w:r>
      <w:r w:rsidRPr="008824D9">
        <w:rPr>
          <w:rFonts w:ascii="Times New Roman" w:hAnsi="Times New Roman"/>
          <w:b/>
          <w:spacing w:val="-2"/>
          <w:sz w:val="18"/>
        </w:rPr>
        <w:t>oder</w:t>
      </w:r>
      <w:r>
        <w:rPr>
          <w:rFonts w:ascii="Times New Roman" w:hAnsi="Times New Roman"/>
          <w:spacing w:val="-2"/>
          <w:sz w:val="18"/>
        </w:rPr>
        <w:t xml:space="preserve"> durch Ablehnungsbeschluss </w:t>
      </w:r>
      <w:r w:rsidRPr="008824D9">
        <w:rPr>
          <w:rFonts w:ascii="Times New Roman" w:hAnsi="Times New Roman"/>
          <w:b/>
          <w:spacing w:val="-2"/>
          <w:sz w:val="18"/>
        </w:rPr>
        <w:t>oder</w:t>
      </w:r>
      <w:r>
        <w:rPr>
          <w:rFonts w:ascii="Times New Roman" w:hAnsi="Times New Roman"/>
          <w:spacing w:val="-2"/>
          <w:sz w:val="18"/>
        </w:rPr>
        <w:t xml:space="preserve"> durch vorläufige Einstellung des Verfahrens.</w:t>
      </w:r>
    </w:p>
    <w:p w14:paraId="0A0BB732" w14:textId="244930D4" w:rsidR="006C1008" w:rsidRDefault="00A7514B" w:rsidP="007470C5">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8"/>
        </w:rPr>
      </w:pPr>
      <w:r w:rsidRPr="008824D9">
        <w:rPr>
          <w:rFonts w:ascii="Times New Roman" w:hAnsi="Times New Roman"/>
          <w:spacing w:val="-2"/>
          <w:sz w:val="18"/>
        </w:rPr>
        <w:tab/>
      </w:r>
      <w:r w:rsidRPr="008824D9">
        <w:rPr>
          <w:rFonts w:ascii="Times New Roman" w:hAnsi="Times New Roman"/>
          <w:spacing w:val="-2"/>
          <w:sz w:val="18"/>
          <w:u w:val="single"/>
        </w:rPr>
        <w:t xml:space="preserve">1. </w:t>
      </w:r>
      <w:r>
        <w:rPr>
          <w:rFonts w:ascii="Times New Roman" w:hAnsi="Times New Roman"/>
          <w:spacing w:val="-2"/>
          <w:sz w:val="18"/>
          <w:u w:val="single"/>
        </w:rPr>
        <w:tab/>
      </w:r>
      <w:r w:rsidRPr="008824D9">
        <w:rPr>
          <w:rFonts w:ascii="Times New Roman" w:hAnsi="Times New Roman"/>
          <w:spacing w:val="-2"/>
          <w:sz w:val="18"/>
          <w:u w:val="single"/>
        </w:rPr>
        <w:t>Eröffnungsbeschluss</w:t>
      </w:r>
      <w:r>
        <w:rPr>
          <w:rFonts w:ascii="Times New Roman" w:hAnsi="Times New Roman"/>
          <w:spacing w:val="-2"/>
          <w:sz w:val="18"/>
        </w:rPr>
        <w:t xml:space="preserve">: Ein Eröffnungsbeschluss ergeht, wenn nach den Ergebnissen des Verfahrens der Angeschuldigte aus Sicht des Gerichts einer Straftat </w:t>
      </w:r>
      <w:r w:rsidRPr="008B2C50">
        <w:rPr>
          <w:rFonts w:ascii="Times New Roman" w:hAnsi="Times New Roman"/>
          <w:b/>
          <w:spacing w:val="-2"/>
          <w:sz w:val="18"/>
        </w:rPr>
        <w:t>hinreichend verdächtig</w:t>
      </w:r>
      <w:r>
        <w:rPr>
          <w:rFonts w:ascii="Times New Roman" w:hAnsi="Times New Roman"/>
          <w:spacing w:val="-2"/>
          <w:sz w:val="18"/>
        </w:rPr>
        <w:t xml:space="preserve"> erscheint, § 203 StPO, d.h. es muss nach Auffassung des Gerichts die Wahrscheinlichkeit bestehen, dass der Angeschuldigte die ihm zur Last gelegte Tat begangen hat und er in der Hauptverhandlung daher entsprechend verurteilt wird. Das Gericht kann im Eröffnungsbeschluss den Tatvorwurf </w:t>
      </w:r>
      <w:r w:rsidR="00F315C6" w:rsidRPr="00CB699C">
        <w:rPr>
          <w:rFonts w:ascii="Times New Roman" w:hAnsi="Times New Roman"/>
          <w:spacing w:val="-2"/>
          <w:sz w:val="18"/>
        </w:rPr>
        <w:t xml:space="preserve">in den Grenzen der angeklagten Tat </w:t>
      </w:r>
      <w:r w:rsidR="00EC5AFC">
        <w:rPr>
          <w:rFonts w:ascii="Times New Roman" w:hAnsi="Times New Roman"/>
          <w:spacing w:val="-2"/>
          <w:sz w:val="18"/>
        </w:rPr>
        <w:t>(§</w:t>
      </w:r>
      <w:r w:rsidR="007D13A7">
        <w:rPr>
          <w:rFonts w:ascii="Times New Roman" w:hAnsi="Times New Roman"/>
          <w:spacing w:val="-2"/>
          <w:sz w:val="18"/>
        </w:rPr>
        <w:t> </w:t>
      </w:r>
      <w:r w:rsidR="00EC5AFC">
        <w:rPr>
          <w:rFonts w:ascii="Times New Roman" w:hAnsi="Times New Roman"/>
          <w:spacing w:val="-2"/>
          <w:sz w:val="18"/>
        </w:rPr>
        <w:t>264 StPO, vgl. Arbeitsblatt Nr.</w:t>
      </w:r>
      <w:r w:rsidR="007D13A7">
        <w:rPr>
          <w:rFonts w:ascii="Times New Roman" w:hAnsi="Times New Roman"/>
          <w:spacing w:val="-2"/>
          <w:sz w:val="18"/>
        </w:rPr>
        <w:t> </w:t>
      </w:r>
      <w:r w:rsidR="00EC5AFC">
        <w:rPr>
          <w:rFonts w:ascii="Times New Roman" w:hAnsi="Times New Roman"/>
          <w:spacing w:val="-2"/>
          <w:sz w:val="18"/>
        </w:rPr>
        <w:t xml:space="preserve">51) </w:t>
      </w:r>
      <w:r>
        <w:rPr>
          <w:rFonts w:ascii="Times New Roman" w:hAnsi="Times New Roman"/>
          <w:spacing w:val="-2"/>
          <w:sz w:val="18"/>
        </w:rPr>
        <w:t xml:space="preserve">auch abändern; es ist nicht an den ursprünglichen Antrag der </w:t>
      </w:r>
      <w:proofErr w:type="spellStart"/>
      <w:r>
        <w:rPr>
          <w:rFonts w:ascii="Times New Roman" w:hAnsi="Times New Roman"/>
          <w:spacing w:val="-2"/>
          <w:sz w:val="18"/>
        </w:rPr>
        <w:t>StA</w:t>
      </w:r>
      <w:proofErr w:type="spellEnd"/>
      <w:r>
        <w:rPr>
          <w:rFonts w:ascii="Times New Roman" w:hAnsi="Times New Roman"/>
          <w:spacing w:val="-2"/>
          <w:sz w:val="18"/>
        </w:rPr>
        <w:t xml:space="preserve"> gebunden (s.o.), d.h. es kann auch den Anklagesatz abändern. Das Gericht bezeichnet ferner das Gericht der Hauptverhandlung, wobei es wiederum von der Einschätzung der </w:t>
      </w:r>
      <w:proofErr w:type="spellStart"/>
      <w:r>
        <w:rPr>
          <w:rFonts w:ascii="Times New Roman" w:hAnsi="Times New Roman"/>
          <w:spacing w:val="-2"/>
          <w:sz w:val="18"/>
        </w:rPr>
        <w:t>StA</w:t>
      </w:r>
      <w:proofErr w:type="spellEnd"/>
      <w:r>
        <w:rPr>
          <w:rFonts w:ascii="Times New Roman" w:hAnsi="Times New Roman"/>
          <w:spacing w:val="-2"/>
          <w:sz w:val="18"/>
        </w:rPr>
        <w:t xml:space="preserve"> abweichen kann</w:t>
      </w:r>
      <w:r w:rsidR="006C1008">
        <w:rPr>
          <w:rFonts w:ascii="Times New Roman" w:hAnsi="Times New Roman"/>
          <w:spacing w:val="-2"/>
          <w:sz w:val="18"/>
        </w:rPr>
        <w:t xml:space="preserve">, </w:t>
      </w:r>
      <w:r w:rsidR="00A37745">
        <w:rPr>
          <w:rFonts w:ascii="Times New Roman" w:hAnsi="Times New Roman"/>
          <w:spacing w:val="-2"/>
          <w:sz w:val="18"/>
        </w:rPr>
        <w:t>vgl. §§</w:t>
      </w:r>
      <w:r w:rsidR="007470C5">
        <w:rPr>
          <w:rFonts w:ascii="Times New Roman" w:hAnsi="Times New Roman"/>
          <w:spacing w:val="-2"/>
          <w:sz w:val="18"/>
        </w:rPr>
        <w:t> </w:t>
      </w:r>
      <w:r w:rsidR="00A37745">
        <w:rPr>
          <w:rFonts w:ascii="Times New Roman" w:hAnsi="Times New Roman"/>
          <w:spacing w:val="-2"/>
          <w:sz w:val="18"/>
        </w:rPr>
        <w:t>209, 209a StPO</w:t>
      </w:r>
      <w:r>
        <w:rPr>
          <w:rFonts w:ascii="Times New Roman" w:hAnsi="Times New Roman"/>
          <w:spacing w:val="-2"/>
          <w:sz w:val="18"/>
        </w:rPr>
        <w:t>. Der Eröffnungsbeschluss ist unanfechtbar</w:t>
      </w:r>
      <w:r w:rsidR="006C1008">
        <w:rPr>
          <w:rFonts w:ascii="Times New Roman" w:hAnsi="Times New Roman"/>
          <w:spacing w:val="-2"/>
          <w:sz w:val="18"/>
        </w:rPr>
        <w:t>,</w:t>
      </w:r>
      <w:r w:rsidR="00A37745">
        <w:rPr>
          <w:rFonts w:ascii="Times New Roman" w:hAnsi="Times New Roman"/>
          <w:spacing w:val="-2"/>
          <w:sz w:val="18"/>
        </w:rPr>
        <w:t xml:space="preserve"> §</w:t>
      </w:r>
      <w:r w:rsidR="007470C5">
        <w:rPr>
          <w:rFonts w:ascii="Times New Roman" w:hAnsi="Times New Roman"/>
          <w:spacing w:val="-2"/>
          <w:sz w:val="18"/>
        </w:rPr>
        <w:t> </w:t>
      </w:r>
      <w:r w:rsidR="00A37745">
        <w:rPr>
          <w:rFonts w:ascii="Times New Roman" w:hAnsi="Times New Roman"/>
          <w:spacing w:val="-2"/>
          <w:sz w:val="18"/>
        </w:rPr>
        <w:t>210</w:t>
      </w:r>
      <w:r w:rsidR="007470C5">
        <w:rPr>
          <w:rFonts w:ascii="Times New Roman" w:hAnsi="Times New Roman"/>
          <w:spacing w:val="-2"/>
          <w:sz w:val="18"/>
        </w:rPr>
        <w:t> </w:t>
      </w:r>
      <w:r w:rsidR="00A37745">
        <w:rPr>
          <w:rFonts w:ascii="Times New Roman" w:hAnsi="Times New Roman"/>
          <w:spacing w:val="-2"/>
          <w:sz w:val="18"/>
        </w:rPr>
        <w:t>I StPO</w:t>
      </w:r>
      <w:r w:rsidR="006C1008">
        <w:rPr>
          <w:rFonts w:ascii="Times New Roman" w:hAnsi="Times New Roman"/>
          <w:spacing w:val="-2"/>
          <w:sz w:val="18"/>
        </w:rPr>
        <w:t>.</w:t>
      </w:r>
      <w:r>
        <w:rPr>
          <w:rFonts w:ascii="Times New Roman" w:hAnsi="Times New Roman"/>
          <w:spacing w:val="-2"/>
          <w:sz w:val="18"/>
        </w:rPr>
        <w:t xml:space="preserve"> </w:t>
      </w:r>
      <w:r w:rsidR="006C1008">
        <w:rPr>
          <w:rFonts w:ascii="Times New Roman" w:hAnsi="Times New Roman"/>
          <w:spacing w:val="-2"/>
          <w:sz w:val="18"/>
        </w:rPr>
        <w:t>D</w:t>
      </w:r>
      <w:r>
        <w:rPr>
          <w:rFonts w:ascii="Times New Roman" w:hAnsi="Times New Roman"/>
          <w:spacing w:val="-2"/>
          <w:sz w:val="18"/>
        </w:rPr>
        <w:t>er Angeklagte muss sich gegen den Tatvorwurf in der Hauptverhandlung zur Wehr setzen.</w:t>
      </w:r>
      <w:r w:rsidR="007470C5">
        <w:rPr>
          <w:rFonts w:ascii="Times New Roman" w:hAnsi="Times New Roman"/>
          <w:spacing w:val="-2"/>
          <w:sz w:val="18"/>
        </w:rPr>
        <w:t xml:space="preserve"> </w:t>
      </w:r>
      <w:r w:rsidR="009266F3">
        <w:rPr>
          <w:rFonts w:ascii="Times New Roman" w:hAnsi="Times New Roman"/>
          <w:spacing w:val="-2"/>
          <w:sz w:val="18"/>
        </w:rPr>
        <w:t>Strittig</w:t>
      </w:r>
      <w:r w:rsidR="0079576E">
        <w:rPr>
          <w:rFonts w:ascii="Times New Roman" w:hAnsi="Times New Roman"/>
          <w:spacing w:val="-2"/>
          <w:sz w:val="18"/>
        </w:rPr>
        <w:t xml:space="preserve"> ist, ob ein fehlender oder unwirksamer Eröffnungsbeschluss nachgeholt werden kann, wenn dies erst in der Hauptverhandlung zu Tage tritt. </w:t>
      </w:r>
      <w:r w:rsidR="009266F3">
        <w:rPr>
          <w:rFonts w:ascii="Times New Roman" w:hAnsi="Times New Roman"/>
          <w:spacing w:val="-2"/>
          <w:sz w:val="18"/>
        </w:rPr>
        <w:t xml:space="preserve">Nach der Rechtsprechung </w:t>
      </w:r>
      <w:r w:rsidR="00997905">
        <w:rPr>
          <w:rFonts w:ascii="Times New Roman" w:hAnsi="Times New Roman"/>
          <w:spacing w:val="-2"/>
          <w:sz w:val="18"/>
        </w:rPr>
        <w:t>ist dies</w:t>
      </w:r>
      <w:r w:rsidR="009266F3">
        <w:rPr>
          <w:rFonts w:ascii="Times New Roman" w:hAnsi="Times New Roman"/>
          <w:spacing w:val="-2"/>
          <w:sz w:val="18"/>
        </w:rPr>
        <w:t xml:space="preserve"> bis zur Vernehmung des Angeklagten zur Sache </w:t>
      </w:r>
      <w:r w:rsidR="00997905">
        <w:rPr>
          <w:rFonts w:ascii="Times New Roman" w:hAnsi="Times New Roman"/>
          <w:spacing w:val="-2"/>
          <w:sz w:val="18"/>
        </w:rPr>
        <w:t>möglich.</w:t>
      </w:r>
      <w:r w:rsidR="00394248">
        <w:rPr>
          <w:rFonts w:ascii="Times New Roman" w:hAnsi="Times New Roman"/>
          <w:spacing w:val="-2"/>
          <w:sz w:val="18"/>
        </w:rPr>
        <w:t xml:space="preserve"> Verzichten Angeklagter und Verteidiger </w:t>
      </w:r>
      <w:r w:rsidR="009266F3">
        <w:rPr>
          <w:rFonts w:ascii="Times New Roman" w:hAnsi="Times New Roman"/>
          <w:spacing w:val="-2"/>
          <w:sz w:val="18"/>
        </w:rPr>
        <w:t xml:space="preserve">auf die </w:t>
      </w:r>
      <w:r w:rsidR="002E268D">
        <w:rPr>
          <w:rFonts w:ascii="Times New Roman" w:hAnsi="Times New Roman"/>
          <w:spacing w:val="-2"/>
          <w:sz w:val="18"/>
        </w:rPr>
        <w:t>Einhaltung der Ladungsfrist</w:t>
      </w:r>
      <w:r w:rsidR="00214964">
        <w:rPr>
          <w:rFonts w:ascii="Times New Roman" w:hAnsi="Times New Roman"/>
          <w:spacing w:val="-2"/>
          <w:sz w:val="18"/>
        </w:rPr>
        <w:t xml:space="preserve">, </w:t>
      </w:r>
      <w:r w:rsidR="002E268D">
        <w:rPr>
          <w:rFonts w:ascii="Times New Roman" w:hAnsi="Times New Roman"/>
          <w:spacing w:val="-2"/>
          <w:sz w:val="18"/>
        </w:rPr>
        <w:t>§</w:t>
      </w:r>
      <w:r w:rsidR="007470C5">
        <w:rPr>
          <w:rFonts w:ascii="Times New Roman" w:hAnsi="Times New Roman"/>
          <w:spacing w:val="-2"/>
          <w:sz w:val="18"/>
        </w:rPr>
        <w:t> </w:t>
      </w:r>
      <w:r w:rsidR="002E268D">
        <w:rPr>
          <w:rFonts w:ascii="Times New Roman" w:hAnsi="Times New Roman"/>
          <w:spacing w:val="-2"/>
          <w:sz w:val="18"/>
        </w:rPr>
        <w:t>217 III StPO</w:t>
      </w:r>
      <w:r w:rsidR="00CB699C">
        <w:rPr>
          <w:rFonts w:ascii="Times New Roman" w:hAnsi="Times New Roman"/>
          <w:spacing w:val="-2"/>
          <w:sz w:val="18"/>
        </w:rPr>
        <w:t>,</w:t>
      </w:r>
      <w:r w:rsidR="002E268D">
        <w:rPr>
          <w:rFonts w:ascii="Times New Roman" w:hAnsi="Times New Roman"/>
          <w:spacing w:val="-2"/>
          <w:sz w:val="18"/>
        </w:rPr>
        <w:t xml:space="preserve"> </w:t>
      </w:r>
      <w:r w:rsidR="00394248">
        <w:rPr>
          <w:rFonts w:ascii="Times New Roman" w:hAnsi="Times New Roman"/>
          <w:spacing w:val="-2"/>
          <w:sz w:val="18"/>
        </w:rPr>
        <w:t xml:space="preserve">so </w:t>
      </w:r>
      <w:r w:rsidR="002E268D">
        <w:rPr>
          <w:rFonts w:ascii="Times New Roman" w:hAnsi="Times New Roman"/>
          <w:spacing w:val="-2"/>
          <w:sz w:val="18"/>
        </w:rPr>
        <w:t xml:space="preserve">kann </w:t>
      </w:r>
      <w:r w:rsidR="009266F3">
        <w:rPr>
          <w:rFonts w:ascii="Times New Roman" w:hAnsi="Times New Roman"/>
          <w:spacing w:val="-2"/>
          <w:sz w:val="18"/>
        </w:rPr>
        <w:t xml:space="preserve">die Hauptverhandlung sogleich </w:t>
      </w:r>
      <w:r w:rsidR="002E268D">
        <w:rPr>
          <w:rFonts w:ascii="Times New Roman" w:hAnsi="Times New Roman"/>
          <w:spacing w:val="-2"/>
          <w:sz w:val="18"/>
        </w:rPr>
        <w:t>fortgesetzt</w:t>
      </w:r>
      <w:r w:rsidR="009266F3">
        <w:rPr>
          <w:rFonts w:ascii="Times New Roman" w:hAnsi="Times New Roman"/>
          <w:spacing w:val="-2"/>
          <w:sz w:val="18"/>
        </w:rPr>
        <w:t xml:space="preserve"> werden</w:t>
      </w:r>
      <w:r w:rsidR="002E268D">
        <w:rPr>
          <w:rFonts w:ascii="Times New Roman" w:hAnsi="Times New Roman"/>
          <w:spacing w:val="-2"/>
          <w:sz w:val="18"/>
        </w:rPr>
        <w:t>.</w:t>
      </w:r>
    </w:p>
    <w:p w14:paraId="7E7FA212" w14:textId="26E2F6CE" w:rsidR="00A7514B" w:rsidRPr="008824D9" w:rsidRDefault="006C1008" w:rsidP="00A7514B">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8"/>
        </w:rPr>
      </w:pPr>
      <w:r>
        <w:rPr>
          <w:rFonts w:ascii="Times New Roman" w:hAnsi="Times New Roman"/>
          <w:spacing w:val="-2"/>
          <w:sz w:val="18"/>
        </w:rPr>
        <w:tab/>
      </w:r>
      <w:r w:rsidR="00A7514B" w:rsidRPr="008824D9">
        <w:rPr>
          <w:rFonts w:ascii="Times New Roman" w:hAnsi="Times New Roman"/>
          <w:spacing w:val="-2"/>
          <w:sz w:val="18"/>
          <w:u w:val="single"/>
        </w:rPr>
        <w:t xml:space="preserve">2. </w:t>
      </w:r>
      <w:r w:rsidR="00A7514B">
        <w:rPr>
          <w:rFonts w:ascii="Times New Roman" w:hAnsi="Times New Roman"/>
          <w:spacing w:val="-2"/>
          <w:sz w:val="18"/>
          <w:u w:val="single"/>
        </w:rPr>
        <w:tab/>
      </w:r>
      <w:r w:rsidR="00A7514B" w:rsidRPr="008824D9">
        <w:rPr>
          <w:rFonts w:ascii="Times New Roman" w:hAnsi="Times New Roman"/>
          <w:spacing w:val="-2"/>
          <w:sz w:val="18"/>
          <w:u w:val="single"/>
        </w:rPr>
        <w:t>Ablehnungsbeschluss:</w:t>
      </w:r>
      <w:r w:rsidR="00A7514B" w:rsidRPr="008824D9">
        <w:rPr>
          <w:rFonts w:ascii="Times New Roman" w:hAnsi="Times New Roman"/>
          <w:spacing w:val="-2"/>
          <w:sz w:val="18"/>
        </w:rPr>
        <w:t xml:space="preserve"> Die Ablehnung der Eröffnung des Hauptverfahrens kann aus rechtlichen oder tatsächlichen Gründen erfolgen, § 204 </w:t>
      </w:r>
      <w:r w:rsidR="007A3587">
        <w:rPr>
          <w:rFonts w:ascii="Times New Roman" w:hAnsi="Times New Roman"/>
          <w:spacing w:val="-2"/>
          <w:sz w:val="18"/>
        </w:rPr>
        <w:t xml:space="preserve">I </w:t>
      </w:r>
      <w:r w:rsidR="00A7514B" w:rsidRPr="008824D9">
        <w:rPr>
          <w:rFonts w:ascii="Times New Roman" w:hAnsi="Times New Roman"/>
          <w:spacing w:val="-2"/>
          <w:sz w:val="18"/>
        </w:rPr>
        <w:t xml:space="preserve">StPO. Das Gericht erlässt einen Ablehnungsbeschluss, wenn das in der Anklageschrift bezeichnete Verhalten aus rechtlichen Gründen, z.B. wegen anderer Subsumtion durch das Gericht, keinen Straftatbestand erfüllt oder wenn Prozessvoraussetzungen fehlen (siehe dazu Arbeitsblatt Nr. 10) oder wenn das Gericht die Beweismittel nicht für ausreichend hält (keine Wahrscheinlichkeit einer Verurteilung). Gegen den Ablehnungsbeschluss kann die </w:t>
      </w:r>
      <w:proofErr w:type="spellStart"/>
      <w:r w:rsidR="00A7514B" w:rsidRPr="008824D9">
        <w:rPr>
          <w:rFonts w:ascii="Times New Roman" w:hAnsi="Times New Roman"/>
          <w:spacing w:val="-2"/>
          <w:sz w:val="18"/>
        </w:rPr>
        <w:t>StA</w:t>
      </w:r>
      <w:proofErr w:type="spellEnd"/>
      <w:r w:rsidR="00A7514B" w:rsidRPr="008824D9">
        <w:rPr>
          <w:rFonts w:ascii="Times New Roman" w:hAnsi="Times New Roman"/>
          <w:spacing w:val="-2"/>
          <w:sz w:val="18"/>
        </w:rPr>
        <w:t xml:space="preserve"> sofortige Beschwerde einlegen</w:t>
      </w:r>
      <w:r w:rsidR="003F0267">
        <w:rPr>
          <w:rFonts w:ascii="Times New Roman" w:hAnsi="Times New Roman"/>
          <w:spacing w:val="-2"/>
          <w:sz w:val="18"/>
        </w:rPr>
        <w:t xml:space="preserve">, </w:t>
      </w:r>
      <w:r w:rsidR="00AD47DA">
        <w:rPr>
          <w:rFonts w:ascii="Times New Roman" w:hAnsi="Times New Roman"/>
          <w:spacing w:val="-2"/>
          <w:sz w:val="18"/>
        </w:rPr>
        <w:t>§</w:t>
      </w:r>
      <w:r w:rsidR="007470C5">
        <w:rPr>
          <w:rFonts w:ascii="Times New Roman" w:hAnsi="Times New Roman"/>
          <w:spacing w:val="-2"/>
          <w:sz w:val="18"/>
        </w:rPr>
        <w:t> </w:t>
      </w:r>
      <w:r w:rsidR="00AD47DA">
        <w:rPr>
          <w:rFonts w:ascii="Times New Roman" w:hAnsi="Times New Roman"/>
          <w:spacing w:val="-2"/>
          <w:sz w:val="18"/>
        </w:rPr>
        <w:t>210 II StPO.</w:t>
      </w:r>
    </w:p>
    <w:p w14:paraId="0179937D" w14:textId="6C2302BE" w:rsidR="00A7514B" w:rsidRPr="008824D9" w:rsidRDefault="00A7514B" w:rsidP="00A7514B">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8"/>
        </w:rPr>
      </w:pPr>
      <w:r w:rsidRPr="008824D9">
        <w:rPr>
          <w:rFonts w:ascii="Times New Roman" w:hAnsi="Times New Roman"/>
          <w:spacing w:val="-2"/>
          <w:sz w:val="18"/>
        </w:rPr>
        <w:tab/>
      </w:r>
      <w:r w:rsidRPr="008824D9">
        <w:rPr>
          <w:rFonts w:ascii="Times New Roman" w:hAnsi="Times New Roman"/>
          <w:spacing w:val="-2"/>
          <w:sz w:val="18"/>
          <w:u w:val="single"/>
        </w:rPr>
        <w:t xml:space="preserve">3. </w:t>
      </w:r>
      <w:r>
        <w:rPr>
          <w:rFonts w:ascii="Times New Roman" w:hAnsi="Times New Roman"/>
          <w:spacing w:val="-2"/>
          <w:sz w:val="18"/>
          <w:u w:val="single"/>
        </w:rPr>
        <w:tab/>
      </w:r>
      <w:r w:rsidRPr="008824D9">
        <w:rPr>
          <w:rFonts w:ascii="Times New Roman" w:hAnsi="Times New Roman"/>
          <w:spacing w:val="-2"/>
          <w:sz w:val="18"/>
          <w:u w:val="single"/>
        </w:rPr>
        <w:t>Vorläufige Einstellung des Verfahrens:</w:t>
      </w:r>
      <w:r w:rsidRPr="008824D9">
        <w:rPr>
          <w:rFonts w:ascii="Times New Roman" w:hAnsi="Times New Roman"/>
          <w:spacing w:val="-2"/>
          <w:sz w:val="18"/>
        </w:rPr>
        <w:t xml:space="preserve"> Wie schon die </w:t>
      </w:r>
      <w:proofErr w:type="spellStart"/>
      <w:r w:rsidRPr="008824D9">
        <w:rPr>
          <w:rFonts w:ascii="Times New Roman" w:hAnsi="Times New Roman"/>
          <w:spacing w:val="-2"/>
          <w:sz w:val="18"/>
        </w:rPr>
        <w:t>StA</w:t>
      </w:r>
      <w:proofErr w:type="spellEnd"/>
      <w:r w:rsidRPr="008824D9">
        <w:rPr>
          <w:rFonts w:ascii="Times New Roman" w:hAnsi="Times New Roman"/>
          <w:spacing w:val="-2"/>
          <w:sz w:val="18"/>
        </w:rPr>
        <w:t xml:space="preserve"> im Vorverfahren kann auch das Gericht im Zwischenverfahren das Verfahren aus Opportunitätsgründen nach Maßgabe der §§ 153 ff. StPO (siehe dazu Arbeitsblatt Nr. 34) vorläufig einstellen. Hierzu müssen </w:t>
      </w:r>
      <w:proofErr w:type="spellStart"/>
      <w:r w:rsidRPr="008824D9">
        <w:rPr>
          <w:rFonts w:ascii="Times New Roman" w:hAnsi="Times New Roman"/>
          <w:spacing w:val="-2"/>
          <w:sz w:val="18"/>
        </w:rPr>
        <w:t>StA</w:t>
      </w:r>
      <w:proofErr w:type="spellEnd"/>
      <w:r w:rsidRPr="008824D9">
        <w:rPr>
          <w:rFonts w:ascii="Times New Roman" w:hAnsi="Times New Roman"/>
          <w:spacing w:val="-2"/>
          <w:sz w:val="18"/>
        </w:rPr>
        <w:t xml:space="preserve"> und Angeschuldigter ihre Zustimmung erklären. Zudem ist gemäß § 205 StPO das Verfahren vorläufig einzustellen, wenn für eine längere Zeit der Durchführung der Hauptverhandlung die Abwesenheit des Angeschuldigten oder ein sonstiges Verfahrenshindernis entgegensteht.</w:t>
      </w:r>
    </w:p>
    <w:p w14:paraId="301BDB22" w14:textId="77777777" w:rsidR="00A7514B" w:rsidRDefault="00A7514B" w:rsidP="00A7514B">
      <w:pPr>
        <w:widowControl/>
        <w:tabs>
          <w:tab w:val="left" w:pos="-720"/>
          <w:tab w:val="left" w:pos="288"/>
          <w:tab w:val="left" w:pos="567"/>
          <w:tab w:val="left" w:pos="864"/>
          <w:tab w:val="left" w:pos="1116"/>
          <w:tab w:val="left" w:pos="1404"/>
          <w:tab w:val="left" w:pos="1692"/>
          <w:tab w:val="left" w:pos="1980"/>
          <w:tab w:val="left" w:pos="2268"/>
          <w:tab w:val="left" w:pos="2880"/>
        </w:tabs>
        <w:jc w:val="both"/>
        <w:rPr>
          <w:rFonts w:ascii="Times New Roman" w:hAnsi="Times New Roman"/>
          <w:b/>
          <w:spacing w:val="-2"/>
          <w:sz w:val="18"/>
        </w:rPr>
      </w:pPr>
    </w:p>
    <w:p w14:paraId="37B26E16" w14:textId="162D1EEC" w:rsidR="00A7514B" w:rsidRPr="00CB699C" w:rsidRDefault="00A7514B" w:rsidP="00A7514B">
      <w:pPr>
        <w:widowControl/>
        <w:tabs>
          <w:tab w:val="left" w:pos="-720"/>
          <w:tab w:val="left" w:pos="288"/>
          <w:tab w:val="left" w:pos="567"/>
          <w:tab w:val="left" w:pos="864"/>
          <w:tab w:val="left" w:pos="1116"/>
          <w:tab w:val="left" w:pos="1404"/>
          <w:tab w:val="left" w:pos="1692"/>
          <w:tab w:val="left" w:pos="1980"/>
          <w:tab w:val="left" w:pos="2268"/>
          <w:tab w:val="left" w:pos="2880"/>
        </w:tabs>
        <w:jc w:val="both"/>
        <w:rPr>
          <w:rFonts w:ascii="Times New Roman" w:hAnsi="Times New Roman"/>
          <w:spacing w:val="-2"/>
          <w:sz w:val="16"/>
          <w:szCs w:val="16"/>
        </w:rPr>
      </w:pPr>
      <w:r w:rsidRPr="00CB699C">
        <w:rPr>
          <w:rFonts w:ascii="Times New Roman" w:hAnsi="Times New Roman"/>
          <w:b/>
          <w:spacing w:val="-2"/>
          <w:sz w:val="16"/>
          <w:szCs w:val="16"/>
        </w:rPr>
        <w:t xml:space="preserve">Literatur/Lehrbücher: </w:t>
      </w:r>
      <w:r w:rsidRPr="00CB699C">
        <w:rPr>
          <w:rFonts w:ascii="Times New Roman" w:hAnsi="Times New Roman"/>
          <w:b/>
          <w:spacing w:val="-2"/>
          <w:sz w:val="16"/>
          <w:szCs w:val="16"/>
        </w:rPr>
        <w:tab/>
      </w:r>
      <w:r w:rsidR="009825D0">
        <w:rPr>
          <w:rFonts w:ascii="Times New Roman" w:hAnsi="Times New Roman"/>
          <w:b/>
          <w:spacing w:val="-2"/>
          <w:sz w:val="16"/>
          <w:szCs w:val="16"/>
        </w:rPr>
        <w:tab/>
      </w:r>
      <w:r w:rsidR="00EF2F28" w:rsidRPr="00CB699C">
        <w:rPr>
          <w:rFonts w:ascii="Times New Roman" w:hAnsi="Times New Roman"/>
          <w:i/>
          <w:spacing w:val="-2"/>
          <w:sz w:val="16"/>
          <w:szCs w:val="16"/>
        </w:rPr>
        <w:t>Heinrich/Reinbacher</w:t>
      </w:r>
      <w:r w:rsidR="00EF2F28" w:rsidRPr="00CB699C">
        <w:rPr>
          <w:rFonts w:ascii="Times New Roman" w:hAnsi="Times New Roman"/>
          <w:spacing w:val="-2"/>
          <w:sz w:val="16"/>
          <w:szCs w:val="16"/>
        </w:rPr>
        <w:t xml:space="preserve">, Examinatorium Strafprozessrecht, </w:t>
      </w:r>
      <w:r w:rsidR="004B4EDF">
        <w:rPr>
          <w:rFonts w:ascii="Times New Roman" w:hAnsi="Times New Roman"/>
          <w:spacing w:val="-2"/>
          <w:sz w:val="16"/>
          <w:szCs w:val="16"/>
        </w:rPr>
        <w:t>4</w:t>
      </w:r>
      <w:r w:rsidR="006D2F08">
        <w:rPr>
          <w:rFonts w:ascii="Times New Roman" w:hAnsi="Times New Roman"/>
          <w:spacing w:val="-2"/>
          <w:sz w:val="16"/>
          <w:szCs w:val="16"/>
        </w:rPr>
        <w:t>. Auflage 20</w:t>
      </w:r>
      <w:r w:rsidR="008A3898">
        <w:rPr>
          <w:rFonts w:ascii="Times New Roman" w:hAnsi="Times New Roman"/>
          <w:spacing w:val="-2"/>
          <w:sz w:val="16"/>
          <w:szCs w:val="16"/>
        </w:rPr>
        <w:t>2</w:t>
      </w:r>
      <w:r w:rsidR="004B4EDF">
        <w:rPr>
          <w:rFonts w:ascii="Times New Roman" w:hAnsi="Times New Roman"/>
          <w:spacing w:val="-2"/>
          <w:sz w:val="16"/>
          <w:szCs w:val="16"/>
        </w:rPr>
        <w:t>3</w:t>
      </w:r>
      <w:r w:rsidR="006D2F08">
        <w:rPr>
          <w:rFonts w:ascii="Times New Roman" w:hAnsi="Times New Roman"/>
          <w:spacing w:val="-2"/>
          <w:sz w:val="16"/>
          <w:szCs w:val="16"/>
        </w:rPr>
        <w:t xml:space="preserve">, </w:t>
      </w:r>
      <w:r w:rsidR="00EF2F28" w:rsidRPr="00CB699C">
        <w:rPr>
          <w:rFonts w:ascii="Times New Roman" w:hAnsi="Times New Roman"/>
          <w:spacing w:val="-2"/>
          <w:sz w:val="16"/>
          <w:szCs w:val="16"/>
        </w:rPr>
        <w:t>Problem</w:t>
      </w:r>
      <w:r w:rsidR="007470C5">
        <w:rPr>
          <w:rFonts w:ascii="Times New Roman" w:hAnsi="Times New Roman"/>
          <w:spacing w:val="-2"/>
          <w:sz w:val="16"/>
          <w:szCs w:val="16"/>
        </w:rPr>
        <w:t> </w:t>
      </w:r>
      <w:r w:rsidR="00EF2F28" w:rsidRPr="00CB699C">
        <w:rPr>
          <w:rFonts w:ascii="Times New Roman" w:hAnsi="Times New Roman"/>
          <w:spacing w:val="-2"/>
          <w:sz w:val="16"/>
          <w:szCs w:val="16"/>
        </w:rPr>
        <w:t>3.</w:t>
      </w:r>
    </w:p>
    <w:p w14:paraId="533612F4" w14:textId="77777777" w:rsidR="00AD47DA" w:rsidRPr="00CB699C" w:rsidRDefault="00A7514B" w:rsidP="00AD47DA">
      <w:pPr>
        <w:widowControl/>
        <w:tabs>
          <w:tab w:val="left" w:pos="-720"/>
          <w:tab w:val="left" w:pos="288"/>
          <w:tab w:val="left" w:pos="567"/>
          <w:tab w:val="left" w:pos="864"/>
          <w:tab w:val="left" w:pos="1116"/>
          <w:tab w:val="left" w:pos="1404"/>
          <w:tab w:val="left" w:pos="1692"/>
          <w:tab w:val="left" w:pos="1980"/>
          <w:tab w:val="left" w:pos="2268"/>
          <w:tab w:val="left" w:pos="2880"/>
        </w:tabs>
        <w:ind w:left="1980" w:hanging="1980"/>
        <w:jc w:val="both"/>
        <w:rPr>
          <w:rFonts w:ascii="Times New Roman" w:hAnsi="Times New Roman"/>
          <w:spacing w:val="-2"/>
          <w:sz w:val="16"/>
          <w:szCs w:val="16"/>
        </w:rPr>
      </w:pPr>
      <w:r w:rsidRPr="00CB699C">
        <w:rPr>
          <w:rFonts w:ascii="Times New Roman" w:hAnsi="Times New Roman"/>
          <w:b/>
          <w:spacing w:val="-2"/>
          <w:sz w:val="16"/>
          <w:szCs w:val="16"/>
        </w:rPr>
        <w:t>Literatur/Aufsätze:</w:t>
      </w:r>
      <w:r w:rsidRPr="00CB699C">
        <w:rPr>
          <w:rFonts w:ascii="Times New Roman" w:hAnsi="Times New Roman"/>
          <w:b/>
          <w:spacing w:val="-2"/>
          <w:sz w:val="16"/>
          <w:szCs w:val="16"/>
        </w:rPr>
        <w:tab/>
      </w:r>
      <w:r w:rsidRPr="00CB699C">
        <w:rPr>
          <w:rFonts w:ascii="Times New Roman" w:hAnsi="Times New Roman"/>
          <w:b/>
          <w:spacing w:val="-2"/>
          <w:sz w:val="16"/>
          <w:szCs w:val="16"/>
        </w:rPr>
        <w:tab/>
      </w:r>
      <w:r w:rsidR="009825D0">
        <w:rPr>
          <w:rFonts w:ascii="Times New Roman" w:hAnsi="Times New Roman"/>
          <w:b/>
          <w:spacing w:val="-2"/>
          <w:sz w:val="16"/>
          <w:szCs w:val="16"/>
        </w:rPr>
        <w:tab/>
      </w:r>
      <w:r w:rsidR="00457160" w:rsidRPr="00CB699C">
        <w:rPr>
          <w:rFonts w:ascii="Times New Roman" w:hAnsi="Times New Roman"/>
          <w:i/>
          <w:spacing w:val="-2"/>
          <w:sz w:val="16"/>
          <w:szCs w:val="16"/>
        </w:rPr>
        <w:t>Eisenberg</w:t>
      </w:r>
      <w:r w:rsidR="00457160" w:rsidRPr="00CB699C">
        <w:rPr>
          <w:rFonts w:ascii="Times New Roman" w:hAnsi="Times New Roman"/>
          <w:spacing w:val="-2"/>
          <w:sz w:val="16"/>
          <w:szCs w:val="16"/>
        </w:rPr>
        <w:t xml:space="preserve">, Kriterien der Eröffnung des strafprozessualen Hauptverfahrens, JZ 2011, 672; </w:t>
      </w:r>
      <w:proofErr w:type="spellStart"/>
      <w:r w:rsidR="00457160" w:rsidRPr="00CB699C">
        <w:rPr>
          <w:rFonts w:ascii="Times New Roman" w:hAnsi="Times New Roman"/>
          <w:i/>
          <w:spacing w:val="-2"/>
          <w:sz w:val="16"/>
          <w:szCs w:val="16"/>
        </w:rPr>
        <w:t>Hombrecher</w:t>
      </w:r>
      <w:proofErr w:type="spellEnd"/>
      <w:r w:rsidR="00457160" w:rsidRPr="00CB699C">
        <w:rPr>
          <w:rFonts w:ascii="Times New Roman" w:hAnsi="Times New Roman"/>
          <w:spacing w:val="-2"/>
          <w:sz w:val="16"/>
          <w:szCs w:val="16"/>
        </w:rPr>
        <w:t xml:space="preserve">, Inhalt und Aufbau des Anklagesatzes, JA 2011, 57; </w:t>
      </w:r>
      <w:proofErr w:type="spellStart"/>
      <w:r w:rsidR="00457160" w:rsidRPr="00CB699C">
        <w:rPr>
          <w:rFonts w:ascii="Times New Roman" w:hAnsi="Times New Roman"/>
          <w:i/>
          <w:spacing w:val="-2"/>
          <w:sz w:val="16"/>
          <w:szCs w:val="16"/>
        </w:rPr>
        <w:t>Mavany</w:t>
      </w:r>
      <w:proofErr w:type="spellEnd"/>
      <w:r w:rsidR="00457160" w:rsidRPr="00CB699C">
        <w:rPr>
          <w:rFonts w:ascii="Times New Roman" w:hAnsi="Times New Roman"/>
          <w:spacing w:val="-2"/>
          <w:sz w:val="16"/>
          <w:szCs w:val="16"/>
        </w:rPr>
        <w:t xml:space="preserve">, „Hidden </w:t>
      </w:r>
      <w:proofErr w:type="spellStart"/>
      <w:r w:rsidR="00457160" w:rsidRPr="00CB699C">
        <w:rPr>
          <w:rFonts w:ascii="Times New Roman" w:hAnsi="Times New Roman"/>
          <w:spacing w:val="-2"/>
          <w:sz w:val="16"/>
          <w:szCs w:val="16"/>
        </w:rPr>
        <w:t>champion</w:t>
      </w:r>
      <w:proofErr w:type="spellEnd"/>
      <w:r w:rsidR="00457160" w:rsidRPr="00CB699C">
        <w:rPr>
          <w:rFonts w:ascii="Times New Roman" w:hAnsi="Times New Roman"/>
          <w:spacing w:val="-2"/>
          <w:sz w:val="16"/>
          <w:szCs w:val="16"/>
        </w:rPr>
        <w:t xml:space="preserve">“ des Strafverfahrens – das Zwischenverfahren, JA 2015, 488; </w:t>
      </w:r>
      <w:r w:rsidR="009035F5" w:rsidRPr="00CB699C">
        <w:rPr>
          <w:rFonts w:ascii="Times New Roman" w:hAnsi="Times New Roman"/>
          <w:i/>
          <w:spacing w:val="-2"/>
          <w:sz w:val="16"/>
          <w:szCs w:val="16"/>
        </w:rPr>
        <w:t>Meyer-Goßner</w:t>
      </w:r>
      <w:r w:rsidR="000E182E" w:rsidRPr="00CB699C">
        <w:rPr>
          <w:rFonts w:ascii="Times New Roman" w:hAnsi="Times New Roman"/>
          <w:spacing w:val="-2"/>
          <w:sz w:val="16"/>
          <w:szCs w:val="16"/>
        </w:rPr>
        <w:t xml:space="preserve">, </w:t>
      </w:r>
      <w:r w:rsidR="009035F5" w:rsidRPr="00CB699C">
        <w:rPr>
          <w:rFonts w:ascii="Times New Roman" w:hAnsi="Times New Roman"/>
          <w:spacing w:val="-2"/>
          <w:sz w:val="16"/>
          <w:szCs w:val="16"/>
        </w:rPr>
        <w:t xml:space="preserve">Zwischenverfahren im </w:t>
      </w:r>
      <w:proofErr w:type="gramStart"/>
      <w:r w:rsidR="009035F5" w:rsidRPr="00CB699C">
        <w:rPr>
          <w:rFonts w:ascii="Times New Roman" w:hAnsi="Times New Roman"/>
          <w:spacing w:val="-2"/>
          <w:sz w:val="16"/>
          <w:szCs w:val="16"/>
        </w:rPr>
        <w:t>Zwi</w:t>
      </w:r>
      <w:r w:rsidR="00C850CE" w:rsidRPr="00CB699C">
        <w:rPr>
          <w:rFonts w:ascii="Times New Roman" w:hAnsi="Times New Roman"/>
          <w:spacing w:val="-2"/>
          <w:sz w:val="16"/>
          <w:szCs w:val="16"/>
        </w:rPr>
        <w:t>schenverfahren?,</w:t>
      </w:r>
      <w:proofErr w:type="gramEnd"/>
      <w:r w:rsidR="00C850CE" w:rsidRPr="00CB699C">
        <w:rPr>
          <w:rFonts w:ascii="Times New Roman" w:hAnsi="Times New Roman"/>
          <w:spacing w:val="-2"/>
          <w:sz w:val="16"/>
          <w:szCs w:val="16"/>
        </w:rPr>
        <w:t xml:space="preserve"> StV 2002, 394; </w:t>
      </w:r>
      <w:r w:rsidR="00457160" w:rsidRPr="00CB699C">
        <w:rPr>
          <w:rFonts w:ascii="Times New Roman" w:hAnsi="Times New Roman"/>
          <w:i/>
          <w:spacing w:val="-2"/>
          <w:sz w:val="16"/>
          <w:szCs w:val="16"/>
        </w:rPr>
        <w:t>Rieß</w:t>
      </w:r>
      <w:r w:rsidR="00457160" w:rsidRPr="00CB699C">
        <w:rPr>
          <w:rFonts w:ascii="Times New Roman" w:hAnsi="Times New Roman"/>
          <w:spacing w:val="-2"/>
          <w:sz w:val="16"/>
          <w:szCs w:val="16"/>
        </w:rPr>
        <w:t xml:space="preserve">, Das Zwischen- oder Eröffnungsverfahren im Strafprozess, JURA 2002, 735; </w:t>
      </w:r>
      <w:proofErr w:type="spellStart"/>
      <w:r w:rsidR="004D184C" w:rsidRPr="00CB699C">
        <w:rPr>
          <w:rFonts w:ascii="Times New Roman" w:hAnsi="Times New Roman"/>
          <w:i/>
          <w:spacing w:val="-2"/>
          <w:sz w:val="16"/>
          <w:szCs w:val="16"/>
        </w:rPr>
        <w:t>Vormbaum</w:t>
      </w:r>
      <w:proofErr w:type="spellEnd"/>
      <w:r w:rsidR="004D184C" w:rsidRPr="00CB699C">
        <w:rPr>
          <w:rFonts w:ascii="Times New Roman" w:hAnsi="Times New Roman"/>
          <w:spacing w:val="-2"/>
          <w:sz w:val="16"/>
          <w:szCs w:val="16"/>
        </w:rPr>
        <w:t xml:space="preserve">, Effektive Kontrolle oder überflüssige Schreibarbeit? Kritik des strafprozessualen Zwischenverfahrens und Möglichkeiten seiner Reform, ZIS </w:t>
      </w:r>
      <w:r w:rsidR="000E182E" w:rsidRPr="00CB699C">
        <w:rPr>
          <w:rFonts w:ascii="Times New Roman" w:hAnsi="Times New Roman"/>
          <w:spacing w:val="-2"/>
          <w:sz w:val="16"/>
          <w:szCs w:val="16"/>
        </w:rPr>
        <w:t>2015, 328</w:t>
      </w:r>
      <w:r w:rsidR="004D184C" w:rsidRPr="00CB699C">
        <w:rPr>
          <w:rFonts w:ascii="Times New Roman" w:hAnsi="Times New Roman"/>
          <w:spacing w:val="-2"/>
          <w:sz w:val="16"/>
          <w:szCs w:val="16"/>
        </w:rPr>
        <w:t>.</w:t>
      </w:r>
    </w:p>
    <w:p w14:paraId="5C81EB69" w14:textId="5C080CCA" w:rsidR="00A7514B" w:rsidRPr="00CB699C" w:rsidRDefault="00A7514B" w:rsidP="00A7514B">
      <w:pPr>
        <w:widowControl/>
        <w:tabs>
          <w:tab w:val="left" w:pos="-720"/>
          <w:tab w:val="left" w:pos="288"/>
          <w:tab w:val="left" w:pos="567"/>
          <w:tab w:val="left" w:pos="864"/>
          <w:tab w:val="left" w:pos="1116"/>
          <w:tab w:val="left" w:pos="1404"/>
          <w:tab w:val="left" w:pos="1692"/>
          <w:tab w:val="left" w:pos="1980"/>
          <w:tab w:val="left" w:pos="2268"/>
          <w:tab w:val="left" w:pos="2880"/>
        </w:tabs>
        <w:ind w:left="1980" w:hanging="1980"/>
        <w:jc w:val="both"/>
        <w:rPr>
          <w:sz w:val="16"/>
          <w:szCs w:val="16"/>
        </w:rPr>
      </w:pPr>
      <w:r w:rsidRPr="00CB699C">
        <w:rPr>
          <w:rFonts w:ascii="Times New Roman" w:hAnsi="Times New Roman"/>
          <w:b/>
          <w:spacing w:val="-2"/>
          <w:sz w:val="16"/>
          <w:szCs w:val="16"/>
        </w:rPr>
        <w:t xml:space="preserve">Rechtsprechung: </w:t>
      </w:r>
      <w:r w:rsidRPr="00CB699C">
        <w:rPr>
          <w:rFonts w:ascii="Times New Roman" w:hAnsi="Times New Roman"/>
          <w:b/>
          <w:spacing w:val="-2"/>
          <w:sz w:val="16"/>
          <w:szCs w:val="16"/>
        </w:rPr>
        <w:tab/>
      </w:r>
      <w:r w:rsidRPr="00CB699C">
        <w:rPr>
          <w:rFonts w:ascii="Times New Roman" w:hAnsi="Times New Roman"/>
          <w:b/>
          <w:spacing w:val="-2"/>
          <w:sz w:val="16"/>
          <w:szCs w:val="16"/>
        </w:rPr>
        <w:tab/>
      </w:r>
      <w:r w:rsidRPr="00CB699C">
        <w:rPr>
          <w:rFonts w:ascii="Times New Roman" w:hAnsi="Times New Roman"/>
          <w:b/>
          <w:spacing w:val="-2"/>
          <w:sz w:val="16"/>
          <w:szCs w:val="16"/>
        </w:rPr>
        <w:tab/>
      </w:r>
      <w:r w:rsidR="005F21F1" w:rsidRPr="00CB699C">
        <w:rPr>
          <w:rFonts w:ascii="Times New Roman" w:hAnsi="Times New Roman"/>
          <w:b/>
          <w:spacing w:val="-2"/>
          <w:sz w:val="16"/>
          <w:szCs w:val="16"/>
        </w:rPr>
        <w:t xml:space="preserve">BVerfG </w:t>
      </w:r>
      <w:proofErr w:type="spellStart"/>
      <w:r w:rsidR="005F21F1" w:rsidRPr="00CB699C">
        <w:rPr>
          <w:rFonts w:ascii="Times New Roman" w:hAnsi="Times New Roman"/>
          <w:b/>
          <w:spacing w:val="-2"/>
          <w:sz w:val="16"/>
          <w:szCs w:val="16"/>
        </w:rPr>
        <w:t>AnwBl</w:t>
      </w:r>
      <w:proofErr w:type="spellEnd"/>
      <w:r w:rsidR="005F21F1" w:rsidRPr="00CB699C">
        <w:rPr>
          <w:rFonts w:ascii="Times New Roman" w:hAnsi="Times New Roman"/>
          <w:b/>
          <w:spacing w:val="-2"/>
          <w:sz w:val="16"/>
          <w:szCs w:val="16"/>
        </w:rPr>
        <w:t xml:space="preserve"> 2015, 711</w:t>
      </w:r>
      <w:r w:rsidR="005F21F1" w:rsidRPr="00CB699C">
        <w:rPr>
          <w:rFonts w:ascii="Times New Roman" w:hAnsi="Times New Roman"/>
          <w:spacing w:val="-2"/>
          <w:sz w:val="16"/>
          <w:szCs w:val="16"/>
        </w:rPr>
        <w:t xml:space="preserve"> – Verzögerungen im Zwischenverfahren (Beschleunigungsgrundsatz in Haftsachen im Zwischenverfahren); </w:t>
      </w:r>
      <w:r w:rsidRPr="00CB699C">
        <w:rPr>
          <w:rFonts w:ascii="Times New Roman" w:hAnsi="Times New Roman"/>
          <w:b/>
          <w:spacing w:val="-2"/>
          <w:sz w:val="16"/>
          <w:szCs w:val="16"/>
        </w:rPr>
        <w:t xml:space="preserve">BGHSt 23, 304 – </w:t>
      </w:r>
      <w:r w:rsidRPr="00CB699C">
        <w:rPr>
          <w:rFonts w:ascii="Times New Roman" w:hAnsi="Times New Roman"/>
          <w:spacing w:val="-2"/>
          <w:sz w:val="16"/>
          <w:szCs w:val="16"/>
        </w:rPr>
        <w:t xml:space="preserve">Eröffnungsbeschluss </w:t>
      </w:r>
      <w:r w:rsidR="00CA5563" w:rsidRPr="00CB699C">
        <w:rPr>
          <w:rFonts w:ascii="Times New Roman" w:hAnsi="Times New Roman"/>
          <w:spacing w:val="-2"/>
          <w:sz w:val="16"/>
          <w:szCs w:val="16"/>
        </w:rPr>
        <w:t xml:space="preserve">I </w:t>
      </w:r>
      <w:r w:rsidRPr="00CB699C">
        <w:rPr>
          <w:rFonts w:ascii="Times New Roman" w:hAnsi="Times New Roman"/>
          <w:spacing w:val="-2"/>
          <w:sz w:val="16"/>
          <w:szCs w:val="16"/>
        </w:rPr>
        <w:t>(Darlegungspflicht nach §</w:t>
      </w:r>
      <w:r w:rsidR="007470C5">
        <w:rPr>
          <w:rFonts w:ascii="Times New Roman" w:hAnsi="Times New Roman"/>
          <w:spacing w:val="-2"/>
          <w:sz w:val="16"/>
          <w:szCs w:val="16"/>
        </w:rPr>
        <w:t> </w:t>
      </w:r>
      <w:r w:rsidRPr="00CB699C">
        <w:rPr>
          <w:rFonts w:ascii="Times New Roman" w:hAnsi="Times New Roman"/>
          <w:spacing w:val="-2"/>
          <w:sz w:val="16"/>
          <w:szCs w:val="16"/>
        </w:rPr>
        <w:t>207 StPO bei Abweichung von der Anklageschrift</w:t>
      </w:r>
      <w:r w:rsidRPr="00C93BE0">
        <w:rPr>
          <w:rFonts w:ascii="Times New Roman" w:hAnsi="Times New Roman"/>
          <w:spacing w:val="-2"/>
          <w:sz w:val="16"/>
          <w:szCs w:val="16"/>
        </w:rPr>
        <w:t>)</w:t>
      </w:r>
      <w:r w:rsidRPr="00C226FE">
        <w:rPr>
          <w:rFonts w:ascii="Times New Roman" w:hAnsi="Times New Roman"/>
          <w:spacing w:val="-2"/>
          <w:sz w:val="16"/>
          <w:szCs w:val="16"/>
        </w:rPr>
        <w:t xml:space="preserve">; </w:t>
      </w:r>
      <w:r w:rsidR="00457160" w:rsidRPr="00CB699C">
        <w:rPr>
          <w:rFonts w:ascii="Times New Roman" w:hAnsi="Times New Roman"/>
          <w:b/>
          <w:bCs/>
          <w:spacing w:val="-2"/>
          <w:sz w:val="16"/>
          <w:szCs w:val="16"/>
        </w:rPr>
        <w:t>BGHSt 29, 224</w:t>
      </w:r>
      <w:r w:rsidR="00457160" w:rsidRPr="00CB699C">
        <w:rPr>
          <w:rFonts w:ascii="Times New Roman" w:hAnsi="Times New Roman"/>
          <w:bCs/>
          <w:spacing w:val="-2"/>
          <w:sz w:val="16"/>
          <w:szCs w:val="16"/>
        </w:rPr>
        <w:t xml:space="preserve"> – Eröffnungsbeschluss </w:t>
      </w:r>
      <w:r w:rsidR="00457160" w:rsidRPr="00D829D1">
        <w:rPr>
          <w:rFonts w:ascii="Times New Roman" w:hAnsi="Times New Roman"/>
          <w:bCs/>
          <w:spacing w:val="-2"/>
          <w:sz w:val="16"/>
          <w:szCs w:val="16"/>
        </w:rPr>
        <w:t xml:space="preserve">II </w:t>
      </w:r>
      <w:r w:rsidR="00D829D1" w:rsidRPr="00D829D1">
        <w:rPr>
          <w:rFonts w:ascii="Times New Roman" w:hAnsi="Times New Roman"/>
          <w:sz w:val="16"/>
          <w:szCs w:val="16"/>
        </w:rPr>
        <w:t>(Nachholung des Eröffnungsbeschlusses bis zu Vernehmung des Angeklagten möglich)</w:t>
      </w:r>
      <w:r w:rsidR="00457160" w:rsidRPr="00D829D1">
        <w:rPr>
          <w:rFonts w:ascii="Times New Roman" w:hAnsi="Times New Roman"/>
          <w:bCs/>
          <w:spacing w:val="-2"/>
          <w:sz w:val="16"/>
          <w:szCs w:val="16"/>
        </w:rPr>
        <w:t>;</w:t>
      </w:r>
      <w:r w:rsidR="00457160" w:rsidRPr="00CB699C">
        <w:rPr>
          <w:rFonts w:ascii="Times New Roman" w:hAnsi="Times New Roman"/>
          <w:bCs/>
          <w:spacing w:val="-2"/>
          <w:sz w:val="16"/>
          <w:szCs w:val="16"/>
        </w:rPr>
        <w:t xml:space="preserve"> </w:t>
      </w:r>
      <w:r w:rsidRPr="00CB699C">
        <w:rPr>
          <w:rFonts w:ascii="Times New Roman" w:hAnsi="Times New Roman"/>
          <w:b/>
          <w:spacing w:val="-2"/>
          <w:sz w:val="16"/>
          <w:szCs w:val="16"/>
        </w:rPr>
        <w:t xml:space="preserve">BGH StV 1996, 362 – </w:t>
      </w:r>
      <w:r w:rsidR="00CA5563" w:rsidRPr="00CB699C">
        <w:rPr>
          <w:rFonts w:ascii="Times New Roman" w:hAnsi="Times New Roman"/>
          <w:spacing w:val="-2"/>
          <w:sz w:val="16"/>
          <w:szCs w:val="16"/>
        </w:rPr>
        <w:t xml:space="preserve">Eröffnungsbeschluss III </w:t>
      </w:r>
      <w:r w:rsidRPr="00CB699C">
        <w:rPr>
          <w:rFonts w:ascii="Times New Roman" w:hAnsi="Times New Roman"/>
          <w:spacing w:val="-2"/>
          <w:sz w:val="16"/>
          <w:szCs w:val="16"/>
        </w:rPr>
        <w:t>(Abgrenzung zwischen gravierenden und nicht gravierenden Mängeln des Eröffnungsbeschlusses)</w:t>
      </w:r>
      <w:r w:rsidR="00A90AD2" w:rsidRPr="00CB699C">
        <w:rPr>
          <w:rFonts w:ascii="Times New Roman" w:hAnsi="Times New Roman"/>
          <w:spacing w:val="-2"/>
          <w:sz w:val="16"/>
          <w:szCs w:val="16"/>
        </w:rPr>
        <w:t xml:space="preserve">; </w:t>
      </w:r>
      <w:r w:rsidR="00A90AD2" w:rsidRPr="00CB699C">
        <w:rPr>
          <w:rFonts w:ascii="Times New Roman" w:hAnsi="Times New Roman"/>
          <w:b/>
          <w:spacing w:val="-2"/>
          <w:sz w:val="16"/>
          <w:szCs w:val="16"/>
        </w:rPr>
        <w:t>BGH StV 2012, 451</w:t>
      </w:r>
      <w:r w:rsidR="00A90AD2" w:rsidRPr="00CB699C">
        <w:rPr>
          <w:rFonts w:ascii="Times New Roman" w:hAnsi="Times New Roman"/>
          <w:spacing w:val="-2"/>
          <w:sz w:val="16"/>
          <w:szCs w:val="16"/>
        </w:rPr>
        <w:t xml:space="preserve"> –</w:t>
      </w:r>
      <w:r w:rsidR="00AE4DED" w:rsidRPr="00CB699C">
        <w:rPr>
          <w:rFonts w:ascii="Times New Roman" w:hAnsi="Times New Roman"/>
          <w:spacing w:val="-2"/>
          <w:sz w:val="16"/>
          <w:szCs w:val="16"/>
        </w:rPr>
        <w:t xml:space="preserve"> Eröffnungsbeschluss</w:t>
      </w:r>
      <w:r w:rsidR="00EA79FC" w:rsidRPr="00CB699C">
        <w:rPr>
          <w:rFonts w:ascii="Times New Roman" w:hAnsi="Times New Roman"/>
          <w:spacing w:val="-2"/>
          <w:sz w:val="16"/>
          <w:szCs w:val="16"/>
        </w:rPr>
        <w:t xml:space="preserve"> </w:t>
      </w:r>
      <w:r w:rsidR="00CA5563" w:rsidRPr="00CB699C">
        <w:rPr>
          <w:rFonts w:ascii="Times New Roman" w:hAnsi="Times New Roman"/>
          <w:spacing w:val="-2"/>
          <w:sz w:val="16"/>
          <w:szCs w:val="16"/>
        </w:rPr>
        <w:t xml:space="preserve">IV </w:t>
      </w:r>
      <w:r w:rsidR="009D017A" w:rsidRPr="00CB699C">
        <w:rPr>
          <w:rFonts w:ascii="Times New Roman" w:hAnsi="Times New Roman"/>
          <w:spacing w:val="-2"/>
          <w:sz w:val="16"/>
          <w:szCs w:val="16"/>
        </w:rPr>
        <w:t>(Wirksamkeit ohne sämtliche</w:t>
      </w:r>
      <w:r w:rsidR="00EA79FC" w:rsidRPr="00CB699C">
        <w:rPr>
          <w:rFonts w:ascii="Times New Roman" w:hAnsi="Times New Roman"/>
          <w:spacing w:val="-2"/>
          <w:sz w:val="16"/>
          <w:szCs w:val="16"/>
        </w:rPr>
        <w:t xml:space="preserve"> Unterschriften)</w:t>
      </w:r>
      <w:r w:rsidR="000E5031" w:rsidRPr="00CB699C">
        <w:rPr>
          <w:rFonts w:ascii="Times New Roman" w:hAnsi="Times New Roman"/>
          <w:spacing w:val="-2"/>
          <w:sz w:val="16"/>
          <w:szCs w:val="16"/>
        </w:rPr>
        <w:t xml:space="preserve">; </w:t>
      </w:r>
      <w:r w:rsidR="005F1B1E" w:rsidRPr="00CB699C">
        <w:rPr>
          <w:rFonts w:ascii="Times New Roman" w:hAnsi="Times New Roman"/>
          <w:b/>
          <w:spacing w:val="-2"/>
          <w:sz w:val="16"/>
          <w:szCs w:val="16"/>
        </w:rPr>
        <w:t>BGH NStZ 2012, 583</w:t>
      </w:r>
      <w:r w:rsidR="005F1B1E" w:rsidRPr="00CB699C">
        <w:rPr>
          <w:rFonts w:ascii="Times New Roman" w:hAnsi="Times New Roman"/>
          <w:spacing w:val="-2"/>
          <w:sz w:val="16"/>
          <w:szCs w:val="16"/>
        </w:rPr>
        <w:t xml:space="preserve"> – </w:t>
      </w:r>
      <w:r w:rsidR="00EA79FC" w:rsidRPr="00CB699C">
        <w:rPr>
          <w:rFonts w:ascii="Times New Roman" w:hAnsi="Times New Roman"/>
          <w:spacing w:val="-2"/>
          <w:sz w:val="16"/>
          <w:szCs w:val="16"/>
        </w:rPr>
        <w:t>Formerfordernisse</w:t>
      </w:r>
      <w:r w:rsidR="005F1B1E" w:rsidRPr="00CB699C">
        <w:rPr>
          <w:rFonts w:ascii="Times New Roman" w:hAnsi="Times New Roman"/>
          <w:spacing w:val="-2"/>
          <w:sz w:val="16"/>
          <w:szCs w:val="16"/>
        </w:rPr>
        <w:t xml:space="preserve"> (</w:t>
      </w:r>
      <w:r w:rsidR="009D017A" w:rsidRPr="00CB699C">
        <w:rPr>
          <w:rFonts w:ascii="Times New Roman" w:hAnsi="Times New Roman"/>
          <w:spacing w:val="-2"/>
          <w:sz w:val="16"/>
          <w:szCs w:val="16"/>
        </w:rPr>
        <w:t>s</w:t>
      </w:r>
      <w:r w:rsidR="005F1B1E" w:rsidRPr="00CB699C">
        <w:rPr>
          <w:rFonts w:ascii="Times New Roman" w:hAnsi="Times New Roman"/>
          <w:spacing w:val="-2"/>
          <w:sz w:val="16"/>
          <w:szCs w:val="16"/>
        </w:rPr>
        <w:t>chriftliche Niederlegung</w:t>
      </w:r>
      <w:r w:rsidR="00AE4DED" w:rsidRPr="00CB699C">
        <w:rPr>
          <w:rFonts w:ascii="Times New Roman" w:hAnsi="Times New Roman"/>
          <w:spacing w:val="-2"/>
          <w:sz w:val="16"/>
          <w:szCs w:val="16"/>
        </w:rPr>
        <w:t xml:space="preserve"> und Unterzeichnung</w:t>
      </w:r>
      <w:r w:rsidR="00EA79FC" w:rsidRPr="00CB699C">
        <w:rPr>
          <w:rFonts w:ascii="Times New Roman" w:hAnsi="Times New Roman"/>
          <w:spacing w:val="-2"/>
          <w:sz w:val="16"/>
          <w:szCs w:val="16"/>
        </w:rPr>
        <w:t xml:space="preserve"> eines Eröffnungsbeschlusses</w:t>
      </w:r>
      <w:r w:rsidR="005F1B1E" w:rsidRPr="00CB699C">
        <w:rPr>
          <w:rFonts w:ascii="Times New Roman" w:hAnsi="Times New Roman"/>
          <w:spacing w:val="-2"/>
          <w:sz w:val="16"/>
          <w:szCs w:val="16"/>
        </w:rPr>
        <w:t>)</w:t>
      </w:r>
      <w:r w:rsidR="00CA5563" w:rsidRPr="00CB699C">
        <w:rPr>
          <w:rFonts w:ascii="Times New Roman" w:hAnsi="Times New Roman"/>
          <w:spacing w:val="-2"/>
          <w:sz w:val="16"/>
          <w:szCs w:val="16"/>
        </w:rPr>
        <w:t xml:space="preserve">; </w:t>
      </w:r>
      <w:r w:rsidR="000E5031" w:rsidRPr="00CB699C">
        <w:rPr>
          <w:rFonts w:ascii="Times New Roman" w:hAnsi="Times New Roman"/>
          <w:b/>
          <w:spacing w:val="-2"/>
          <w:sz w:val="16"/>
          <w:szCs w:val="16"/>
        </w:rPr>
        <w:t>BGH NJW 2015, 2515</w:t>
      </w:r>
      <w:r w:rsidR="000E5031" w:rsidRPr="00CB699C">
        <w:rPr>
          <w:rFonts w:ascii="Times New Roman" w:hAnsi="Times New Roman"/>
          <w:spacing w:val="-2"/>
          <w:sz w:val="16"/>
          <w:szCs w:val="16"/>
        </w:rPr>
        <w:t xml:space="preserve"> – </w:t>
      </w:r>
      <w:r w:rsidR="00DA46A2" w:rsidRPr="00CB699C">
        <w:rPr>
          <w:rFonts w:ascii="Times New Roman" w:hAnsi="Times New Roman"/>
          <w:spacing w:val="-2"/>
          <w:sz w:val="16"/>
          <w:szCs w:val="16"/>
        </w:rPr>
        <w:t>Schwerer Verfahrensfehler (</w:t>
      </w:r>
      <w:r w:rsidR="005F1B1E" w:rsidRPr="00CB699C">
        <w:rPr>
          <w:rFonts w:ascii="Times New Roman" w:hAnsi="Times New Roman"/>
          <w:spacing w:val="-2"/>
          <w:sz w:val="16"/>
          <w:szCs w:val="16"/>
        </w:rPr>
        <w:t>Eröffnungsbeschluss in falscher Kammerbesetzung)</w:t>
      </w:r>
      <w:r w:rsidR="00457160" w:rsidRPr="00CB699C">
        <w:rPr>
          <w:rFonts w:ascii="Times New Roman" w:hAnsi="Times New Roman"/>
          <w:spacing w:val="-2"/>
          <w:sz w:val="16"/>
          <w:szCs w:val="16"/>
        </w:rPr>
        <w:t xml:space="preserve">; </w:t>
      </w:r>
      <w:r w:rsidR="00221AFE" w:rsidRPr="00221AFE">
        <w:rPr>
          <w:rFonts w:ascii="Times New Roman" w:hAnsi="Times New Roman"/>
          <w:b/>
          <w:spacing w:val="-2"/>
          <w:sz w:val="16"/>
          <w:szCs w:val="16"/>
        </w:rPr>
        <w:t>BGH NStZ 2018, 155</w:t>
      </w:r>
      <w:r w:rsidR="00221AFE">
        <w:rPr>
          <w:rFonts w:ascii="Times New Roman" w:hAnsi="Times New Roman"/>
          <w:spacing w:val="-2"/>
          <w:sz w:val="16"/>
          <w:szCs w:val="16"/>
        </w:rPr>
        <w:t xml:space="preserve"> – Konkludente Eröffnung durch Verfahrensverbindung (Schriftlichkeitsgebot und Verfahrenshindernis)</w:t>
      </w:r>
      <w:r w:rsidR="00457160" w:rsidRPr="00CB699C">
        <w:rPr>
          <w:rFonts w:ascii="Times New Roman" w:hAnsi="Times New Roman"/>
          <w:bCs/>
          <w:spacing w:val="-2"/>
          <w:sz w:val="16"/>
          <w:szCs w:val="16"/>
        </w:rPr>
        <w:t>.</w:t>
      </w:r>
    </w:p>
    <w:sectPr w:rsidR="00A7514B" w:rsidRPr="00CB699C" w:rsidSect="00A7514B">
      <w:pgSz w:w="11906" w:h="16838"/>
      <w:pgMar w:top="567" w:right="680" w:bottom="289" w:left="1134" w:header="567" w:footer="28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25892" w14:textId="77777777" w:rsidR="00405260" w:rsidRDefault="00405260">
      <w:r>
        <w:separator/>
      </w:r>
    </w:p>
  </w:endnote>
  <w:endnote w:type="continuationSeparator" w:id="0">
    <w:p w14:paraId="0BAAECD6" w14:textId="77777777" w:rsidR="00405260" w:rsidRDefault="0040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ED284" w14:textId="77777777" w:rsidR="00405260" w:rsidRDefault="00405260">
      <w:r>
        <w:separator/>
      </w:r>
    </w:p>
  </w:footnote>
  <w:footnote w:type="continuationSeparator" w:id="0">
    <w:p w14:paraId="172B1F32" w14:textId="77777777" w:rsidR="00405260" w:rsidRDefault="00405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AA5C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34A0D46"/>
    <w:multiLevelType w:val="multilevel"/>
    <w:tmpl w:val="7B3C2B68"/>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F79518A"/>
    <w:multiLevelType w:val="hybridMultilevel"/>
    <w:tmpl w:val="7B3C2B68"/>
    <w:lvl w:ilvl="0" w:tplc="CFC6C554">
      <w:start w:val="1"/>
      <w:numFmt w:val="decimal"/>
      <w:lvlText w:val="%1."/>
      <w:lvlJc w:val="left"/>
      <w:pPr>
        <w:tabs>
          <w:tab w:val="num" w:pos="720"/>
        </w:tabs>
        <w:ind w:left="720" w:hanging="360"/>
      </w:pPr>
      <w:rPr>
        <w:rFonts w:hint="default"/>
        <w:u w:val="single"/>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16cid:durableId="1573469071">
    <w:abstractNumId w:val="2"/>
  </w:num>
  <w:num w:numId="2" w16cid:durableId="133453395">
    <w:abstractNumId w:val="1"/>
  </w:num>
  <w:num w:numId="3" w16cid:durableId="1623997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de-DE" w:vendorID="6" w:dllVersion="2" w:checkStyle="1"/>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0"/>
    <w:rsid w:val="00000F11"/>
    <w:rsid w:val="00005453"/>
    <w:rsid w:val="000B2405"/>
    <w:rsid w:val="000D09D7"/>
    <w:rsid w:val="000E182E"/>
    <w:rsid w:val="000E5031"/>
    <w:rsid w:val="000E5EA3"/>
    <w:rsid w:val="001002F2"/>
    <w:rsid w:val="001121C8"/>
    <w:rsid w:val="001151E0"/>
    <w:rsid w:val="00121408"/>
    <w:rsid w:val="00133CA1"/>
    <w:rsid w:val="001448CF"/>
    <w:rsid w:val="00145D1A"/>
    <w:rsid w:val="00156B28"/>
    <w:rsid w:val="001C701A"/>
    <w:rsid w:val="0021364B"/>
    <w:rsid w:val="00214964"/>
    <w:rsid w:val="00221AFE"/>
    <w:rsid w:val="002536D4"/>
    <w:rsid w:val="002A305F"/>
    <w:rsid w:val="002E268D"/>
    <w:rsid w:val="00340210"/>
    <w:rsid w:val="003747BB"/>
    <w:rsid w:val="00394248"/>
    <w:rsid w:val="003B0908"/>
    <w:rsid w:val="003C77D9"/>
    <w:rsid w:val="003D4C35"/>
    <w:rsid w:val="003E58A9"/>
    <w:rsid w:val="003F0267"/>
    <w:rsid w:val="00405260"/>
    <w:rsid w:val="004222C5"/>
    <w:rsid w:val="004324F2"/>
    <w:rsid w:val="00457160"/>
    <w:rsid w:val="004A1AB1"/>
    <w:rsid w:val="004B4EDF"/>
    <w:rsid w:val="004D184C"/>
    <w:rsid w:val="004E7E75"/>
    <w:rsid w:val="00503C94"/>
    <w:rsid w:val="0050668F"/>
    <w:rsid w:val="005079C6"/>
    <w:rsid w:val="005628FE"/>
    <w:rsid w:val="00577181"/>
    <w:rsid w:val="00580430"/>
    <w:rsid w:val="0059517A"/>
    <w:rsid w:val="00596959"/>
    <w:rsid w:val="005D7B0C"/>
    <w:rsid w:val="005E5BC0"/>
    <w:rsid w:val="005F1B1E"/>
    <w:rsid w:val="005F21F1"/>
    <w:rsid w:val="006014F0"/>
    <w:rsid w:val="006415A2"/>
    <w:rsid w:val="00651F01"/>
    <w:rsid w:val="0065411E"/>
    <w:rsid w:val="00664383"/>
    <w:rsid w:val="006C1008"/>
    <w:rsid w:val="006C1252"/>
    <w:rsid w:val="006C17C1"/>
    <w:rsid w:val="006D2F08"/>
    <w:rsid w:val="006D644F"/>
    <w:rsid w:val="00700507"/>
    <w:rsid w:val="00701B60"/>
    <w:rsid w:val="0074505E"/>
    <w:rsid w:val="007470C5"/>
    <w:rsid w:val="007700AE"/>
    <w:rsid w:val="00773247"/>
    <w:rsid w:val="00774B3A"/>
    <w:rsid w:val="00774C5E"/>
    <w:rsid w:val="00784045"/>
    <w:rsid w:val="0079084C"/>
    <w:rsid w:val="0079576E"/>
    <w:rsid w:val="007A3587"/>
    <w:rsid w:val="007D13A7"/>
    <w:rsid w:val="007F4990"/>
    <w:rsid w:val="008131A8"/>
    <w:rsid w:val="0083792D"/>
    <w:rsid w:val="008379F6"/>
    <w:rsid w:val="00844153"/>
    <w:rsid w:val="00844BE9"/>
    <w:rsid w:val="00850FFE"/>
    <w:rsid w:val="00860544"/>
    <w:rsid w:val="008A3898"/>
    <w:rsid w:val="008E33EE"/>
    <w:rsid w:val="008F10EE"/>
    <w:rsid w:val="009035F5"/>
    <w:rsid w:val="00915810"/>
    <w:rsid w:val="0092517C"/>
    <w:rsid w:val="0092622D"/>
    <w:rsid w:val="009266F3"/>
    <w:rsid w:val="00936694"/>
    <w:rsid w:val="009825D0"/>
    <w:rsid w:val="00984A89"/>
    <w:rsid w:val="00992AFE"/>
    <w:rsid w:val="00997905"/>
    <w:rsid w:val="009A4A31"/>
    <w:rsid w:val="009D017A"/>
    <w:rsid w:val="00A37745"/>
    <w:rsid w:val="00A42565"/>
    <w:rsid w:val="00A54D31"/>
    <w:rsid w:val="00A70229"/>
    <w:rsid w:val="00A7514B"/>
    <w:rsid w:val="00A90AD2"/>
    <w:rsid w:val="00AC13DD"/>
    <w:rsid w:val="00AD47DA"/>
    <w:rsid w:val="00AD55CB"/>
    <w:rsid w:val="00AD6990"/>
    <w:rsid w:val="00AE0317"/>
    <w:rsid w:val="00AE0788"/>
    <w:rsid w:val="00AE4DED"/>
    <w:rsid w:val="00B32EA4"/>
    <w:rsid w:val="00B42ACF"/>
    <w:rsid w:val="00B46235"/>
    <w:rsid w:val="00B763F4"/>
    <w:rsid w:val="00BB3CF8"/>
    <w:rsid w:val="00BC48D2"/>
    <w:rsid w:val="00C0490D"/>
    <w:rsid w:val="00C226FE"/>
    <w:rsid w:val="00C2723A"/>
    <w:rsid w:val="00C4454C"/>
    <w:rsid w:val="00C509DE"/>
    <w:rsid w:val="00C850CE"/>
    <w:rsid w:val="00C93BE0"/>
    <w:rsid w:val="00CA5563"/>
    <w:rsid w:val="00CB699C"/>
    <w:rsid w:val="00CC2641"/>
    <w:rsid w:val="00CF3A7C"/>
    <w:rsid w:val="00CF57DB"/>
    <w:rsid w:val="00D829D1"/>
    <w:rsid w:val="00DA46A2"/>
    <w:rsid w:val="00DD6CB9"/>
    <w:rsid w:val="00DF5425"/>
    <w:rsid w:val="00E01438"/>
    <w:rsid w:val="00E30E00"/>
    <w:rsid w:val="00E4284E"/>
    <w:rsid w:val="00E55DE4"/>
    <w:rsid w:val="00EA193D"/>
    <w:rsid w:val="00EA79FC"/>
    <w:rsid w:val="00EC5AFC"/>
    <w:rsid w:val="00EF2F28"/>
    <w:rsid w:val="00F22ACA"/>
    <w:rsid w:val="00F315C6"/>
    <w:rsid w:val="00F408D0"/>
    <w:rsid w:val="00F5113E"/>
    <w:rsid w:val="00F63E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A626DB"/>
  <w15:chartTrackingRefBased/>
  <w15:docId w15:val="{A37D77AF-0A0A-46B8-AC0F-0BD12883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E7E"/>
    <w:pPr>
      <w:widowControl w:val="0"/>
      <w:autoSpaceDE w:val="0"/>
      <w:autoSpaceDN w:val="0"/>
      <w:adjustRightInd w:val="0"/>
    </w:pPr>
    <w:rPr>
      <w:rFonts w:ascii="Dutch Roman 12pt" w:hAnsi="Dutch Roman 12pt" w:cs="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0B4E7E"/>
  </w:style>
  <w:style w:type="paragraph" w:styleId="Sprechblasentext">
    <w:name w:val="Balloon Text"/>
    <w:basedOn w:val="Standard"/>
    <w:semiHidden/>
    <w:rsid w:val="00A53FD4"/>
    <w:rPr>
      <w:rFonts w:ascii="Tahoma" w:hAnsi="Tahoma" w:cs="Tahoma"/>
      <w:sz w:val="16"/>
      <w:szCs w:val="16"/>
    </w:rPr>
  </w:style>
  <w:style w:type="character" w:styleId="Kommentarzeichen">
    <w:name w:val="annotation reference"/>
    <w:uiPriority w:val="99"/>
    <w:semiHidden/>
    <w:unhideWhenUsed/>
    <w:rsid w:val="004D184C"/>
    <w:rPr>
      <w:sz w:val="16"/>
      <w:szCs w:val="16"/>
    </w:rPr>
  </w:style>
  <w:style w:type="paragraph" w:styleId="Kommentartext">
    <w:name w:val="annotation text"/>
    <w:basedOn w:val="Standard"/>
    <w:link w:val="KommentartextZchn"/>
    <w:uiPriority w:val="99"/>
    <w:semiHidden/>
    <w:unhideWhenUsed/>
    <w:rsid w:val="004D184C"/>
    <w:rPr>
      <w:sz w:val="20"/>
      <w:szCs w:val="20"/>
    </w:rPr>
  </w:style>
  <w:style w:type="character" w:customStyle="1" w:styleId="KommentartextZchn">
    <w:name w:val="Kommentartext Zchn"/>
    <w:link w:val="Kommentartext"/>
    <w:uiPriority w:val="99"/>
    <w:semiHidden/>
    <w:rsid w:val="004D184C"/>
    <w:rPr>
      <w:rFonts w:ascii="Dutch Roman 12pt" w:hAnsi="Dutch Roman 12pt" w:cs="Arial Narrow"/>
    </w:rPr>
  </w:style>
  <w:style w:type="paragraph" w:styleId="Kommentarthema">
    <w:name w:val="annotation subject"/>
    <w:basedOn w:val="Kommentartext"/>
    <w:next w:val="Kommentartext"/>
    <w:link w:val="KommentarthemaZchn"/>
    <w:uiPriority w:val="99"/>
    <w:semiHidden/>
    <w:unhideWhenUsed/>
    <w:rsid w:val="004D184C"/>
    <w:rPr>
      <w:b/>
      <w:bCs/>
    </w:rPr>
  </w:style>
  <w:style w:type="character" w:customStyle="1" w:styleId="KommentarthemaZchn">
    <w:name w:val="Kommentarthema Zchn"/>
    <w:link w:val="Kommentarthema"/>
    <w:uiPriority w:val="99"/>
    <w:semiHidden/>
    <w:rsid w:val="004D184C"/>
    <w:rPr>
      <w:rFonts w:ascii="Dutch Roman 12pt" w:hAnsi="Dutch Roman 12pt" w:cs="Arial Narrow"/>
      <w:b/>
      <w:bCs/>
    </w:rPr>
  </w:style>
  <w:style w:type="paragraph" w:styleId="berarbeitung">
    <w:name w:val="Revision"/>
    <w:hidden/>
    <w:uiPriority w:val="71"/>
    <w:rsid w:val="00340210"/>
    <w:rPr>
      <w:rFonts w:ascii="Dutch Roman 12pt" w:hAnsi="Dutch Roman 12pt"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1035</Words>
  <Characters>6527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Professor Dr</vt:lpstr>
    </vt:vector>
  </TitlesOfParts>
  <Company>Humboldt-Universität zu Berlin</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Dr</dc:title>
  <dc:subject/>
  <dc:creator>Juristische Fakultät</dc:creator>
  <cp:keywords/>
  <cp:lastModifiedBy>Judith Schult</cp:lastModifiedBy>
  <cp:revision>2</cp:revision>
  <cp:lastPrinted>2020-10-16T11:50:00Z</cp:lastPrinted>
  <dcterms:created xsi:type="dcterms:W3CDTF">2024-10-04T13:03:00Z</dcterms:created>
  <dcterms:modified xsi:type="dcterms:W3CDTF">2024-10-04T13:03:00Z</dcterms:modified>
</cp:coreProperties>
</file>