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F17F" w14:textId="077A4D34" w:rsidR="00653F85" w:rsidRDefault="00653F85" w:rsidP="00B77B6B">
      <w:pPr>
        <w:tabs>
          <w:tab w:val="right" w:pos="10206"/>
        </w:tabs>
        <w:jc w:val="both"/>
        <w:rPr>
          <w:b/>
          <w:spacing w:val="-3"/>
        </w:rPr>
      </w:pPr>
      <w:r>
        <w:rPr>
          <w:b/>
          <w:spacing w:val="-3"/>
        </w:rPr>
        <w:t xml:space="preserve">Prof. Dr. </w:t>
      </w:r>
      <w:r w:rsidR="00232933">
        <w:rPr>
          <w:b/>
          <w:spacing w:val="-3"/>
        </w:rPr>
        <w:t xml:space="preserve">Dr. h.c. </w:t>
      </w:r>
      <w:r>
        <w:rPr>
          <w:b/>
          <w:spacing w:val="-3"/>
        </w:rPr>
        <w:t>Bernd Heinrich/</w:t>
      </w:r>
      <w:r w:rsidR="006F7935">
        <w:rPr>
          <w:b/>
          <w:spacing w:val="-3"/>
        </w:rPr>
        <w:t>P</w:t>
      </w:r>
      <w:r w:rsidR="00BE2BC4">
        <w:rPr>
          <w:b/>
          <w:spacing w:val="-3"/>
        </w:rPr>
        <w:t>rof.</w:t>
      </w:r>
      <w:r w:rsidR="006F7935">
        <w:rPr>
          <w:b/>
          <w:spacing w:val="-3"/>
        </w:rPr>
        <w:t xml:space="preserve"> </w:t>
      </w:r>
      <w:r>
        <w:rPr>
          <w:b/>
          <w:spacing w:val="-3"/>
        </w:rPr>
        <w:t>Dr. Tobias Reinbacher</w:t>
      </w:r>
      <w:r>
        <w:rPr>
          <w:b/>
          <w:spacing w:val="-3"/>
        </w:rPr>
        <w:tab/>
        <w:t xml:space="preserve">Stand: 1. </w:t>
      </w:r>
      <w:r w:rsidR="00A870FC">
        <w:rPr>
          <w:b/>
          <w:spacing w:val="-3"/>
        </w:rPr>
        <w:t>Oktober</w:t>
      </w:r>
      <w:r w:rsidR="00DD18F0">
        <w:rPr>
          <w:b/>
          <w:spacing w:val="-3"/>
        </w:rPr>
        <w:t xml:space="preserve"> </w:t>
      </w:r>
      <w:r w:rsidR="00005B29">
        <w:rPr>
          <w:b/>
          <w:spacing w:val="-3"/>
        </w:rPr>
        <w:t>202</w:t>
      </w:r>
      <w:r w:rsidR="00594FFD">
        <w:rPr>
          <w:b/>
          <w:spacing w:val="-3"/>
        </w:rPr>
        <w:t>4</w:t>
      </w:r>
    </w:p>
    <w:p w14:paraId="692A6EE6" w14:textId="77777777" w:rsidR="00B77B6B" w:rsidRPr="00B77B6B" w:rsidRDefault="00B77B6B" w:rsidP="00B77B6B">
      <w:pPr>
        <w:tabs>
          <w:tab w:val="right" w:pos="10206"/>
        </w:tabs>
        <w:jc w:val="both"/>
        <w:rPr>
          <w:b/>
          <w:spacing w:val="-3"/>
        </w:rPr>
      </w:pPr>
    </w:p>
    <w:p w14:paraId="1BED5EA0" w14:textId="08A8351D" w:rsidR="00653F85" w:rsidRDefault="00653F85" w:rsidP="00653F85">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594FFD">
        <w:rPr>
          <w:b/>
          <w:spacing w:val="-3"/>
        </w:rPr>
        <w:t> </w:t>
      </w:r>
      <w:r>
        <w:rPr>
          <w:b/>
          <w:spacing w:val="-3"/>
        </w:rPr>
        <w:t>4</w:t>
      </w:r>
    </w:p>
    <w:p w14:paraId="7C53D745" w14:textId="77777777" w:rsidR="00653F85" w:rsidRDefault="00653F85" w:rsidP="00653F85">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60"/>
        </w:rPr>
      </w:pPr>
      <w:r>
        <w:rPr>
          <w:b/>
          <w:spacing w:val="-7"/>
          <w:sz w:val="60"/>
        </w:rPr>
        <w:t>Das Hauptverfahren</w:t>
      </w:r>
    </w:p>
    <w:p w14:paraId="37766648" w14:textId="77777777" w:rsidR="00653F85" w:rsidRDefault="00653F85">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0945B7">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5B7462">
        <w:rPr>
          <w:rFonts w:ascii="Times New Roman" w:hAnsi="Times New Roman"/>
          <w:noProof/>
          <w:vanish/>
          <w:spacing w:val="-7"/>
          <w:sz w:val="60"/>
        </w:rPr>
        <w:t>1</w:t>
      </w:r>
      <w:r>
        <w:rPr>
          <w:rFonts w:ascii="Times New Roman" w:hAnsi="Times New Roman"/>
          <w:vanish/>
          <w:spacing w:val="-7"/>
          <w:sz w:val="60"/>
        </w:rPr>
        <w:fldChar w:fldCharType="end"/>
      </w:r>
    </w:p>
    <w:p w14:paraId="543EA781" w14:textId="05CCFEB0" w:rsidR="00653F85" w:rsidRPr="003D4379" w:rsidRDefault="00653F85" w:rsidP="00653F85">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7"/>
          <w:szCs w:val="17"/>
        </w:rPr>
      </w:pPr>
      <w:r w:rsidRPr="003D4379">
        <w:rPr>
          <w:rFonts w:ascii="Times New Roman" w:hAnsi="Times New Roman"/>
          <w:b/>
          <w:spacing w:val="-2"/>
          <w:sz w:val="17"/>
          <w:szCs w:val="17"/>
        </w:rPr>
        <w:t xml:space="preserve">I. </w:t>
      </w:r>
      <w:r w:rsidRPr="003D4379">
        <w:rPr>
          <w:rFonts w:ascii="Times New Roman" w:hAnsi="Times New Roman"/>
          <w:b/>
          <w:spacing w:val="-2"/>
          <w:sz w:val="17"/>
          <w:szCs w:val="17"/>
        </w:rPr>
        <w:tab/>
        <w:t>Allgemeines:</w:t>
      </w:r>
      <w:r w:rsidRPr="003D4379">
        <w:rPr>
          <w:rFonts w:ascii="Times New Roman" w:hAnsi="Times New Roman"/>
          <w:spacing w:val="-2"/>
          <w:sz w:val="17"/>
          <w:szCs w:val="17"/>
        </w:rPr>
        <w:t xml:space="preserve"> Im Hauptverfahren wird die mündliche Hauptverhandlung vor dem erkennenden Gericht durchgeführt. Sie ist für den Angeklagten besonders belastend, da sie regelmäßig öffentlich stattfindet. Sie ist daher besonderen rechtsstaatlichen Grundsätzen unterworfen, viele der Maximen des Strafprozesses entfalten erst hier ihre besondere Bedeutung, wie etwa Mündlichkeitsprinzip, Unmittelbarkeitsgrundsatz, Grundsatz der freien richterlichen Beweiswürdigung, Unschuldsvermutung, fair-trial-Prinzip etc. (vgl. zu den Prozessmaximen Arbeitsblatt Nr.</w:t>
      </w:r>
      <w:r w:rsidR="008250C3">
        <w:rPr>
          <w:rFonts w:ascii="Times New Roman" w:hAnsi="Times New Roman"/>
          <w:spacing w:val="-2"/>
          <w:sz w:val="17"/>
          <w:szCs w:val="17"/>
        </w:rPr>
        <w:t> </w:t>
      </w:r>
      <w:r w:rsidRPr="003D4379">
        <w:rPr>
          <w:rFonts w:ascii="Times New Roman" w:hAnsi="Times New Roman"/>
          <w:spacing w:val="-2"/>
          <w:sz w:val="17"/>
          <w:szCs w:val="17"/>
        </w:rPr>
        <w:t xml:space="preserve">5). Insbesondere das Mündlichkeitsprinzip, § 261 StPO, und der Öffentlichkeitsgrundsatz, § 169 GVG, prägen die Hauptverhandlung: Das Urteil darf nur auf Tatsachen beruhen, die in der Hauptverhandlung mündlich </w:t>
      </w:r>
      <w:r w:rsidR="00E11F1A" w:rsidRPr="003D4379">
        <w:rPr>
          <w:rFonts w:ascii="Times New Roman" w:hAnsi="Times New Roman"/>
          <w:spacing w:val="-2"/>
          <w:sz w:val="17"/>
          <w:szCs w:val="17"/>
        </w:rPr>
        <w:t xml:space="preserve">erörtert </w:t>
      </w:r>
      <w:r w:rsidRPr="003D4379">
        <w:rPr>
          <w:rFonts w:ascii="Times New Roman" w:hAnsi="Times New Roman"/>
          <w:spacing w:val="-2"/>
          <w:sz w:val="17"/>
          <w:szCs w:val="17"/>
        </w:rPr>
        <w:t xml:space="preserve">wurden, sodass sich sowohl das Gericht als auch die Öffentlichkeit ein direktes Bild vom Tathergang sowie von Schuld oder Unschuld des Angeklagten machen können. Selbst Urkunden sind in der Regel zu verlesen, § 249 StPO. Der Grundsatz der Öffentlichkeit besagt ferner, dass </w:t>
      </w:r>
      <w:proofErr w:type="spellStart"/>
      <w:r w:rsidRPr="003D4379">
        <w:rPr>
          <w:rFonts w:ascii="Times New Roman" w:hAnsi="Times New Roman"/>
          <w:spacing w:val="-2"/>
          <w:sz w:val="17"/>
          <w:szCs w:val="17"/>
        </w:rPr>
        <w:t>grds</w:t>
      </w:r>
      <w:proofErr w:type="spellEnd"/>
      <w:r w:rsidRPr="003D4379">
        <w:rPr>
          <w:rFonts w:ascii="Times New Roman" w:hAnsi="Times New Roman"/>
          <w:spacing w:val="-2"/>
          <w:sz w:val="17"/>
          <w:szCs w:val="17"/>
        </w:rPr>
        <w:t xml:space="preserve">. jeder </w:t>
      </w:r>
      <w:r w:rsidR="007F2E0F">
        <w:rPr>
          <w:rFonts w:ascii="Times New Roman" w:hAnsi="Times New Roman"/>
          <w:spacing w:val="-2"/>
          <w:sz w:val="17"/>
          <w:szCs w:val="17"/>
        </w:rPr>
        <w:t>bei</w:t>
      </w:r>
      <w:r w:rsidRPr="003D4379">
        <w:rPr>
          <w:rFonts w:ascii="Times New Roman" w:hAnsi="Times New Roman"/>
          <w:spacing w:val="-2"/>
          <w:sz w:val="17"/>
          <w:szCs w:val="17"/>
        </w:rPr>
        <w:t xml:space="preserve"> einer Hauptverhandlung als Zuschauer anwesend sein darf. Einschränkungen sind nur aus besonders gewichtigen Gründen, wie etwa zum Schutz der Intimsphäre der Zeugen, zulässig, §§ 169 </w:t>
      </w:r>
      <w:r w:rsidR="00594FFD">
        <w:rPr>
          <w:rFonts w:ascii="Times New Roman" w:hAnsi="Times New Roman"/>
          <w:spacing w:val="-2"/>
          <w:sz w:val="17"/>
          <w:szCs w:val="17"/>
        </w:rPr>
        <w:t>I</w:t>
      </w:r>
      <w:r w:rsidRPr="003D4379">
        <w:rPr>
          <w:rFonts w:ascii="Times New Roman" w:hAnsi="Times New Roman"/>
          <w:spacing w:val="-2"/>
          <w:sz w:val="17"/>
          <w:szCs w:val="17"/>
        </w:rPr>
        <w:t xml:space="preserve"> 2, 170 ff. GVG. Seinen Abschluss findet das Hauptverfahren in der Regel durch Einstellung oder durch ein richterliches Urteil, wobei letzteres natürlich auch einen Freispruch beinhalten kann, bzw. bei bestehenden Zweifeln des Gerichts an der Strafbarkeit, auch muss. </w:t>
      </w:r>
      <w:r w:rsidRPr="003D4379">
        <w:rPr>
          <w:rFonts w:ascii="Times New Roman" w:hAnsi="Times New Roman"/>
          <w:b/>
          <w:spacing w:val="-2"/>
          <w:sz w:val="17"/>
          <w:szCs w:val="17"/>
        </w:rPr>
        <w:t>Beachte</w:t>
      </w:r>
      <w:r w:rsidRPr="003D4379">
        <w:rPr>
          <w:rFonts w:ascii="Times New Roman" w:hAnsi="Times New Roman"/>
          <w:spacing w:val="-2"/>
          <w:sz w:val="17"/>
          <w:szCs w:val="17"/>
        </w:rPr>
        <w:t xml:space="preserve">: Im Hauptverfahren erhält der Angeschuldigte </w:t>
      </w:r>
      <w:r w:rsidR="00C946F0">
        <w:rPr>
          <w:rFonts w:ascii="Times New Roman" w:hAnsi="Times New Roman"/>
          <w:spacing w:val="-2"/>
          <w:sz w:val="17"/>
          <w:szCs w:val="17"/>
        </w:rPr>
        <w:t>gem. §</w:t>
      </w:r>
      <w:r w:rsidR="008250C3">
        <w:rPr>
          <w:rFonts w:ascii="Times New Roman" w:hAnsi="Times New Roman"/>
          <w:spacing w:val="-2"/>
          <w:sz w:val="17"/>
          <w:szCs w:val="17"/>
        </w:rPr>
        <w:t> </w:t>
      </w:r>
      <w:r w:rsidR="00C946F0">
        <w:rPr>
          <w:rFonts w:ascii="Times New Roman" w:hAnsi="Times New Roman"/>
          <w:spacing w:val="-2"/>
          <w:sz w:val="17"/>
          <w:szCs w:val="17"/>
        </w:rPr>
        <w:t xml:space="preserve">157 StPO </w:t>
      </w:r>
      <w:r w:rsidRPr="003D4379">
        <w:rPr>
          <w:rFonts w:ascii="Times New Roman" w:hAnsi="Times New Roman"/>
          <w:spacing w:val="-2"/>
          <w:sz w:val="17"/>
          <w:szCs w:val="17"/>
        </w:rPr>
        <w:t xml:space="preserve">die Bezeichnung </w:t>
      </w:r>
      <w:r w:rsidRPr="003D4379">
        <w:rPr>
          <w:rFonts w:ascii="Times New Roman" w:hAnsi="Times New Roman"/>
          <w:b/>
          <w:spacing w:val="-2"/>
          <w:sz w:val="17"/>
          <w:szCs w:val="17"/>
        </w:rPr>
        <w:t>Angeklagter</w:t>
      </w:r>
      <w:r w:rsidR="00B77B6B" w:rsidRPr="003D4379">
        <w:rPr>
          <w:rFonts w:ascii="Times New Roman" w:hAnsi="Times New Roman"/>
          <w:spacing w:val="-2"/>
          <w:sz w:val="17"/>
          <w:szCs w:val="17"/>
        </w:rPr>
        <w:t xml:space="preserve">. </w:t>
      </w:r>
      <w:r w:rsidRPr="003D4379">
        <w:rPr>
          <w:rFonts w:ascii="Times New Roman" w:hAnsi="Times New Roman"/>
          <w:spacing w:val="-2"/>
          <w:sz w:val="17"/>
          <w:szCs w:val="17"/>
        </w:rPr>
        <w:t xml:space="preserve">Er muss </w:t>
      </w:r>
      <w:proofErr w:type="spellStart"/>
      <w:r w:rsidRPr="003D4379">
        <w:rPr>
          <w:rFonts w:ascii="Times New Roman" w:hAnsi="Times New Roman"/>
          <w:spacing w:val="-2"/>
          <w:sz w:val="17"/>
          <w:szCs w:val="17"/>
        </w:rPr>
        <w:t>grds</w:t>
      </w:r>
      <w:proofErr w:type="spellEnd"/>
      <w:r w:rsidRPr="003D4379">
        <w:rPr>
          <w:rFonts w:ascii="Times New Roman" w:hAnsi="Times New Roman"/>
          <w:spacing w:val="-2"/>
          <w:sz w:val="17"/>
          <w:szCs w:val="17"/>
        </w:rPr>
        <w:t>. während der Hauptverhandlung anwesend sein, § 230 </w:t>
      </w:r>
      <w:r w:rsidR="00594FFD">
        <w:rPr>
          <w:rFonts w:ascii="Times New Roman" w:hAnsi="Times New Roman"/>
          <w:spacing w:val="-2"/>
          <w:sz w:val="17"/>
          <w:szCs w:val="17"/>
        </w:rPr>
        <w:t xml:space="preserve">I </w:t>
      </w:r>
      <w:r w:rsidRPr="003D4379">
        <w:rPr>
          <w:rFonts w:ascii="Times New Roman" w:hAnsi="Times New Roman"/>
          <w:spacing w:val="-2"/>
          <w:sz w:val="17"/>
          <w:szCs w:val="17"/>
        </w:rPr>
        <w:t>StPO. Es bestehen indes einige Ausnahmen, insb. § 247 StPO.</w:t>
      </w:r>
    </w:p>
    <w:p w14:paraId="02ACE76B" w14:textId="7FF3ECA5" w:rsidR="00653F85" w:rsidRPr="003D4379" w:rsidRDefault="00653F85" w:rsidP="00653F85">
      <w:pPr>
        <w:widowControl/>
        <w:tabs>
          <w:tab w:val="left" w:pos="-720"/>
          <w:tab w:val="left" w:pos="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7"/>
          <w:szCs w:val="17"/>
        </w:rPr>
      </w:pPr>
      <w:r w:rsidRPr="003D4379">
        <w:rPr>
          <w:rFonts w:ascii="Times New Roman" w:hAnsi="Times New Roman"/>
          <w:b/>
          <w:spacing w:val="-2"/>
          <w:sz w:val="17"/>
          <w:szCs w:val="17"/>
        </w:rPr>
        <w:t xml:space="preserve">II. </w:t>
      </w:r>
      <w:r w:rsidRPr="003D4379">
        <w:rPr>
          <w:rFonts w:ascii="Times New Roman" w:hAnsi="Times New Roman"/>
          <w:b/>
          <w:spacing w:val="-2"/>
          <w:sz w:val="17"/>
          <w:szCs w:val="17"/>
        </w:rPr>
        <w:tab/>
        <w:t>Vorbereitung:</w:t>
      </w:r>
      <w:r w:rsidRPr="003D4379">
        <w:rPr>
          <w:rFonts w:ascii="Times New Roman" w:hAnsi="Times New Roman"/>
          <w:spacing w:val="-2"/>
          <w:sz w:val="17"/>
          <w:szCs w:val="17"/>
        </w:rPr>
        <w:t xml:space="preserve"> Das Gericht trifft vor der eigentlichen Hauptverhandlung und zur Ermöglichung derselben einige Vorbereitungsmaßnahmen, welche in der Regel dem Vorsitzenden obliegen, §§ 213 ff. StPO. Zunächst bestimmt das Gericht einen Verhandlungstermin, § 213 StPO. Zu diesem lädt es die Beteiligten, § 214 StPO, unter Beachtung der Ladungsfrist von mindestens einer Woche</w:t>
      </w:r>
      <w:r w:rsidR="00C351DF">
        <w:rPr>
          <w:rFonts w:ascii="Times New Roman" w:hAnsi="Times New Roman"/>
          <w:spacing w:val="-2"/>
          <w:sz w:val="17"/>
          <w:szCs w:val="17"/>
        </w:rPr>
        <w:t xml:space="preserve"> zwischen Ladungszustellung und Hauptverhandlung</w:t>
      </w:r>
      <w:r w:rsidRPr="003D4379">
        <w:rPr>
          <w:rFonts w:ascii="Times New Roman" w:hAnsi="Times New Roman"/>
          <w:spacing w:val="-2"/>
          <w:sz w:val="17"/>
          <w:szCs w:val="17"/>
        </w:rPr>
        <w:t>, § 217</w:t>
      </w:r>
      <w:r w:rsidR="00C351DF">
        <w:rPr>
          <w:rFonts w:ascii="Times New Roman" w:hAnsi="Times New Roman"/>
          <w:spacing w:val="-2"/>
          <w:sz w:val="17"/>
          <w:szCs w:val="17"/>
        </w:rPr>
        <w:t xml:space="preserve"> I</w:t>
      </w:r>
      <w:r w:rsidRPr="003D4379">
        <w:rPr>
          <w:rFonts w:ascii="Times New Roman" w:hAnsi="Times New Roman"/>
          <w:spacing w:val="-2"/>
          <w:sz w:val="17"/>
          <w:szCs w:val="17"/>
        </w:rPr>
        <w:t> StPO. Dem Angeklagten ist zusätzlich der Eröffnungsbeschluss zuzustellen</w:t>
      </w:r>
      <w:r w:rsidR="00594FFD">
        <w:rPr>
          <w:rFonts w:ascii="Times New Roman" w:hAnsi="Times New Roman"/>
          <w:spacing w:val="-2"/>
          <w:sz w:val="17"/>
          <w:szCs w:val="17"/>
        </w:rPr>
        <w:t>, § 215 S. 1 StPO</w:t>
      </w:r>
      <w:r w:rsidRPr="003D4379">
        <w:rPr>
          <w:rFonts w:ascii="Times New Roman" w:hAnsi="Times New Roman"/>
          <w:spacing w:val="-2"/>
          <w:sz w:val="17"/>
          <w:szCs w:val="17"/>
        </w:rPr>
        <w:t xml:space="preserve">. Unter Umständen muss das Gericht den Termin verlegen, wenn etwa ein Verteidiger nicht erscheinen kann. Die zu ladenden Zeugen und Sachverständigen wurden bereits in der Anklageschrift bezeichnet. Der StA steht daneben aber auch das Recht zur Ladung weiterer Personen zu, § 214 III StPO. Die Zeugen und Sachverständigen der StA sind dem Angeklagten rechtzeitig namhaft zu machen. Auch der Angeklagte kann die Ladung von Zeugen und/oder Sachverständigen veranlassen, §§ 219 f. StPO. Über entsprechende Anträge entscheidet der/die Vorsitzende durch Verfügung. Wichtig ist in diesem Verfahrensstadium aber auch die Durchführung einzelner vorgezogener Maßnahmen zur Beweiserhebung. So kann das Gericht bereits jetzt Zeugen oder Sachverständige vernehmen, wenn diese aus besonderen Gründen, wie z.B. wegen schwerer Krankheit, an der Hauptverhandlung nicht teilnehmen können, § 223 StPO. Das Gleiche gilt für eine richterliche </w:t>
      </w:r>
      <w:r w:rsidR="00B77B6B" w:rsidRPr="003D4379">
        <w:rPr>
          <w:rFonts w:ascii="Times New Roman" w:hAnsi="Times New Roman"/>
          <w:spacing w:val="-2"/>
          <w:sz w:val="17"/>
          <w:szCs w:val="17"/>
        </w:rPr>
        <w:t xml:space="preserve">Inaugenscheinnahme </w:t>
      </w:r>
      <w:r w:rsidRPr="003D4379">
        <w:rPr>
          <w:rFonts w:ascii="Times New Roman" w:hAnsi="Times New Roman"/>
          <w:spacing w:val="-2"/>
          <w:sz w:val="17"/>
          <w:szCs w:val="17"/>
        </w:rPr>
        <w:t>von Beweismitteln, § 225 StPO.</w:t>
      </w:r>
    </w:p>
    <w:p w14:paraId="3E36A865" w14:textId="1CE9EA4F" w:rsidR="00653F85" w:rsidRPr="003D4379" w:rsidRDefault="00653F85" w:rsidP="00653F85">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b/>
          <w:spacing w:val="-2"/>
          <w:sz w:val="17"/>
          <w:szCs w:val="17"/>
        </w:rPr>
      </w:pPr>
      <w:r w:rsidRPr="003D4379">
        <w:rPr>
          <w:rFonts w:ascii="Times New Roman" w:hAnsi="Times New Roman"/>
          <w:b/>
          <w:spacing w:val="-2"/>
          <w:sz w:val="17"/>
          <w:szCs w:val="17"/>
        </w:rPr>
        <w:t>III. Ablauf der Hauptverhandlung:</w:t>
      </w:r>
      <w:r w:rsidRPr="003D4379">
        <w:rPr>
          <w:rFonts w:ascii="Times New Roman" w:hAnsi="Times New Roman"/>
          <w:spacing w:val="-2"/>
          <w:sz w:val="17"/>
          <w:szCs w:val="17"/>
        </w:rPr>
        <w:t xml:space="preserve"> Der Gang der Hauptverhandlung ist in den §§ 243 ff. StPO genau festgelegt.</w:t>
      </w:r>
    </w:p>
    <w:p w14:paraId="51E71132" w14:textId="652C3ED0" w:rsidR="00653F85" w:rsidRPr="003D4379" w:rsidRDefault="00653F85" w:rsidP="00653F85">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7"/>
          <w:szCs w:val="17"/>
        </w:rPr>
      </w:pPr>
      <w:r w:rsidRPr="003D4379">
        <w:rPr>
          <w:rFonts w:ascii="Times New Roman" w:hAnsi="Times New Roman"/>
          <w:spacing w:val="-2"/>
          <w:sz w:val="17"/>
          <w:szCs w:val="17"/>
        </w:rPr>
        <w:tab/>
      </w:r>
      <w:r w:rsidRPr="003D4379">
        <w:rPr>
          <w:rFonts w:ascii="Times New Roman" w:hAnsi="Times New Roman"/>
          <w:spacing w:val="-2"/>
          <w:sz w:val="17"/>
          <w:szCs w:val="17"/>
          <w:u w:val="single"/>
        </w:rPr>
        <w:t xml:space="preserve">1. </w:t>
      </w:r>
      <w:r w:rsidRPr="003D4379">
        <w:rPr>
          <w:rFonts w:ascii="Times New Roman" w:hAnsi="Times New Roman"/>
          <w:spacing w:val="-2"/>
          <w:sz w:val="17"/>
          <w:szCs w:val="17"/>
          <w:u w:val="single"/>
        </w:rPr>
        <w:tab/>
        <w:t>Aufruf zur Sache:</w:t>
      </w:r>
      <w:r w:rsidRPr="003D4379">
        <w:rPr>
          <w:rFonts w:ascii="Times New Roman" w:hAnsi="Times New Roman"/>
          <w:spacing w:val="-2"/>
          <w:sz w:val="17"/>
          <w:szCs w:val="17"/>
        </w:rPr>
        <w:t xml:space="preserve"> Sie beginnt mit dem Aufruf zur Sache sowie der Feststellung der Anwesenheit des Angeklagten, Zeugen und Sachverständigen, §</w:t>
      </w:r>
      <w:r w:rsidR="00D606DB">
        <w:rPr>
          <w:rFonts w:ascii="Times New Roman" w:hAnsi="Times New Roman"/>
          <w:spacing w:val="-2"/>
          <w:sz w:val="17"/>
          <w:szCs w:val="17"/>
        </w:rPr>
        <w:t> </w:t>
      </w:r>
      <w:r w:rsidRPr="003D4379">
        <w:rPr>
          <w:rFonts w:ascii="Times New Roman" w:hAnsi="Times New Roman"/>
          <w:spacing w:val="-2"/>
          <w:sz w:val="17"/>
          <w:szCs w:val="17"/>
        </w:rPr>
        <w:t xml:space="preserve">243 I StPO. Nach ihrer Belehrung verlassen die Zeugen den Sitzungssaal, § 243 II 1 StPO. </w:t>
      </w:r>
      <w:r w:rsidR="00D606DB">
        <w:rPr>
          <w:rFonts w:ascii="Times New Roman" w:hAnsi="Times New Roman"/>
          <w:spacing w:val="-2"/>
          <w:sz w:val="17"/>
          <w:szCs w:val="17"/>
        </w:rPr>
        <w:t>Über die Anwesenheit der Sachverständigen entscheidet der Vorsitzende nach freiem Ermessen.</w:t>
      </w:r>
    </w:p>
    <w:p w14:paraId="288B883A" w14:textId="77777777" w:rsidR="00653F85" w:rsidRPr="003D4379" w:rsidRDefault="00653F85" w:rsidP="00653F85">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7"/>
          <w:szCs w:val="17"/>
        </w:rPr>
      </w:pPr>
      <w:r w:rsidRPr="003D4379">
        <w:rPr>
          <w:rFonts w:ascii="Times New Roman" w:hAnsi="Times New Roman"/>
          <w:spacing w:val="-2"/>
          <w:sz w:val="17"/>
          <w:szCs w:val="17"/>
        </w:rPr>
        <w:tab/>
      </w:r>
      <w:r w:rsidRPr="003D4379">
        <w:rPr>
          <w:rFonts w:ascii="Times New Roman" w:hAnsi="Times New Roman"/>
          <w:spacing w:val="-2"/>
          <w:sz w:val="17"/>
          <w:szCs w:val="17"/>
          <w:u w:val="single"/>
        </w:rPr>
        <w:t xml:space="preserve">2. </w:t>
      </w:r>
      <w:r w:rsidRPr="003D4379">
        <w:rPr>
          <w:rFonts w:ascii="Times New Roman" w:hAnsi="Times New Roman"/>
          <w:spacing w:val="-2"/>
          <w:sz w:val="17"/>
          <w:szCs w:val="17"/>
          <w:u w:val="single"/>
        </w:rPr>
        <w:tab/>
        <w:t>Vernehmung des Angeklagten zur Person:</w:t>
      </w:r>
      <w:r w:rsidRPr="003D4379">
        <w:rPr>
          <w:rFonts w:ascii="Times New Roman" w:hAnsi="Times New Roman"/>
          <w:spacing w:val="-2"/>
          <w:sz w:val="17"/>
          <w:szCs w:val="17"/>
        </w:rPr>
        <w:t xml:space="preserve"> Als zweites erfolgt die Vernehmung des Angeklagten zur Person, § 243 II </w:t>
      </w:r>
      <w:r w:rsidR="008D3C61" w:rsidRPr="003D4379">
        <w:rPr>
          <w:rFonts w:ascii="Times New Roman" w:hAnsi="Times New Roman"/>
          <w:spacing w:val="-2"/>
          <w:sz w:val="17"/>
          <w:szCs w:val="17"/>
        </w:rPr>
        <w:t>2</w:t>
      </w:r>
      <w:r w:rsidRPr="003D4379">
        <w:rPr>
          <w:rFonts w:ascii="Times New Roman" w:hAnsi="Times New Roman"/>
          <w:spacing w:val="-2"/>
          <w:sz w:val="17"/>
          <w:szCs w:val="17"/>
        </w:rPr>
        <w:t xml:space="preserve"> StPO. Wichtiges </w:t>
      </w:r>
      <w:r w:rsidRPr="003D4379">
        <w:rPr>
          <w:rFonts w:ascii="Times New Roman" w:hAnsi="Times New Roman"/>
          <w:b/>
          <w:spacing w:val="-2"/>
          <w:sz w:val="17"/>
          <w:szCs w:val="17"/>
        </w:rPr>
        <w:t>Problem</w:t>
      </w:r>
      <w:r w:rsidRPr="003D4379">
        <w:rPr>
          <w:rFonts w:ascii="Times New Roman" w:hAnsi="Times New Roman"/>
          <w:spacing w:val="-2"/>
          <w:sz w:val="17"/>
          <w:szCs w:val="17"/>
        </w:rPr>
        <w:t xml:space="preserve">: Nach </w:t>
      </w:r>
      <w:r w:rsidR="00494BB3" w:rsidRPr="003D4379">
        <w:rPr>
          <w:rFonts w:ascii="Times New Roman" w:hAnsi="Times New Roman"/>
          <w:spacing w:val="-2"/>
          <w:sz w:val="17"/>
          <w:szCs w:val="17"/>
        </w:rPr>
        <w:t>h.</w:t>
      </w:r>
      <w:r w:rsidR="002206D5" w:rsidRPr="003D4379">
        <w:rPr>
          <w:rFonts w:ascii="Times New Roman" w:hAnsi="Times New Roman"/>
          <w:spacing w:val="-2"/>
          <w:sz w:val="17"/>
          <w:szCs w:val="17"/>
        </w:rPr>
        <w:t>M.</w:t>
      </w:r>
      <w:r w:rsidRPr="003D4379">
        <w:rPr>
          <w:rFonts w:ascii="Times New Roman" w:hAnsi="Times New Roman"/>
          <w:spacing w:val="-2"/>
          <w:sz w:val="17"/>
          <w:szCs w:val="17"/>
        </w:rPr>
        <w:t xml:space="preserve"> dürfen hier keine Fragen gestellt werden, die Einfluss auf die Urteilsfindung</w:t>
      </w:r>
      <w:r w:rsidR="002206D5" w:rsidRPr="003D4379">
        <w:rPr>
          <w:rFonts w:ascii="Times New Roman" w:hAnsi="Times New Roman"/>
          <w:spacing w:val="-2"/>
          <w:sz w:val="17"/>
          <w:szCs w:val="17"/>
        </w:rPr>
        <w:t xml:space="preserve"> </w:t>
      </w:r>
      <w:r w:rsidRPr="003D4379">
        <w:rPr>
          <w:rFonts w:ascii="Times New Roman" w:hAnsi="Times New Roman"/>
          <w:spacing w:val="-2"/>
          <w:sz w:val="17"/>
          <w:szCs w:val="17"/>
        </w:rPr>
        <w:t xml:space="preserve">haben können, also der Sache dienen </w:t>
      </w:r>
      <w:r w:rsidR="002206D5" w:rsidRPr="003D4379">
        <w:rPr>
          <w:rFonts w:ascii="Times New Roman" w:hAnsi="Times New Roman"/>
          <w:spacing w:val="-2"/>
          <w:sz w:val="17"/>
          <w:szCs w:val="17"/>
        </w:rPr>
        <w:t>(insbesondere bzgl. der Strafzumessung)</w:t>
      </w:r>
      <w:r w:rsidR="00494BB3" w:rsidRPr="003D4379">
        <w:rPr>
          <w:rFonts w:ascii="Times New Roman" w:hAnsi="Times New Roman"/>
          <w:spacing w:val="-2"/>
          <w:sz w:val="17"/>
          <w:szCs w:val="17"/>
        </w:rPr>
        <w:t>,</w:t>
      </w:r>
      <w:r w:rsidR="002206D5" w:rsidRPr="003D4379">
        <w:rPr>
          <w:rFonts w:ascii="Times New Roman" w:hAnsi="Times New Roman"/>
          <w:spacing w:val="-2"/>
          <w:sz w:val="17"/>
          <w:szCs w:val="17"/>
        </w:rPr>
        <w:t xml:space="preserve"> </w:t>
      </w:r>
      <w:r w:rsidRPr="003D4379">
        <w:rPr>
          <w:rFonts w:ascii="Times New Roman" w:hAnsi="Times New Roman"/>
          <w:spacing w:val="-2"/>
          <w:sz w:val="17"/>
          <w:szCs w:val="17"/>
        </w:rPr>
        <w:t>wie etwa Fragen nach dem Vorleben oder den Vermögensverhältnissen (</w:t>
      </w:r>
      <w:proofErr w:type="spellStart"/>
      <w:r w:rsidRPr="003D4379">
        <w:rPr>
          <w:rFonts w:ascii="Times New Roman" w:hAnsi="Times New Roman"/>
          <w:spacing w:val="-2"/>
          <w:sz w:val="17"/>
          <w:szCs w:val="17"/>
        </w:rPr>
        <w:t>str.</w:t>
      </w:r>
      <w:proofErr w:type="spellEnd"/>
      <w:r w:rsidRPr="003D4379">
        <w:rPr>
          <w:rFonts w:ascii="Times New Roman" w:hAnsi="Times New Roman"/>
          <w:spacing w:val="-2"/>
          <w:sz w:val="17"/>
          <w:szCs w:val="17"/>
        </w:rPr>
        <w:t>), wenngleich Letzteres in der Praxis aber sehr häufig vorkommt.</w:t>
      </w:r>
    </w:p>
    <w:p w14:paraId="0BF5E37A" w14:textId="2B2DE9FC" w:rsidR="00653F85" w:rsidRPr="003D4379" w:rsidRDefault="00653F85" w:rsidP="00653F85">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7"/>
          <w:szCs w:val="17"/>
          <w:u w:val="single"/>
        </w:rPr>
      </w:pPr>
      <w:r w:rsidRPr="003D4379">
        <w:rPr>
          <w:rFonts w:ascii="Times New Roman" w:hAnsi="Times New Roman"/>
          <w:spacing w:val="-2"/>
          <w:sz w:val="17"/>
          <w:szCs w:val="17"/>
        </w:rPr>
        <w:tab/>
      </w:r>
      <w:r w:rsidRPr="003D4379">
        <w:rPr>
          <w:rFonts w:ascii="Times New Roman" w:hAnsi="Times New Roman"/>
          <w:spacing w:val="-2"/>
          <w:sz w:val="17"/>
          <w:szCs w:val="17"/>
          <w:u w:val="single"/>
        </w:rPr>
        <w:t xml:space="preserve">3. </w:t>
      </w:r>
      <w:r w:rsidRPr="003D4379">
        <w:rPr>
          <w:rFonts w:ascii="Times New Roman" w:hAnsi="Times New Roman"/>
          <w:spacing w:val="-2"/>
          <w:sz w:val="17"/>
          <w:szCs w:val="17"/>
          <w:u w:val="single"/>
        </w:rPr>
        <w:tab/>
        <w:t>Verlesung des Anklagesatzes:</w:t>
      </w:r>
      <w:r w:rsidRPr="003D4379">
        <w:rPr>
          <w:rFonts w:ascii="Times New Roman" w:hAnsi="Times New Roman"/>
          <w:spacing w:val="-2"/>
          <w:sz w:val="17"/>
          <w:szCs w:val="17"/>
        </w:rPr>
        <w:t xml:space="preserve"> Als nächstes verliest der</w:t>
      </w:r>
      <w:r w:rsidR="006B10A9">
        <w:rPr>
          <w:rFonts w:ascii="Times New Roman" w:hAnsi="Times New Roman"/>
          <w:spacing w:val="-2"/>
          <w:sz w:val="17"/>
          <w:szCs w:val="17"/>
        </w:rPr>
        <w:t xml:space="preserve"> Staatsanwalt</w:t>
      </w:r>
      <w:r w:rsidRPr="003D4379">
        <w:rPr>
          <w:rFonts w:ascii="Times New Roman" w:hAnsi="Times New Roman"/>
          <w:spacing w:val="-2"/>
          <w:sz w:val="17"/>
          <w:szCs w:val="17"/>
        </w:rPr>
        <w:t xml:space="preserve"> </w:t>
      </w:r>
      <w:r w:rsidR="002206D5" w:rsidRPr="003D4379">
        <w:rPr>
          <w:rFonts w:ascii="Times New Roman" w:hAnsi="Times New Roman"/>
          <w:spacing w:val="-2"/>
          <w:sz w:val="17"/>
          <w:szCs w:val="17"/>
        </w:rPr>
        <w:t>den Anklagesatz</w:t>
      </w:r>
      <w:r w:rsidRPr="003D4379">
        <w:rPr>
          <w:rFonts w:ascii="Times New Roman" w:hAnsi="Times New Roman"/>
          <w:spacing w:val="-2"/>
          <w:sz w:val="17"/>
          <w:szCs w:val="17"/>
        </w:rPr>
        <w:t>, in der Form</w:t>
      </w:r>
      <w:r w:rsidR="002206D5" w:rsidRPr="003D4379">
        <w:rPr>
          <w:rFonts w:ascii="Times New Roman" w:hAnsi="Times New Roman"/>
          <w:spacing w:val="-2"/>
          <w:sz w:val="17"/>
          <w:szCs w:val="17"/>
        </w:rPr>
        <w:t>, den dieser durch den</w:t>
      </w:r>
      <w:r w:rsidRPr="003D4379">
        <w:rPr>
          <w:rFonts w:ascii="Times New Roman" w:hAnsi="Times New Roman"/>
          <w:spacing w:val="-2"/>
          <w:sz w:val="17"/>
          <w:szCs w:val="17"/>
        </w:rPr>
        <w:t xml:space="preserve"> Eröffnungsbeschluss im Zwischenverfahren, § 243 III StPO</w:t>
      </w:r>
      <w:r w:rsidR="002206D5" w:rsidRPr="003D4379">
        <w:rPr>
          <w:rFonts w:ascii="Times New Roman" w:hAnsi="Times New Roman"/>
          <w:spacing w:val="-2"/>
          <w:sz w:val="17"/>
          <w:szCs w:val="17"/>
        </w:rPr>
        <w:t xml:space="preserve"> erhalten hat</w:t>
      </w:r>
      <w:r w:rsidRPr="003D4379">
        <w:rPr>
          <w:rFonts w:ascii="Times New Roman" w:hAnsi="Times New Roman"/>
          <w:spacing w:val="-2"/>
          <w:sz w:val="17"/>
          <w:szCs w:val="17"/>
        </w:rPr>
        <w:t xml:space="preserve"> (siehe dazu Arbeitsblatt Nr.</w:t>
      </w:r>
      <w:r w:rsidR="008250C3">
        <w:rPr>
          <w:rFonts w:ascii="Times New Roman" w:hAnsi="Times New Roman"/>
          <w:spacing w:val="-2"/>
          <w:sz w:val="17"/>
          <w:szCs w:val="17"/>
        </w:rPr>
        <w:t> </w:t>
      </w:r>
      <w:r w:rsidRPr="003D4379">
        <w:rPr>
          <w:rFonts w:ascii="Times New Roman" w:hAnsi="Times New Roman"/>
          <w:spacing w:val="-2"/>
          <w:sz w:val="17"/>
          <w:szCs w:val="17"/>
        </w:rPr>
        <w:t>3).</w:t>
      </w:r>
    </w:p>
    <w:p w14:paraId="732480F4" w14:textId="1B764443" w:rsidR="00653F85" w:rsidRPr="003D4379" w:rsidRDefault="00653F85" w:rsidP="00653F85">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7"/>
          <w:szCs w:val="17"/>
        </w:rPr>
      </w:pPr>
      <w:r w:rsidRPr="003D4379">
        <w:rPr>
          <w:rFonts w:ascii="Times New Roman" w:hAnsi="Times New Roman"/>
          <w:spacing w:val="-2"/>
          <w:sz w:val="17"/>
          <w:szCs w:val="17"/>
        </w:rPr>
        <w:tab/>
      </w:r>
      <w:r w:rsidRPr="003D4379">
        <w:rPr>
          <w:rFonts w:ascii="Times New Roman" w:hAnsi="Times New Roman"/>
          <w:spacing w:val="-2"/>
          <w:sz w:val="17"/>
          <w:szCs w:val="17"/>
          <w:u w:val="single"/>
        </w:rPr>
        <w:t xml:space="preserve">4. </w:t>
      </w:r>
      <w:r w:rsidRPr="003D4379">
        <w:rPr>
          <w:rFonts w:ascii="Times New Roman" w:hAnsi="Times New Roman"/>
          <w:spacing w:val="-2"/>
          <w:sz w:val="17"/>
          <w:szCs w:val="17"/>
          <w:u w:val="single"/>
        </w:rPr>
        <w:tab/>
        <w:t>Vernehmung des Angeklagten zur Sache:</w:t>
      </w:r>
      <w:r w:rsidRPr="003D4379">
        <w:rPr>
          <w:rFonts w:ascii="Times New Roman" w:hAnsi="Times New Roman"/>
          <w:spacing w:val="-2"/>
          <w:sz w:val="17"/>
          <w:szCs w:val="17"/>
        </w:rPr>
        <w:t xml:space="preserve"> Sodann wird der Angeklagte auf sein Schweigerecht hingewiesen und daraufhin zur Sache vernommen, soweit er zur Aussage bereit ist.</w:t>
      </w:r>
    </w:p>
    <w:p w14:paraId="5A741556" w14:textId="576179AA" w:rsidR="007F4846" w:rsidRPr="003D4379" w:rsidRDefault="00653F85" w:rsidP="00653F85">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7"/>
          <w:szCs w:val="17"/>
        </w:rPr>
      </w:pPr>
      <w:r w:rsidRPr="003D4379">
        <w:rPr>
          <w:rFonts w:ascii="Times New Roman" w:hAnsi="Times New Roman"/>
          <w:spacing w:val="-2"/>
          <w:sz w:val="17"/>
          <w:szCs w:val="17"/>
        </w:rPr>
        <w:tab/>
      </w:r>
      <w:r w:rsidRPr="003D4379">
        <w:rPr>
          <w:rFonts w:ascii="Times New Roman" w:hAnsi="Times New Roman"/>
          <w:spacing w:val="-2"/>
          <w:sz w:val="17"/>
          <w:szCs w:val="17"/>
          <w:u w:val="single"/>
        </w:rPr>
        <w:t xml:space="preserve">5. </w:t>
      </w:r>
      <w:r w:rsidRPr="003D4379">
        <w:rPr>
          <w:rFonts w:ascii="Times New Roman" w:hAnsi="Times New Roman"/>
          <w:spacing w:val="-2"/>
          <w:sz w:val="17"/>
          <w:szCs w:val="17"/>
          <w:u w:val="single"/>
        </w:rPr>
        <w:tab/>
        <w:t>Beweisaufnahme:</w:t>
      </w:r>
      <w:r w:rsidRPr="003D4379">
        <w:rPr>
          <w:rFonts w:ascii="Times New Roman" w:hAnsi="Times New Roman"/>
          <w:spacing w:val="-2"/>
          <w:sz w:val="17"/>
          <w:szCs w:val="17"/>
        </w:rPr>
        <w:t xml:space="preserve"> Als fünftes erfolgt die Beweisaufnahme, §§ 244 ff. StPO, welche oftmals das Herzstück der Hauptverhandlung ausmacht. Sie besteht in der Vernehmung von Zeugen und Sachverständigen durch den Vorsitzenden sowie im Verlesen von Urkunden etc. Auch der StA und der Verteidigung ist es gestattet, Fragen an Zeugen und Sachverständige zu stellen. </w:t>
      </w:r>
      <w:r w:rsidR="003D3EB3">
        <w:rPr>
          <w:rFonts w:ascii="Times New Roman" w:hAnsi="Times New Roman"/>
          <w:spacing w:val="-2"/>
          <w:sz w:val="17"/>
          <w:szCs w:val="17"/>
        </w:rPr>
        <w:t xml:space="preserve">Auch dem Sachverständigen kann es gestattet werden, unmittelbar Fragen an Zeugen zu stellen, § 80 II StPO. </w:t>
      </w:r>
      <w:r w:rsidRPr="003D4379">
        <w:rPr>
          <w:rFonts w:ascii="Times New Roman" w:hAnsi="Times New Roman"/>
          <w:spacing w:val="-2"/>
          <w:sz w:val="17"/>
          <w:szCs w:val="17"/>
        </w:rPr>
        <w:t>Ungeeignete Fragen kann der Vorsitzende indes zurückweisen. In manchen Fällen bestehen Zeugnisverweigerungsrechte (siehe dazu Arbeitsblatt Nr.</w:t>
      </w:r>
      <w:r w:rsidR="003D3EB3">
        <w:rPr>
          <w:rFonts w:ascii="Times New Roman" w:hAnsi="Times New Roman"/>
          <w:spacing w:val="-2"/>
          <w:sz w:val="17"/>
          <w:szCs w:val="17"/>
        </w:rPr>
        <w:t> </w:t>
      </w:r>
      <w:r w:rsidRPr="003D4379">
        <w:rPr>
          <w:rFonts w:ascii="Times New Roman" w:hAnsi="Times New Roman"/>
          <w:spacing w:val="-2"/>
          <w:sz w:val="17"/>
          <w:szCs w:val="17"/>
        </w:rPr>
        <w:t>2</w:t>
      </w:r>
      <w:r w:rsidR="00440738">
        <w:rPr>
          <w:rFonts w:ascii="Times New Roman" w:hAnsi="Times New Roman"/>
          <w:spacing w:val="-2"/>
          <w:sz w:val="17"/>
          <w:szCs w:val="17"/>
        </w:rPr>
        <w:t>7</w:t>
      </w:r>
      <w:r w:rsidRPr="003D4379">
        <w:rPr>
          <w:rFonts w:ascii="Times New Roman" w:hAnsi="Times New Roman"/>
          <w:spacing w:val="-2"/>
          <w:sz w:val="17"/>
          <w:szCs w:val="17"/>
        </w:rPr>
        <w:t xml:space="preserve">) oder Beweiserhebungs- oder Beweisverwertungsverbote (siehe dazu die Arbeitsblätter </w:t>
      </w:r>
      <w:r w:rsidR="003D3EB3">
        <w:rPr>
          <w:rFonts w:ascii="Times New Roman" w:hAnsi="Times New Roman"/>
          <w:spacing w:val="-2"/>
          <w:sz w:val="17"/>
          <w:szCs w:val="17"/>
        </w:rPr>
        <w:t>Nr. </w:t>
      </w:r>
      <w:r w:rsidRPr="003D4379">
        <w:rPr>
          <w:rFonts w:ascii="Times New Roman" w:hAnsi="Times New Roman"/>
          <w:spacing w:val="-2"/>
          <w:sz w:val="17"/>
          <w:szCs w:val="17"/>
        </w:rPr>
        <w:t>2</w:t>
      </w:r>
      <w:r w:rsidR="00440738">
        <w:rPr>
          <w:rFonts w:ascii="Times New Roman" w:hAnsi="Times New Roman"/>
          <w:spacing w:val="-2"/>
          <w:sz w:val="17"/>
          <w:szCs w:val="17"/>
        </w:rPr>
        <w:t>7</w:t>
      </w:r>
      <w:r w:rsidRPr="003D4379">
        <w:rPr>
          <w:rFonts w:ascii="Times New Roman" w:hAnsi="Times New Roman"/>
          <w:spacing w:val="-2"/>
          <w:sz w:val="17"/>
          <w:szCs w:val="17"/>
        </w:rPr>
        <w:t>-3</w:t>
      </w:r>
      <w:r w:rsidR="00440738">
        <w:rPr>
          <w:rFonts w:ascii="Times New Roman" w:hAnsi="Times New Roman"/>
          <w:spacing w:val="-2"/>
          <w:sz w:val="17"/>
          <w:szCs w:val="17"/>
        </w:rPr>
        <w:t>4</w:t>
      </w:r>
      <w:r w:rsidRPr="003D4379">
        <w:rPr>
          <w:rFonts w:ascii="Times New Roman" w:hAnsi="Times New Roman"/>
          <w:spacing w:val="-2"/>
          <w:sz w:val="17"/>
          <w:szCs w:val="17"/>
        </w:rPr>
        <w:t>). Die Beweisaufnahme steht unter dem Gebot der Mündlichkeit und Öffentlichkeit (s.o.). Das Unmittelbarkeitsprinzip gebietet ferner, dass stets das tatnächste Beweismittel zu verwenden ist</w:t>
      </w:r>
      <w:r w:rsidR="00091423" w:rsidRPr="003D4379">
        <w:rPr>
          <w:rFonts w:ascii="Times New Roman" w:hAnsi="Times New Roman"/>
          <w:spacing w:val="-2"/>
          <w:sz w:val="17"/>
          <w:szCs w:val="17"/>
        </w:rPr>
        <w:t>. F</w:t>
      </w:r>
      <w:r w:rsidRPr="003D4379">
        <w:rPr>
          <w:rFonts w:ascii="Times New Roman" w:hAnsi="Times New Roman"/>
          <w:spacing w:val="-2"/>
          <w:sz w:val="17"/>
          <w:szCs w:val="17"/>
        </w:rPr>
        <w:t xml:space="preserve">ür die Vernehmung von Zeugen bedeutet dies </w:t>
      </w:r>
      <w:r w:rsidR="00091423" w:rsidRPr="003D4379">
        <w:rPr>
          <w:rFonts w:ascii="Times New Roman" w:hAnsi="Times New Roman"/>
          <w:spacing w:val="-2"/>
          <w:sz w:val="17"/>
          <w:szCs w:val="17"/>
        </w:rPr>
        <w:t>etwa,</w:t>
      </w:r>
      <w:r w:rsidRPr="003D4379">
        <w:rPr>
          <w:rFonts w:ascii="Times New Roman" w:hAnsi="Times New Roman"/>
          <w:spacing w:val="-2"/>
          <w:sz w:val="17"/>
          <w:szCs w:val="17"/>
        </w:rPr>
        <w:t xml:space="preserve"> dass derjenige Zeuge (zuerst) zu vernehmen ist,</w:t>
      </w:r>
      <w:r w:rsidR="00091423" w:rsidRPr="003D4379">
        <w:rPr>
          <w:rFonts w:ascii="Times New Roman" w:hAnsi="Times New Roman"/>
          <w:spacing w:val="-2"/>
          <w:sz w:val="17"/>
          <w:szCs w:val="17"/>
        </w:rPr>
        <w:t xml:space="preserve"> der den Tathergang miterlebt hat</w:t>
      </w:r>
      <w:r w:rsidR="00494BB3" w:rsidRPr="003D4379">
        <w:rPr>
          <w:rFonts w:ascii="Times New Roman" w:hAnsi="Times New Roman"/>
          <w:spacing w:val="-2"/>
          <w:sz w:val="17"/>
          <w:szCs w:val="17"/>
        </w:rPr>
        <w:t xml:space="preserve">; </w:t>
      </w:r>
      <w:r w:rsidR="00494BB3" w:rsidRPr="003D4379">
        <w:rPr>
          <w:rFonts w:ascii="Times New Roman" w:hAnsi="Times New Roman"/>
          <w:b/>
          <w:spacing w:val="-2"/>
          <w:sz w:val="17"/>
          <w:szCs w:val="17"/>
        </w:rPr>
        <w:t>Bsp.:</w:t>
      </w:r>
      <w:r w:rsidR="00494BB3" w:rsidRPr="003D4379">
        <w:rPr>
          <w:rFonts w:ascii="Times New Roman" w:hAnsi="Times New Roman"/>
          <w:spacing w:val="-2"/>
          <w:sz w:val="17"/>
          <w:szCs w:val="17"/>
        </w:rPr>
        <w:t xml:space="preserve"> </w:t>
      </w:r>
      <w:r w:rsidR="00B06C08" w:rsidRPr="003D4379">
        <w:rPr>
          <w:rFonts w:ascii="Times New Roman" w:hAnsi="Times New Roman"/>
          <w:spacing w:val="-2"/>
          <w:sz w:val="17"/>
          <w:szCs w:val="17"/>
        </w:rPr>
        <w:t>Vernehmung des unmittelbaren Tatzeugen vor dem Vernehmungsbeamten</w:t>
      </w:r>
      <w:r w:rsidR="001D1B1C" w:rsidRPr="003D4379">
        <w:rPr>
          <w:rFonts w:ascii="Times New Roman" w:hAnsi="Times New Roman"/>
          <w:spacing w:val="-2"/>
          <w:sz w:val="17"/>
          <w:szCs w:val="17"/>
        </w:rPr>
        <w:t xml:space="preserve">. Zudem gilt der Grundsatz vom Vorrang des Personalbeweises vor dem Urkundenbeweis: Beruht der Beweis einer Tatsache auf der Wahrnehmung einer Person, so muss das Gericht diese Person in der Hauptverhandlung vernehmen. Das Gericht darf die Vernehmung </w:t>
      </w:r>
      <w:proofErr w:type="spellStart"/>
      <w:r w:rsidR="00494BB3" w:rsidRPr="003D4379">
        <w:rPr>
          <w:rFonts w:ascii="Times New Roman" w:hAnsi="Times New Roman"/>
          <w:spacing w:val="-2"/>
          <w:sz w:val="17"/>
          <w:szCs w:val="17"/>
        </w:rPr>
        <w:t>grds</w:t>
      </w:r>
      <w:proofErr w:type="spellEnd"/>
      <w:r w:rsidR="00494BB3" w:rsidRPr="003D4379">
        <w:rPr>
          <w:rFonts w:ascii="Times New Roman" w:hAnsi="Times New Roman"/>
          <w:spacing w:val="-2"/>
          <w:sz w:val="17"/>
          <w:szCs w:val="17"/>
        </w:rPr>
        <w:t xml:space="preserve">. </w:t>
      </w:r>
      <w:r w:rsidR="001D1B1C" w:rsidRPr="003D4379">
        <w:rPr>
          <w:rFonts w:ascii="Times New Roman" w:hAnsi="Times New Roman"/>
          <w:spacing w:val="-2"/>
          <w:sz w:val="17"/>
          <w:szCs w:val="17"/>
        </w:rPr>
        <w:t>nicht durch Verlesung eines Protokolls über e</w:t>
      </w:r>
      <w:r w:rsidR="00736DEB" w:rsidRPr="003D4379">
        <w:rPr>
          <w:rFonts w:ascii="Times New Roman" w:hAnsi="Times New Roman"/>
          <w:spacing w:val="-2"/>
          <w:sz w:val="17"/>
          <w:szCs w:val="17"/>
        </w:rPr>
        <w:t>ine frühere Vernehmung ersetzen (siehe dazu Arbeitsblatt Nr.</w:t>
      </w:r>
      <w:r w:rsidR="008F4C3B">
        <w:rPr>
          <w:rFonts w:ascii="Times New Roman" w:hAnsi="Times New Roman"/>
          <w:spacing w:val="-2"/>
          <w:sz w:val="17"/>
          <w:szCs w:val="17"/>
        </w:rPr>
        <w:t> </w:t>
      </w:r>
      <w:r w:rsidR="00736DEB" w:rsidRPr="003D4379">
        <w:rPr>
          <w:rFonts w:ascii="Times New Roman" w:hAnsi="Times New Roman"/>
          <w:spacing w:val="-2"/>
          <w:sz w:val="17"/>
          <w:szCs w:val="17"/>
        </w:rPr>
        <w:t>38).</w:t>
      </w:r>
    </w:p>
    <w:p w14:paraId="32637875" w14:textId="697DBCFC" w:rsidR="00653F85" w:rsidRPr="003D4379" w:rsidRDefault="007F4846" w:rsidP="00653F85">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7"/>
          <w:szCs w:val="17"/>
        </w:rPr>
      </w:pPr>
      <w:r w:rsidRPr="003D4379">
        <w:rPr>
          <w:rFonts w:ascii="Times New Roman" w:hAnsi="Times New Roman"/>
          <w:spacing w:val="-2"/>
          <w:sz w:val="17"/>
          <w:szCs w:val="17"/>
        </w:rPr>
        <w:tab/>
      </w:r>
      <w:r w:rsidR="00653F85" w:rsidRPr="003D4379">
        <w:rPr>
          <w:rFonts w:ascii="Times New Roman" w:hAnsi="Times New Roman"/>
          <w:spacing w:val="-2"/>
          <w:sz w:val="17"/>
          <w:szCs w:val="17"/>
          <w:u w:val="single"/>
        </w:rPr>
        <w:t xml:space="preserve">6. </w:t>
      </w:r>
      <w:r w:rsidR="00653F85" w:rsidRPr="003D4379">
        <w:rPr>
          <w:rFonts w:ascii="Times New Roman" w:hAnsi="Times New Roman"/>
          <w:spacing w:val="-2"/>
          <w:sz w:val="17"/>
          <w:szCs w:val="17"/>
          <w:u w:val="single"/>
        </w:rPr>
        <w:tab/>
        <w:t>Schlussvorträge und letztes Wort:</w:t>
      </w:r>
      <w:r w:rsidR="00653F85" w:rsidRPr="003D4379">
        <w:rPr>
          <w:rFonts w:ascii="Times New Roman" w:hAnsi="Times New Roman"/>
          <w:spacing w:val="-2"/>
          <w:sz w:val="17"/>
          <w:szCs w:val="17"/>
        </w:rPr>
        <w:t xml:space="preserve"> Im Anschluss an die Beweisaufnahme halten StA und Verteidigung ihre Schlussvorträge und stellen ihre Anträge, § 258 I StPO. Das letzte Wort gebührt daraufhin dem Angeklagten, § 258 II</w:t>
      </w:r>
      <w:r w:rsidR="0047117C">
        <w:rPr>
          <w:rFonts w:ascii="Times New Roman" w:hAnsi="Times New Roman"/>
          <w:spacing w:val="-2"/>
          <w:sz w:val="17"/>
          <w:szCs w:val="17"/>
        </w:rPr>
        <w:t xml:space="preserve"> </w:t>
      </w:r>
      <w:proofErr w:type="spellStart"/>
      <w:r w:rsidR="00EA0004">
        <w:rPr>
          <w:rFonts w:ascii="Times New Roman" w:hAnsi="Times New Roman"/>
          <w:spacing w:val="-2"/>
          <w:sz w:val="17"/>
          <w:szCs w:val="17"/>
        </w:rPr>
        <w:t>Hs</w:t>
      </w:r>
      <w:proofErr w:type="spellEnd"/>
      <w:r w:rsidR="00EA0004">
        <w:rPr>
          <w:rFonts w:ascii="Times New Roman" w:hAnsi="Times New Roman"/>
          <w:spacing w:val="-2"/>
          <w:sz w:val="17"/>
          <w:szCs w:val="17"/>
        </w:rPr>
        <w:t>. 2</w:t>
      </w:r>
      <w:r w:rsidR="0047117C">
        <w:rPr>
          <w:rFonts w:ascii="Times New Roman" w:hAnsi="Times New Roman"/>
          <w:spacing w:val="-2"/>
          <w:sz w:val="17"/>
          <w:szCs w:val="17"/>
        </w:rPr>
        <w:t xml:space="preserve"> </w:t>
      </w:r>
      <w:r w:rsidR="00653F85" w:rsidRPr="003D4379">
        <w:rPr>
          <w:rFonts w:ascii="Times New Roman" w:hAnsi="Times New Roman"/>
          <w:spacing w:val="-2"/>
          <w:sz w:val="17"/>
          <w:szCs w:val="17"/>
        </w:rPr>
        <w:t>StPO.</w:t>
      </w:r>
    </w:p>
    <w:p w14:paraId="2D10EFC8" w14:textId="12767D48" w:rsidR="00B77B6B" w:rsidRPr="003D4379" w:rsidRDefault="00653F85" w:rsidP="00494BB3">
      <w:pPr>
        <w:widowControl/>
        <w:tabs>
          <w:tab w:val="left" w:pos="-720"/>
          <w:tab w:val="left" w:pos="288"/>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7"/>
          <w:szCs w:val="17"/>
        </w:rPr>
      </w:pPr>
      <w:r w:rsidRPr="003D4379">
        <w:rPr>
          <w:rFonts w:ascii="Times New Roman" w:hAnsi="Times New Roman"/>
          <w:b/>
          <w:spacing w:val="-2"/>
          <w:sz w:val="17"/>
          <w:szCs w:val="17"/>
        </w:rPr>
        <w:t>IV. Abschluss</w:t>
      </w:r>
      <w:r w:rsidRPr="003D4379">
        <w:rPr>
          <w:rFonts w:ascii="Times New Roman" w:hAnsi="Times New Roman"/>
          <w:spacing w:val="-2"/>
          <w:sz w:val="17"/>
          <w:szCs w:val="17"/>
        </w:rPr>
        <w:t>: Das Hauptverfahren findet seinen Abschluss entweder in einer Einstellung des Verfahrens aus Opportunitätsgründen gem</w:t>
      </w:r>
      <w:r w:rsidR="008250C3">
        <w:rPr>
          <w:rFonts w:ascii="Times New Roman" w:hAnsi="Times New Roman"/>
          <w:spacing w:val="-2"/>
          <w:sz w:val="17"/>
          <w:szCs w:val="17"/>
        </w:rPr>
        <w:t>.</w:t>
      </w:r>
      <w:r w:rsidRPr="003D4379">
        <w:rPr>
          <w:rFonts w:ascii="Times New Roman" w:hAnsi="Times New Roman"/>
          <w:spacing w:val="-2"/>
          <w:sz w:val="17"/>
          <w:szCs w:val="17"/>
        </w:rPr>
        <w:t xml:space="preserve"> den §§ 153 ff. StPO (siehe Arbeitsblatt Nr.</w:t>
      </w:r>
      <w:r w:rsidR="008250C3">
        <w:rPr>
          <w:rFonts w:ascii="Times New Roman" w:hAnsi="Times New Roman"/>
          <w:spacing w:val="-2"/>
          <w:sz w:val="17"/>
          <w:szCs w:val="17"/>
        </w:rPr>
        <w:t> </w:t>
      </w:r>
      <w:r w:rsidRPr="003D4379">
        <w:rPr>
          <w:rFonts w:ascii="Times New Roman" w:hAnsi="Times New Roman"/>
          <w:spacing w:val="-2"/>
          <w:sz w:val="17"/>
          <w:szCs w:val="17"/>
        </w:rPr>
        <w:t xml:space="preserve">34), sofern </w:t>
      </w:r>
      <w:proofErr w:type="spellStart"/>
      <w:r w:rsidRPr="003D4379">
        <w:rPr>
          <w:rFonts w:ascii="Times New Roman" w:hAnsi="Times New Roman"/>
          <w:spacing w:val="-2"/>
          <w:sz w:val="17"/>
          <w:szCs w:val="17"/>
        </w:rPr>
        <w:t>StA</w:t>
      </w:r>
      <w:proofErr w:type="spellEnd"/>
      <w:r w:rsidRPr="003D4379">
        <w:rPr>
          <w:rFonts w:ascii="Times New Roman" w:hAnsi="Times New Roman"/>
          <w:spacing w:val="-2"/>
          <w:sz w:val="17"/>
          <w:szCs w:val="17"/>
        </w:rPr>
        <w:t xml:space="preserve"> und Angeklagter zustimmen, oder aber durch Urteil des Gerichts</w:t>
      </w:r>
      <w:r w:rsidR="00B0357E">
        <w:rPr>
          <w:rFonts w:ascii="Times New Roman" w:hAnsi="Times New Roman"/>
          <w:spacing w:val="-2"/>
          <w:sz w:val="17"/>
          <w:szCs w:val="17"/>
        </w:rPr>
        <w:t>, §</w:t>
      </w:r>
      <w:r w:rsidR="008250C3">
        <w:rPr>
          <w:rFonts w:ascii="Times New Roman" w:hAnsi="Times New Roman"/>
          <w:spacing w:val="-2"/>
          <w:sz w:val="17"/>
          <w:szCs w:val="17"/>
        </w:rPr>
        <w:t> </w:t>
      </w:r>
      <w:r w:rsidR="00B0357E">
        <w:rPr>
          <w:rFonts w:ascii="Times New Roman" w:hAnsi="Times New Roman"/>
          <w:spacing w:val="-2"/>
          <w:sz w:val="17"/>
          <w:szCs w:val="17"/>
        </w:rPr>
        <w:t>260 StPO</w:t>
      </w:r>
      <w:r w:rsidRPr="003D4379">
        <w:rPr>
          <w:rFonts w:ascii="Times New Roman" w:hAnsi="Times New Roman"/>
          <w:spacing w:val="-2"/>
          <w:sz w:val="17"/>
          <w:szCs w:val="17"/>
        </w:rPr>
        <w:t>. Die Urteilsfindung erfolgt durch geheime Beratung und Abstimmung der beteiligten Richter und Schöffen, vgl. §§ 43, 45 DRiG</w:t>
      </w:r>
      <w:r w:rsidR="00B0357E">
        <w:rPr>
          <w:rFonts w:ascii="Times New Roman" w:hAnsi="Times New Roman"/>
          <w:spacing w:val="-2"/>
          <w:sz w:val="17"/>
          <w:szCs w:val="17"/>
        </w:rPr>
        <w:t>, §§</w:t>
      </w:r>
      <w:r w:rsidR="008250C3">
        <w:rPr>
          <w:rFonts w:ascii="Times New Roman" w:hAnsi="Times New Roman"/>
          <w:spacing w:val="-2"/>
          <w:sz w:val="17"/>
          <w:szCs w:val="17"/>
        </w:rPr>
        <w:t> </w:t>
      </w:r>
      <w:r w:rsidR="00B0357E">
        <w:rPr>
          <w:rFonts w:ascii="Times New Roman" w:hAnsi="Times New Roman"/>
          <w:spacing w:val="-2"/>
          <w:sz w:val="17"/>
          <w:szCs w:val="17"/>
        </w:rPr>
        <w:t>192 ff. GVG</w:t>
      </w:r>
      <w:r w:rsidRPr="003D4379">
        <w:rPr>
          <w:rFonts w:ascii="Times New Roman" w:hAnsi="Times New Roman"/>
          <w:spacing w:val="-2"/>
          <w:sz w:val="17"/>
          <w:szCs w:val="17"/>
        </w:rPr>
        <w:t>. Im Anschluss an die Beratung verliest der Vorsitzende das Urteil und teilt die Urteilsgründe mit</w:t>
      </w:r>
      <w:r w:rsidR="003D3EB3">
        <w:rPr>
          <w:rFonts w:ascii="Times New Roman" w:hAnsi="Times New Roman"/>
          <w:spacing w:val="-2"/>
          <w:sz w:val="17"/>
          <w:szCs w:val="17"/>
        </w:rPr>
        <w:t>, vgl. § 268 II StPO</w:t>
      </w:r>
      <w:r w:rsidRPr="003D4379">
        <w:rPr>
          <w:rFonts w:ascii="Times New Roman" w:hAnsi="Times New Roman"/>
          <w:spacing w:val="-2"/>
          <w:sz w:val="17"/>
          <w:szCs w:val="17"/>
        </w:rPr>
        <w:t>.</w:t>
      </w:r>
    </w:p>
    <w:p w14:paraId="7DCB85DF" w14:textId="77777777" w:rsidR="00494BB3" w:rsidRDefault="00494BB3" w:rsidP="00653F85">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4"/>
          <w:szCs w:val="14"/>
        </w:rPr>
      </w:pPr>
    </w:p>
    <w:p w14:paraId="03DBC163" w14:textId="0485829C" w:rsidR="00653F85" w:rsidRPr="00DD3EE1" w:rsidRDefault="00653F85" w:rsidP="00653F85">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4"/>
          <w:szCs w:val="14"/>
        </w:rPr>
      </w:pPr>
      <w:r w:rsidRPr="00DD3EE1">
        <w:rPr>
          <w:rFonts w:ascii="Times New Roman" w:hAnsi="Times New Roman"/>
          <w:b/>
          <w:spacing w:val="-2"/>
          <w:sz w:val="14"/>
          <w:szCs w:val="14"/>
        </w:rPr>
        <w:t xml:space="preserve">Literatur/Lehrbücher: </w:t>
      </w:r>
      <w:r w:rsidRPr="00DD3EE1">
        <w:rPr>
          <w:rFonts w:ascii="Times New Roman" w:hAnsi="Times New Roman"/>
          <w:b/>
          <w:spacing w:val="-2"/>
          <w:sz w:val="14"/>
          <w:szCs w:val="14"/>
        </w:rPr>
        <w:tab/>
      </w:r>
      <w:r w:rsidR="00736DEB" w:rsidRPr="00DD3EE1">
        <w:rPr>
          <w:rFonts w:ascii="Times New Roman" w:hAnsi="Times New Roman"/>
          <w:i/>
          <w:spacing w:val="-2"/>
          <w:sz w:val="14"/>
          <w:szCs w:val="14"/>
        </w:rPr>
        <w:t>Heinrich/Reinbacher</w:t>
      </w:r>
      <w:r w:rsidR="00736DEB" w:rsidRPr="00DD3EE1">
        <w:rPr>
          <w:rFonts w:ascii="Times New Roman" w:hAnsi="Times New Roman"/>
          <w:spacing w:val="-2"/>
          <w:sz w:val="14"/>
          <w:szCs w:val="14"/>
        </w:rPr>
        <w:t>, Examinatorium Strafprozessrecht,</w:t>
      </w:r>
      <w:r w:rsidR="005B6A22">
        <w:rPr>
          <w:rFonts w:ascii="Times New Roman" w:hAnsi="Times New Roman"/>
          <w:spacing w:val="-2"/>
          <w:sz w:val="14"/>
          <w:szCs w:val="14"/>
        </w:rPr>
        <w:t xml:space="preserve"> </w:t>
      </w:r>
      <w:r w:rsidR="00B0357E">
        <w:rPr>
          <w:rFonts w:ascii="Times New Roman" w:hAnsi="Times New Roman"/>
          <w:spacing w:val="-2"/>
          <w:sz w:val="14"/>
          <w:szCs w:val="16"/>
        </w:rPr>
        <w:t>4</w:t>
      </w:r>
      <w:r w:rsidR="005B6A22" w:rsidRPr="00E42D80">
        <w:rPr>
          <w:rFonts w:ascii="Times New Roman" w:hAnsi="Times New Roman"/>
          <w:spacing w:val="-2"/>
          <w:sz w:val="14"/>
          <w:szCs w:val="16"/>
        </w:rPr>
        <w:t>. Auflage 20</w:t>
      </w:r>
      <w:r w:rsidR="00CD669D">
        <w:rPr>
          <w:rFonts w:ascii="Times New Roman" w:hAnsi="Times New Roman"/>
          <w:spacing w:val="-2"/>
          <w:sz w:val="14"/>
          <w:szCs w:val="16"/>
        </w:rPr>
        <w:t>2</w:t>
      </w:r>
      <w:r w:rsidR="00B0357E">
        <w:rPr>
          <w:rFonts w:ascii="Times New Roman" w:hAnsi="Times New Roman"/>
          <w:spacing w:val="-2"/>
          <w:sz w:val="14"/>
          <w:szCs w:val="16"/>
        </w:rPr>
        <w:t>3</w:t>
      </w:r>
      <w:r w:rsidR="005B6A22" w:rsidRPr="00E42D80">
        <w:rPr>
          <w:rFonts w:ascii="Times New Roman" w:hAnsi="Times New Roman"/>
          <w:spacing w:val="-2"/>
          <w:sz w:val="14"/>
          <w:szCs w:val="16"/>
        </w:rPr>
        <w:t xml:space="preserve">, </w:t>
      </w:r>
      <w:r w:rsidR="00736DEB" w:rsidRPr="00DD3EE1">
        <w:rPr>
          <w:rFonts w:ascii="Times New Roman" w:hAnsi="Times New Roman"/>
          <w:spacing w:val="-2"/>
          <w:sz w:val="14"/>
          <w:szCs w:val="14"/>
        </w:rPr>
        <w:t>Problem</w:t>
      </w:r>
      <w:r w:rsidR="003D3EB3">
        <w:rPr>
          <w:rFonts w:ascii="Times New Roman" w:hAnsi="Times New Roman"/>
          <w:spacing w:val="-2"/>
          <w:sz w:val="14"/>
          <w:szCs w:val="14"/>
        </w:rPr>
        <w:t> </w:t>
      </w:r>
      <w:r w:rsidR="00736DEB" w:rsidRPr="00DD3EE1">
        <w:rPr>
          <w:rFonts w:ascii="Times New Roman" w:hAnsi="Times New Roman"/>
          <w:spacing w:val="-2"/>
          <w:sz w:val="14"/>
          <w:szCs w:val="14"/>
        </w:rPr>
        <w:t>4.</w:t>
      </w:r>
    </w:p>
    <w:p w14:paraId="2096B2BB" w14:textId="77777777" w:rsidR="00653F85" w:rsidRPr="00DD3EE1" w:rsidRDefault="00653F85" w:rsidP="00B77B6B">
      <w:pPr>
        <w:widowControl/>
        <w:tabs>
          <w:tab w:val="left" w:pos="-720"/>
          <w:tab w:val="left" w:pos="288"/>
          <w:tab w:val="left" w:pos="567"/>
          <w:tab w:val="left" w:pos="864"/>
          <w:tab w:val="left" w:pos="1116"/>
          <w:tab w:val="left" w:pos="1404"/>
          <w:tab w:val="left" w:pos="1692"/>
          <w:tab w:val="left" w:pos="2268"/>
          <w:tab w:val="left" w:pos="2880"/>
        </w:tabs>
        <w:ind w:left="1418" w:hanging="1418"/>
        <w:jc w:val="both"/>
        <w:rPr>
          <w:rFonts w:ascii="Times New Roman" w:hAnsi="Times New Roman"/>
          <w:spacing w:val="-2"/>
          <w:sz w:val="14"/>
          <w:szCs w:val="14"/>
        </w:rPr>
      </w:pPr>
      <w:r w:rsidRPr="00DD3EE1">
        <w:rPr>
          <w:rFonts w:ascii="Times New Roman" w:hAnsi="Times New Roman"/>
          <w:b/>
          <w:spacing w:val="-2"/>
          <w:sz w:val="14"/>
          <w:szCs w:val="14"/>
        </w:rPr>
        <w:t>Literatur/Aufsätze:</w:t>
      </w:r>
      <w:r w:rsidRPr="00DD3EE1">
        <w:rPr>
          <w:rFonts w:ascii="Times New Roman" w:hAnsi="Times New Roman"/>
          <w:b/>
          <w:spacing w:val="-2"/>
          <w:sz w:val="14"/>
          <w:szCs w:val="14"/>
        </w:rPr>
        <w:tab/>
      </w:r>
      <w:r w:rsidR="005E365C" w:rsidRPr="002875AB">
        <w:rPr>
          <w:rFonts w:ascii="Times New Roman" w:hAnsi="Times New Roman"/>
          <w:i/>
          <w:spacing w:val="-2"/>
          <w:sz w:val="14"/>
          <w:szCs w:val="14"/>
        </w:rPr>
        <w:t>Arnoldi</w:t>
      </w:r>
      <w:r w:rsidR="005E365C">
        <w:rPr>
          <w:rFonts w:ascii="Times New Roman" w:hAnsi="Times New Roman"/>
          <w:spacing w:val="-2"/>
          <w:sz w:val="14"/>
          <w:szCs w:val="14"/>
        </w:rPr>
        <w:t xml:space="preserve">, Hauptverhandlungen in Zeiten von Sars-CoV-2/COVID-19, NStZ 2020, 313; </w:t>
      </w:r>
      <w:r w:rsidRPr="00DD3EE1">
        <w:rPr>
          <w:rFonts w:ascii="Times New Roman" w:hAnsi="Times New Roman"/>
          <w:i/>
          <w:spacing w:val="-2"/>
          <w:sz w:val="14"/>
          <w:szCs w:val="14"/>
        </w:rPr>
        <w:t>Kästner</w:t>
      </w:r>
      <w:r w:rsidRPr="00DD3EE1">
        <w:rPr>
          <w:rFonts w:ascii="Times New Roman" w:hAnsi="Times New Roman"/>
          <w:spacing w:val="-2"/>
          <w:sz w:val="14"/>
          <w:szCs w:val="14"/>
        </w:rPr>
        <w:t xml:space="preserve">, Aussetzen heißt nicht </w:t>
      </w:r>
      <w:proofErr w:type="spellStart"/>
      <w:r w:rsidRPr="00DD3EE1">
        <w:rPr>
          <w:rFonts w:ascii="Times New Roman" w:hAnsi="Times New Roman"/>
          <w:spacing w:val="-2"/>
          <w:sz w:val="14"/>
          <w:szCs w:val="14"/>
        </w:rPr>
        <w:t>Unterbrechen</w:t>
      </w:r>
      <w:proofErr w:type="spellEnd"/>
      <w:r w:rsidRPr="00DD3EE1">
        <w:rPr>
          <w:rFonts w:ascii="Times New Roman" w:hAnsi="Times New Roman"/>
          <w:spacing w:val="-2"/>
          <w:sz w:val="14"/>
          <w:szCs w:val="14"/>
        </w:rPr>
        <w:t xml:space="preserve">, </w:t>
      </w:r>
      <w:proofErr w:type="spellStart"/>
      <w:r w:rsidRPr="00DD3EE1">
        <w:rPr>
          <w:rFonts w:ascii="Times New Roman" w:hAnsi="Times New Roman"/>
          <w:spacing w:val="-2"/>
          <w:sz w:val="14"/>
          <w:szCs w:val="14"/>
        </w:rPr>
        <w:t>JuS</w:t>
      </w:r>
      <w:proofErr w:type="spellEnd"/>
      <w:r w:rsidRPr="00DD3EE1">
        <w:rPr>
          <w:rFonts w:ascii="Times New Roman" w:hAnsi="Times New Roman"/>
          <w:spacing w:val="-2"/>
          <w:sz w:val="14"/>
          <w:szCs w:val="14"/>
        </w:rPr>
        <w:t xml:space="preserve"> 2003, 849; </w:t>
      </w:r>
      <w:r w:rsidR="00D74258" w:rsidRPr="00DD3EE1">
        <w:rPr>
          <w:rFonts w:ascii="Times New Roman" w:hAnsi="Times New Roman"/>
          <w:i/>
          <w:spacing w:val="-2"/>
          <w:sz w:val="14"/>
          <w:szCs w:val="14"/>
        </w:rPr>
        <w:t>Kuhn</w:t>
      </w:r>
      <w:r w:rsidR="00D74258" w:rsidRPr="00DD3EE1">
        <w:rPr>
          <w:rFonts w:ascii="Times New Roman" w:hAnsi="Times New Roman"/>
          <w:spacing w:val="-2"/>
          <w:sz w:val="14"/>
          <w:szCs w:val="14"/>
        </w:rPr>
        <w:t>, Zustellung im Strafprozess, JA 2011, 217</w:t>
      </w:r>
      <w:r w:rsidR="00D74258">
        <w:rPr>
          <w:rFonts w:ascii="Times New Roman" w:hAnsi="Times New Roman"/>
          <w:spacing w:val="-2"/>
          <w:sz w:val="14"/>
          <w:szCs w:val="14"/>
        </w:rPr>
        <w:t xml:space="preserve">; </w:t>
      </w:r>
      <w:r w:rsidRPr="00DD3EE1">
        <w:rPr>
          <w:rFonts w:ascii="Times New Roman" w:hAnsi="Times New Roman"/>
          <w:i/>
          <w:spacing w:val="-2"/>
          <w:sz w:val="14"/>
          <w:szCs w:val="14"/>
        </w:rPr>
        <w:t>Laue</w:t>
      </w:r>
      <w:r w:rsidRPr="00DD3EE1">
        <w:rPr>
          <w:rFonts w:ascii="Times New Roman" w:hAnsi="Times New Roman"/>
          <w:spacing w:val="-2"/>
          <w:sz w:val="14"/>
          <w:szCs w:val="14"/>
        </w:rPr>
        <w:t>, Die Hauptverhandlung ohne den Angeklagten, JA 2010, 294</w:t>
      </w:r>
      <w:r w:rsidR="00736DEB" w:rsidRPr="00DD3EE1">
        <w:rPr>
          <w:rFonts w:ascii="Times New Roman" w:hAnsi="Times New Roman"/>
          <w:spacing w:val="-2"/>
          <w:sz w:val="14"/>
          <w:szCs w:val="14"/>
        </w:rPr>
        <w:t xml:space="preserve">; </w:t>
      </w:r>
      <w:proofErr w:type="spellStart"/>
      <w:r w:rsidR="00AA3C20" w:rsidRPr="00DD3EE1">
        <w:rPr>
          <w:rFonts w:ascii="Times New Roman" w:hAnsi="Times New Roman"/>
          <w:i/>
          <w:spacing w:val="-2"/>
          <w:sz w:val="14"/>
          <w:szCs w:val="14"/>
        </w:rPr>
        <w:t>Mandla</w:t>
      </w:r>
      <w:proofErr w:type="spellEnd"/>
      <w:r w:rsidR="00AA3C20" w:rsidRPr="00DD3EE1">
        <w:rPr>
          <w:rFonts w:ascii="Times New Roman" w:hAnsi="Times New Roman"/>
          <w:spacing w:val="-2"/>
          <w:sz w:val="14"/>
          <w:szCs w:val="14"/>
        </w:rPr>
        <w:t>, „Wesentliche</w:t>
      </w:r>
      <w:r w:rsidR="00B77B6B">
        <w:rPr>
          <w:rFonts w:ascii="Times New Roman" w:hAnsi="Times New Roman"/>
          <w:spacing w:val="-2"/>
          <w:sz w:val="14"/>
          <w:szCs w:val="14"/>
        </w:rPr>
        <w:t xml:space="preserve"> </w:t>
      </w:r>
      <w:r w:rsidR="00AA3C20" w:rsidRPr="00DD3EE1">
        <w:rPr>
          <w:rFonts w:ascii="Times New Roman" w:hAnsi="Times New Roman"/>
          <w:spacing w:val="-2"/>
          <w:sz w:val="14"/>
          <w:szCs w:val="14"/>
        </w:rPr>
        <w:t xml:space="preserve">Förderung” und „Verhandeln zur Sache” – Probleme des § 229 StPO, NStZ 2011, </w:t>
      </w:r>
      <w:r w:rsidR="00A7685A">
        <w:rPr>
          <w:rFonts w:ascii="Times New Roman" w:hAnsi="Times New Roman"/>
          <w:spacing w:val="-2"/>
          <w:sz w:val="14"/>
          <w:szCs w:val="14"/>
        </w:rPr>
        <w:t>1</w:t>
      </w:r>
      <w:r w:rsidR="00D6166A">
        <w:rPr>
          <w:rFonts w:ascii="Times New Roman" w:hAnsi="Times New Roman"/>
          <w:spacing w:val="-2"/>
          <w:sz w:val="14"/>
          <w:szCs w:val="14"/>
        </w:rPr>
        <w:t xml:space="preserve">; </w:t>
      </w:r>
      <w:r w:rsidR="00D6166A" w:rsidRPr="003D4379">
        <w:rPr>
          <w:rFonts w:ascii="Times New Roman" w:hAnsi="Times New Roman"/>
          <w:i/>
          <w:spacing w:val="-2"/>
          <w:sz w:val="14"/>
          <w:szCs w:val="14"/>
        </w:rPr>
        <w:t>Metz</w:t>
      </w:r>
      <w:r w:rsidR="00D6166A">
        <w:rPr>
          <w:rFonts w:ascii="Times New Roman" w:hAnsi="Times New Roman"/>
          <w:spacing w:val="-2"/>
          <w:sz w:val="14"/>
          <w:szCs w:val="14"/>
        </w:rPr>
        <w:t xml:space="preserve">, Entfernung des Angeklagten </w:t>
      </w:r>
      <w:r w:rsidR="00D54964">
        <w:rPr>
          <w:rFonts w:ascii="Times New Roman" w:hAnsi="Times New Roman"/>
          <w:spacing w:val="-2"/>
          <w:sz w:val="14"/>
          <w:szCs w:val="14"/>
        </w:rPr>
        <w:t xml:space="preserve">nach § 247 StPO, NStZ 2017, 446; </w:t>
      </w:r>
      <w:r w:rsidR="00D54964" w:rsidRPr="003D4379">
        <w:rPr>
          <w:rFonts w:ascii="Times New Roman" w:hAnsi="Times New Roman"/>
          <w:i/>
          <w:spacing w:val="-2"/>
          <w:sz w:val="14"/>
          <w:szCs w:val="14"/>
        </w:rPr>
        <w:t>Schmitt</w:t>
      </w:r>
      <w:r w:rsidR="00D54964">
        <w:rPr>
          <w:rFonts w:ascii="Times New Roman" w:hAnsi="Times New Roman"/>
          <w:spacing w:val="-2"/>
          <w:sz w:val="14"/>
          <w:szCs w:val="14"/>
        </w:rPr>
        <w:t>, Die Dokumentation der Hauptverhandlung, NStZ 2019, 1</w:t>
      </w:r>
      <w:r w:rsidR="005E365C">
        <w:rPr>
          <w:rFonts w:ascii="Times New Roman" w:hAnsi="Times New Roman"/>
          <w:spacing w:val="-2"/>
          <w:sz w:val="14"/>
          <w:szCs w:val="14"/>
        </w:rPr>
        <w:t>.</w:t>
      </w:r>
    </w:p>
    <w:p w14:paraId="50537983" w14:textId="77777777" w:rsidR="00653F85" w:rsidRPr="00DD3EE1" w:rsidRDefault="00B77B6B">
      <w:pPr>
        <w:widowControl/>
        <w:tabs>
          <w:tab w:val="left" w:pos="-720"/>
          <w:tab w:val="left" w:pos="288"/>
          <w:tab w:val="left" w:pos="567"/>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4"/>
          <w:szCs w:val="14"/>
        </w:rPr>
      </w:pPr>
      <w:r>
        <w:rPr>
          <w:rFonts w:ascii="Times New Roman" w:hAnsi="Times New Roman"/>
          <w:b/>
          <w:spacing w:val="-2"/>
          <w:sz w:val="14"/>
          <w:szCs w:val="14"/>
        </w:rPr>
        <w:t>Literatur/Fälle:</w:t>
      </w:r>
      <w:r>
        <w:rPr>
          <w:rFonts w:ascii="Times New Roman" w:hAnsi="Times New Roman"/>
          <w:b/>
          <w:spacing w:val="-2"/>
          <w:sz w:val="14"/>
          <w:szCs w:val="14"/>
        </w:rPr>
        <w:tab/>
      </w:r>
      <w:r>
        <w:rPr>
          <w:rFonts w:ascii="Times New Roman" w:hAnsi="Times New Roman"/>
          <w:b/>
          <w:spacing w:val="-2"/>
          <w:sz w:val="14"/>
          <w:szCs w:val="14"/>
        </w:rPr>
        <w:tab/>
      </w:r>
      <w:r w:rsidR="00653F85" w:rsidRPr="00DD3EE1">
        <w:rPr>
          <w:rFonts w:ascii="Times New Roman" w:hAnsi="Times New Roman"/>
          <w:i/>
          <w:spacing w:val="-2"/>
          <w:sz w:val="14"/>
          <w:szCs w:val="14"/>
        </w:rPr>
        <w:t>Fisch</w:t>
      </w:r>
      <w:r w:rsidR="00653F85" w:rsidRPr="00DD3EE1">
        <w:rPr>
          <w:rFonts w:ascii="Times New Roman" w:hAnsi="Times New Roman"/>
          <w:spacing w:val="-2"/>
          <w:sz w:val="14"/>
          <w:szCs w:val="14"/>
        </w:rPr>
        <w:t>, Eine Hauptverhandlung mit Hindernissen, JA 2004, 303</w:t>
      </w:r>
      <w:r w:rsidR="00653F85" w:rsidRPr="00DD3EE1">
        <w:rPr>
          <w:rFonts w:ascii="Times New Roman" w:hAnsi="Times New Roman"/>
          <w:i/>
          <w:spacing w:val="-2"/>
          <w:sz w:val="14"/>
          <w:szCs w:val="14"/>
        </w:rPr>
        <w:t>.</w:t>
      </w:r>
    </w:p>
    <w:p w14:paraId="2D697EAB" w14:textId="245D14BC" w:rsidR="00653F85" w:rsidRPr="00E244B9" w:rsidRDefault="00B77B6B" w:rsidP="007D4BC0">
      <w:pPr>
        <w:widowControl/>
        <w:tabs>
          <w:tab w:val="left" w:pos="-720"/>
          <w:tab w:val="left" w:pos="288"/>
          <w:tab w:val="left" w:pos="567"/>
          <w:tab w:val="left" w:pos="864"/>
          <w:tab w:val="left" w:pos="1116"/>
          <w:tab w:val="left" w:pos="1418"/>
          <w:tab w:val="left" w:pos="1692"/>
          <w:tab w:val="left" w:pos="2268"/>
          <w:tab w:val="left" w:pos="2880"/>
        </w:tabs>
        <w:ind w:left="1418" w:hanging="1418"/>
        <w:jc w:val="both"/>
        <w:rPr>
          <w:sz w:val="14"/>
          <w:szCs w:val="14"/>
        </w:rPr>
      </w:pPr>
      <w:r>
        <w:rPr>
          <w:rFonts w:ascii="Times New Roman" w:hAnsi="Times New Roman"/>
          <w:b/>
          <w:spacing w:val="-2"/>
          <w:sz w:val="14"/>
          <w:szCs w:val="14"/>
        </w:rPr>
        <w:t xml:space="preserve">Rechtsprechung: </w:t>
      </w:r>
      <w:r>
        <w:rPr>
          <w:rFonts w:ascii="Times New Roman" w:hAnsi="Times New Roman"/>
          <w:b/>
          <w:spacing w:val="-2"/>
          <w:sz w:val="14"/>
          <w:szCs w:val="14"/>
        </w:rPr>
        <w:tab/>
      </w:r>
      <w:r>
        <w:rPr>
          <w:rFonts w:ascii="Times New Roman" w:hAnsi="Times New Roman"/>
          <w:b/>
          <w:spacing w:val="-2"/>
          <w:sz w:val="14"/>
          <w:szCs w:val="14"/>
        </w:rPr>
        <w:tab/>
      </w:r>
      <w:r w:rsidR="00653F85" w:rsidRPr="00DD3EE1">
        <w:rPr>
          <w:rFonts w:ascii="Times New Roman" w:hAnsi="Times New Roman"/>
          <w:b/>
          <w:spacing w:val="-2"/>
          <w:sz w:val="14"/>
          <w:szCs w:val="14"/>
        </w:rPr>
        <w:t xml:space="preserve">BVerfGE 103, 44 </w:t>
      </w:r>
      <w:r w:rsidR="00653F85" w:rsidRPr="00DD3EE1">
        <w:rPr>
          <w:rFonts w:ascii="Times New Roman" w:hAnsi="Times New Roman"/>
          <w:spacing w:val="-2"/>
          <w:sz w:val="14"/>
          <w:szCs w:val="14"/>
        </w:rPr>
        <w:t>–</w:t>
      </w:r>
      <w:r w:rsidR="00653F85" w:rsidRPr="00DD3EE1">
        <w:rPr>
          <w:rFonts w:ascii="Times New Roman" w:hAnsi="Times New Roman"/>
          <w:b/>
          <w:spacing w:val="-2"/>
          <w:sz w:val="14"/>
          <w:szCs w:val="14"/>
        </w:rPr>
        <w:t xml:space="preserve"> </w:t>
      </w:r>
      <w:r w:rsidR="00653F85" w:rsidRPr="00DD3EE1">
        <w:rPr>
          <w:rFonts w:ascii="Times New Roman" w:hAnsi="Times New Roman"/>
          <w:spacing w:val="-2"/>
          <w:sz w:val="14"/>
          <w:szCs w:val="14"/>
        </w:rPr>
        <w:t xml:space="preserve">Filmaufnahmen (Zulässigkeit der Ton- und Videoaufnahmen am Rande der </w:t>
      </w:r>
      <w:r w:rsidR="008F4C3B">
        <w:rPr>
          <w:rFonts w:ascii="Times New Roman" w:hAnsi="Times New Roman"/>
          <w:spacing w:val="-2"/>
          <w:sz w:val="14"/>
          <w:szCs w:val="14"/>
        </w:rPr>
        <w:t>HV</w:t>
      </w:r>
      <w:r w:rsidR="00653F85" w:rsidRPr="00DD3EE1">
        <w:rPr>
          <w:rFonts w:ascii="Times New Roman" w:hAnsi="Times New Roman"/>
          <w:spacing w:val="-2"/>
          <w:sz w:val="14"/>
          <w:szCs w:val="14"/>
        </w:rPr>
        <w:t xml:space="preserve">); </w:t>
      </w:r>
      <w:r w:rsidR="00653F85" w:rsidRPr="00DD3EE1">
        <w:rPr>
          <w:rFonts w:ascii="Times New Roman" w:hAnsi="Times New Roman"/>
          <w:b/>
          <w:spacing w:val="-2"/>
          <w:sz w:val="14"/>
          <w:szCs w:val="14"/>
        </w:rPr>
        <w:t>BGHSt 23, 224</w:t>
      </w:r>
      <w:r>
        <w:rPr>
          <w:rFonts w:ascii="Times New Roman" w:hAnsi="Times New Roman"/>
          <w:spacing w:val="-2"/>
          <w:sz w:val="14"/>
          <w:szCs w:val="14"/>
        </w:rPr>
        <w:t xml:space="preserve"> – Konzentrationsmaxime </w:t>
      </w:r>
      <w:r w:rsidR="00653F85" w:rsidRPr="00DD3EE1">
        <w:rPr>
          <w:rFonts w:ascii="Times New Roman" w:hAnsi="Times New Roman"/>
          <w:spacing w:val="-2"/>
          <w:sz w:val="14"/>
          <w:szCs w:val="14"/>
        </w:rPr>
        <w:t xml:space="preserve">(Überschreitung der Frist des § 229 StPO); </w:t>
      </w:r>
      <w:r w:rsidR="00653F85" w:rsidRPr="00DD3EE1">
        <w:rPr>
          <w:rFonts w:ascii="Times New Roman" w:hAnsi="Times New Roman"/>
          <w:b/>
          <w:spacing w:val="-2"/>
          <w:sz w:val="14"/>
          <w:szCs w:val="14"/>
        </w:rPr>
        <w:t>BGHSt 32, 215</w:t>
      </w:r>
      <w:r w:rsidR="00495E48" w:rsidRPr="00DD3EE1">
        <w:rPr>
          <w:rFonts w:ascii="Times New Roman" w:hAnsi="Times New Roman"/>
          <w:spacing w:val="-2"/>
          <w:sz w:val="14"/>
          <w:szCs w:val="14"/>
        </w:rPr>
        <w:t xml:space="preserve"> – Tatidentität </w:t>
      </w:r>
      <w:r w:rsidR="00653F85" w:rsidRPr="00DD3EE1">
        <w:rPr>
          <w:rFonts w:ascii="Times New Roman" w:hAnsi="Times New Roman"/>
          <w:spacing w:val="-2"/>
          <w:sz w:val="14"/>
          <w:szCs w:val="14"/>
        </w:rPr>
        <w:t>(Begriff der Tat im prozessualen Sinne);</w:t>
      </w:r>
      <w:r w:rsidR="00F37BD9" w:rsidRPr="00DD3EE1">
        <w:rPr>
          <w:rFonts w:ascii="Times New Roman" w:hAnsi="Times New Roman"/>
          <w:spacing w:val="-2"/>
          <w:sz w:val="14"/>
          <w:szCs w:val="14"/>
        </w:rPr>
        <w:t xml:space="preserve"> </w:t>
      </w:r>
      <w:r w:rsidR="00653F85" w:rsidRPr="00DD3EE1">
        <w:rPr>
          <w:rFonts w:ascii="Times New Roman" w:hAnsi="Times New Roman"/>
          <w:b/>
          <w:spacing w:val="-2"/>
          <w:sz w:val="14"/>
          <w:szCs w:val="14"/>
        </w:rPr>
        <w:t>BGHSt 53, 108</w:t>
      </w:r>
      <w:r w:rsidR="00653F85" w:rsidRPr="00DD3EE1">
        <w:rPr>
          <w:rFonts w:ascii="Times New Roman" w:hAnsi="Times New Roman"/>
          <w:spacing w:val="-2"/>
          <w:sz w:val="14"/>
          <w:szCs w:val="14"/>
        </w:rPr>
        <w:t xml:space="preserve"> – </w:t>
      </w:r>
      <w:r w:rsidR="008F4C3B">
        <w:rPr>
          <w:rFonts w:ascii="Times New Roman" w:hAnsi="Times New Roman"/>
          <w:spacing w:val="-2"/>
          <w:sz w:val="14"/>
          <w:szCs w:val="14"/>
        </w:rPr>
        <w:t>V</w:t>
      </w:r>
      <w:r w:rsidR="00653F85" w:rsidRPr="00DD3EE1">
        <w:rPr>
          <w:rFonts w:ascii="Times New Roman" w:hAnsi="Times New Roman"/>
          <w:spacing w:val="-2"/>
          <w:sz w:val="14"/>
          <w:szCs w:val="14"/>
        </w:rPr>
        <w:t xml:space="preserve">erdeckte Nachtragsanklage (Verhältnis von Nachtragsanklage und Verfahrensverbindung); </w:t>
      </w:r>
      <w:r w:rsidR="00653F85" w:rsidRPr="00DD3EE1">
        <w:rPr>
          <w:rFonts w:ascii="Times New Roman" w:hAnsi="Times New Roman"/>
          <w:b/>
          <w:spacing w:val="-2"/>
          <w:sz w:val="14"/>
          <w:szCs w:val="14"/>
        </w:rPr>
        <w:t>BGHSt 54, 184</w:t>
      </w:r>
      <w:r w:rsidR="00653F85" w:rsidRPr="00DD3EE1">
        <w:rPr>
          <w:rFonts w:ascii="Times New Roman" w:hAnsi="Times New Roman"/>
          <w:spacing w:val="-2"/>
          <w:sz w:val="14"/>
          <w:szCs w:val="14"/>
        </w:rPr>
        <w:t xml:space="preserve"> – Beweisaufnahme (§ 247 StPO: </w:t>
      </w:r>
      <w:proofErr w:type="spellStart"/>
      <w:r w:rsidR="00653F85" w:rsidRPr="00DD3EE1">
        <w:rPr>
          <w:rFonts w:ascii="Times New Roman" w:hAnsi="Times New Roman"/>
          <w:spacing w:val="-2"/>
          <w:sz w:val="14"/>
          <w:szCs w:val="14"/>
        </w:rPr>
        <w:t>Augenschein</w:t>
      </w:r>
      <w:r w:rsidR="008F4C3B">
        <w:rPr>
          <w:rFonts w:ascii="Times New Roman" w:hAnsi="Times New Roman"/>
          <w:spacing w:val="-2"/>
          <w:sz w:val="14"/>
          <w:szCs w:val="14"/>
        </w:rPr>
        <w:t>s</w:t>
      </w:r>
      <w:r w:rsidR="00653F85" w:rsidRPr="00DD3EE1">
        <w:rPr>
          <w:rFonts w:ascii="Times New Roman" w:hAnsi="Times New Roman"/>
          <w:spacing w:val="-2"/>
          <w:sz w:val="14"/>
          <w:szCs w:val="14"/>
        </w:rPr>
        <w:t>nahme</w:t>
      </w:r>
      <w:proofErr w:type="spellEnd"/>
      <w:r w:rsidR="00653F85" w:rsidRPr="00DD3EE1">
        <w:rPr>
          <w:rFonts w:ascii="Times New Roman" w:hAnsi="Times New Roman"/>
          <w:spacing w:val="-2"/>
          <w:sz w:val="14"/>
          <w:szCs w:val="14"/>
        </w:rPr>
        <w:t xml:space="preserve"> in Abwesenheit des Angeklagten</w:t>
      </w:r>
      <w:r w:rsidR="00C32A85">
        <w:rPr>
          <w:rFonts w:ascii="Times New Roman" w:hAnsi="Times New Roman"/>
          <w:spacing w:val="-2"/>
          <w:sz w:val="14"/>
          <w:szCs w:val="14"/>
        </w:rPr>
        <w:t>)</w:t>
      </w:r>
      <w:r w:rsidR="00653F85" w:rsidRPr="00DD3EE1">
        <w:rPr>
          <w:rFonts w:ascii="Times New Roman" w:hAnsi="Times New Roman"/>
          <w:spacing w:val="-2"/>
          <w:sz w:val="14"/>
          <w:szCs w:val="14"/>
        </w:rPr>
        <w:t xml:space="preserve">; </w:t>
      </w:r>
      <w:r w:rsidR="00653F85" w:rsidRPr="00DD3EE1">
        <w:rPr>
          <w:rFonts w:ascii="Times New Roman" w:hAnsi="Times New Roman"/>
          <w:b/>
          <w:spacing w:val="-2"/>
          <w:sz w:val="14"/>
          <w:szCs w:val="14"/>
        </w:rPr>
        <w:t>BGHSt</w:t>
      </w:r>
      <w:r w:rsidR="008F4C3B">
        <w:rPr>
          <w:rFonts w:ascii="Times New Roman" w:hAnsi="Times New Roman"/>
          <w:b/>
          <w:spacing w:val="-2"/>
          <w:sz w:val="14"/>
          <w:szCs w:val="14"/>
        </w:rPr>
        <w:t> </w:t>
      </w:r>
      <w:r w:rsidR="00653F85" w:rsidRPr="00DD3EE1">
        <w:rPr>
          <w:rFonts w:ascii="Times New Roman" w:hAnsi="Times New Roman"/>
          <w:b/>
          <w:spacing w:val="-2"/>
          <w:sz w:val="14"/>
          <w:szCs w:val="14"/>
        </w:rPr>
        <w:t>55, 87</w:t>
      </w:r>
      <w:r w:rsidR="00653F85" w:rsidRPr="00DD3EE1">
        <w:rPr>
          <w:rFonts w:ascii="Times New Roman" w:hAnsi="Times New Roman"/>
          <w:spacing w:val="-2"/>
          <w:sz w:val="14"/>
          <w:szCs w:val="14"/>
        </w:rPr>
        <w:t xml:space="preserve"> – Abwesenheit des Angeklagten (Anwesenheitspflicht des Angeklagten bei Verhandlung über</w:t>
      </w:r>
      <w:r w:rsidR="008F4C3B">
        <w:rPr>
          <w:rFonts w:ascii="Times New Roman" w:hAnsi="Times New Roman"/>
          <w:spacing w:val="-2"/>
          <w:sz w:val="14"/>
          <w:szCs w:val="14"/>
        </w:rPr>
        <w:t xml:space="preserve"> </w:t>
      </w:r>
      <w:r w:rsidR="00653F85" w:rsidRPr="00DD3EE1">
        <w:rPr>
          <w:rFonts w:ascii="Times New Roman" w:hAnsi="Times New Roman"/>
          <w:spacing w:val="-2"/>
          <w:sz w:val="14"/>
          <w:szCs w:val="14"/>
        </w:rPr>
        <w:t>Entlassung eines Zeugen)</w:t>
      </w:r>
      <w:r w:rsidR="00EE5CD2" w:rsidRPr="00DD3EE1">
        <w:rPr>
          <w:rFonts w:ascii="Times New Roman" w:hAnsi="Times New Roman"/>
          <w:spacing w:val="-2"/>
          <w:sz w:val="14"/>
          <w:szCs w:val="14"/>
        </w:rPr>
        <w:t>;</w:t>
      </w:r>
      <w:r w:rsidR="00D74258" w:rsidRPr="00D74258">
        <w:rPr>
          <w:rFonts w:ascii="Arial" w:hAnsi="Arial" w:cs="Times New Roman"/>
          <w:b/>
          <w:bCs/>
          <w:color w:val="339966"/>
          <w:sz w:val="21"/>
          <w:szCs w:val="21"/>
        </w:rPr>
        <w:t xml:space="preserve"> </w:t>
      </w:r>
      <w:r w:rsidR="00D74258" w:rsidRPr="00D74258">
        <w:rPr>
          <w:rFonts w:ascii="Times New Roman" w:hAnsi="Times New Roman"/>
          <w:b/>
          <w:bCs/>
          <w:spacing w:val="-2"/>
          <w:sz w:val="14"/>
          <w:szCs w:val="14"/>
        </w:rPr>
        <w:t>BGHSt 56, 109</w:t>
      </w:r>
      <w:r w:rsidR="00D74258" w:rsidRPr="00D74258">
        <w:rPr>
          <w:rFonts w:ascii="Times New Roman" w:hAnsi="Times New Roman"/>
          <w:bCs/>
          <w:spacing w:val="-2"/>
          <w:sz w:val="14"/>
          <w:szCs w:val="14"/>
        </w:rPr>
        <w:t xml:space="preserve"> – Verlesung des Anklagesatzes (keine Verlesung der Einzeltaten bei Vielzahl gleichartiger Einzeltaten); </w:t>
      </w:r>
      <w:r w:rsidR="00D74258" w:rsidRPr="00D74258">
        <w:rPr>
          <w:rFonts w:ascii="Times New Roman" w:hAnsi="Times New Roman"/>
          <w:b/>
          <w:bCs/>
          <w:spacing w:val="-2"/>
          <w:sz w:val="14"/>
          <w:szCs w:val="14"/>
        </w:rPr>
        <w:t>BGHSt 57, 88</w:t>
      </w:r>
      <w:r w:rsidR="00D74258" w:rsidRPr="00D74258">
        <w:rPr>
          <w:rFonts w:ascii="Times New Roman" w:hAnsi="Times New Roman"/>
          <w:bCs/>
          <w:spacing w:val="-2"/>
          <w:sz w:val="14"/>
          <w:szCs w:val="14"/>
        </w:rPr>
        <w:t xml:space="preserve"> – Anklageschrift (Mängel der Informationsfunktion unerheblich);</w:t>
      </w:r>
      <w:r w:rsidR="001B2C64" w:rsidRPr="00DD3EE1">
        <w:rPr>
          <w:rFonts w:ascii="Times New Roman" w:hAnsi="Times New Roman"/>
          <w:spacing w:val="-2"/>
          <w:sz w:val="14"/>
          <w:szCs w:val="14"/>
        </w:rPr>
        <w:t xml:space="preserve"> </w:t>
      </w:r>
      <w:r w:rsidR="001B2C64" w:rsidRPr="00164CFA">
        <w:rPr>
          <w:rFonts w:ascii="Times New Roman" w:hAnsi="Times New Roman"/>
          <w:b/>
          <w:spacing w:val="-2"/>
          <w:sz w:val="14"/>
          <w:szCs w:val="14"/>
        </w:rPr>
        <w:t>BGHSt 59, 187</w:t>
      </w:r>
      <w:r w:rsidR="001B2C64" w:rsidRPr="00DD3EE1">
        <w:rPr>
          <w:rFonts w:ascii="Times New Roman" w:hAnsi="Times New Roman"/>
          <w:spacing w:val="-2"/>
          <w:sz w:val="14"/>
          <w:szCs w:val="14"/>
        </w:rPr>
        <w:t xml:space="preserve"> – Berufungshauptverhandlung (Abwesenheitsverhandlung gegen inhaftierten Angeklagten);</w:t>
      </w:r>
      <w:r w:rsidR="007334A4">
        <w:rPr>
          <w:rFonts w:ascii="Times New Roman" w:hAnsi="Times New Roman"/>
          <w:spacing w:val="-2"/>
          <w:sz w:val="14"/>
          <w:szCs w:val="14"/>
        </w:rPr>
        <w:t xml:space="preserve"> </w:t>
      </w:r>
      <w:r w:rsidR="00D74258">
        <w:rPr>
          <w:rFonts w:ascii="Times New Roman" w:hAnsi="Times New Roman"/>
          <w:b/>
          <w:spacing w:val="-2"/>
          <w:sz w:val="14"/>
          <w:szCs w:val="14"/>
        </w:rPr>
        <w:t xml:space="preserve">BGHSt 60, 58 – </w:t>
      </w:r>
      <w:r w:rsidR="00D74258" w:rsidRPr="00164CFA">
        <w:rPr>
          <w:rFonts w:ascii="Times New Roman" w:hAnsi="Times New Roman"/>
          <w:spacing w:val="-2"/>
          <w:sz w:val="14"/>
          <w:szCs w:val="14"/>
        </w:rPr>
        <w:t>Ausschluss der Öffentlichkeit (nicht öffentliche Verhandlung über Ausschluss der Öffentlichkeit auf Antrag eines Zeugen)</w:t>
      </w:r>
      <w:r w:rsidR="00D74258">
        <w:rPr>
          <w:rFonts w:ascii="Times New Roman" w:hAnsi="Times New Roman"/>
          <w:spacing w:val="-2"/>
          <w:sz w:val="14"/>
          <w:szCs w:val="14"/>
        </w:rPr>
        <w:t xml:space="preserve">; </w:t>
      </w:r>
      <w:r w:rsidR="008D3C61" w:rsidRPr="003D4379">
        <w:rPr>
          <w:rFonts w:ascii="Times New Roman" w:hAnsi="Times New Roman"/>
          <w:b/>
          <w:spacing w:val="-2"/>
          <w:sz w:val="14"/>
          <w:szCs w:val="14"/>
        </w:rPr>
        <w:t>BGHSt 63, 23</w:t>
      </w:r>
      <w:r w:rsidR="008D3C61">
        <w:rPr>
          <w:rFonts w:ascii="Times New Roman" w:hAnsi="Times New Roman"/>
          <w:spacing w:val="-2"/>
          <w:sz w:val="14"/>
          <w:szCs w:val="14"/>
        </w:rPr>
        <w:t xml:space="preserve"> – Öffentlichkeitsausschluss für Schlussvorträge (einheitlicher Verfahrensbegriff); </w:t>
      </w:r>
      <w:r w:rsidR="00EC4048">
        <w:rPr>
          <w:rFonts w:ascii="Times New Roman" w:hAnsi="Times New Roman"/>
          <w:b/>
          <w:bCs/>
          <w:spacing w:val="-2"/>
          <w:sz w:val="14"/>
          <w:szCs w:val="14"/>
        </w:rPr>
        <w:t>BGHSt 67, 18</w:t>
      </w:r>
      <w:r w:rsidR="00EC4048">
        <w:rPr>
          <w:rFonts w:ascii="Times New Roman" w:hAnsi="Times New Roman"/>
          <w:spacing w:val="-2"/>
          <w:sz w:val="14"/>
          <w:szCs w:val="14"/>
        </w:rPr>
        <w:t xml:space="preserve"> – </w:t>
      </w:r>
      <w:r w:rsidR="000B23F4">
        <w:rPr>
          <w:rFonts w:ascii="Times New Roman" w:hAnsi="Times New Roman"/>
          <w:spacing w:val="-2"/>
          <w:sz w:val="14"/>
          <w:szCs w:val="14"/>
        </w:rPr>
        <w:t xml:space="preserve">Voraussetzungen des Wiedereintritts in </w:t>
      </w:r>
      <w:r w:rsidR="008F4C3B">
        <w:rPr>
          <w:rFonts w:ascii="Times New Roman" w:hAnsi="Times New Roman"/>
          <w:spacing w:val="-2"/>
          <w:sz w:val="14"/>
          <w:szCs w:val="14"/>
        </w:rPr>
        <w:t>HV</w:t>
      </w:r>
      <w:r w:rsidR="000B23F4">
        <w:rPr>
          <w:rFonts w:ascii="Times New Roman" w:hAnsi="Times New Roman"/>
          <w:spacing w:val="-2"/>
          <w:sz w:val="14"/>
          <w:szCs w:val="14"/>
        </w:rPr>
        <w:t xml:space="preserve"> (Ablehnung von Beweisanträgen nach letzte</w:t>
      </w:r>
      <w:r w:rsidR="002B01E6">
        <w:rPr>
          <w:rFonts w:ascii="Times New Roman" w:hAnsi="Times New Roman"/>
          <w:spacing w:val="-2"/>
          <w:sz w:val="14"/>
          <w:szCs w:val="14"/>
        </w:rPr>
        <w:t>m</w:t>
      </w:r>
      <w:r w:rsidR="000B23F4">
        <w:rPr>
          <w:rFonts w:ascii="Times New Roman" w:hAnsi="Times New Roman"/>
          <w:spacing w:val="-2"/>
          <w:sz w:val="14"/>
          <w:szCs w:val="14"/>
        </w:rPr>
        <w:t xml:space="preserve"> Wort des Angeklagten)</w:t>
      </w:r>
      <w:r w:rsidR="00EC4048">
        <w:rPr>
          <w:rFonts w:ascii="Times New Roman" w:hAnsi="Times New Roman"/>
          <w:spacing w:val="-2"/>
          <w:sz w:val="14"/>
          <w:szCs w:val="14"/>
        </w:rPr>
        <w:t xml:space="preserve">; </w:t>
      </w:r>
      <w:r w:rsidR="00EE5CD2" w:rsidRPr="00DD3EE1">
        <w:rPr>
          <w:rFonts w:ascii="Times New Roman" w:hAnsi="Times New Roman"/>
          <w:b/>
          <w:spacing w:val="-2"/>
          <w:sz w:val="14"/>
          <w:szCs w:val="14"/>
        </w:rPr>
        <w:t xml:space="preserve">BGH NJW 2011, 3249 </w:t>
      </w:r>
      <w:r w:rsidR="00EE5CD2" w:rsidRPr="00DD3EE1">
        <w:rPr>
          <w:rFonts w:ascii="Times New Roman" w:hAnsi="Times New Roman"/>
          <w:spacing w:val="-2"/>
          <w:sz w:val="14"/>
          <w:szCs w:val="14"/>
        </w:rPr>
        <w:t>– Hauptverhandlung (Fortsetzung der Hauptverhandlung ohne Angeklagten)</w:t>
      </w:r>
      <w:r w:rsidR="00A00F3D" w:rsidRPr="00DD3EE1">
        <w:rPr>
          <w:rFonts w:ascii="Times New Roman" w:hAnsi="Times New Roman"/>
          <w:spacing w:val="-2"/>
          <w:sz w:val="14"/>
          <w:szCs w:val="14"/>
        </w:rPr>
        <w:t xml:space="preserve">; </w:t>
      </w:r>
      <w:r w:rsidR="007918B4" w:rsidRPr="00DD3EE1">
        <w:rPr>
          <w:rFonts w:ascii="Times New Roman" w:hAnsi="Times New Roman"/>
          <w:b/>
          <w:spacing w:val="-2"/>
          <w:sz w:val="14"/>
          <w:szCs w:val="14"/>
        </w:rPr>
        <w:t>BGH NStZ 2015, 104</w:t>
      </w:r>
      <w:r w:rsidR="007918B4" w:rsidRPr="00DD3EE1">
        <w:rPr>
          <w:rFonts w:ascii="Times New Roman" w:hAnsi="Times New Roman"/>
          <w:spacing w:val="-2"/>
          <w:sz w:val="14"/>
          <w:szCs w:val="14"/>
        </w:rPr>
        <w:t xml:space="preserve"> – Abwesenheit des Angeklagten (Abwesenheitsverhandlung über Entlassung eines Zeugen); </w:t>
      </w:r>
      <w:r w:rsidR="003D4379" w:rsidRPr="003D4379">
        <w:rPr>
          <w:rFonts w:ascii="Times New Roman" w:hAnsi="Times New Roman"/>
          <w:b/>
          <w:spacing w:val="-2"/>
          <w:sz w:val="14"/>
          <w:szCs w:val="14"/>
        </w:rPr>
        <w:t>BGH NJW 2018, 414</w:t>
      </w:r>
      <w:r w:rsidR="003D4379">
        <w:rPr>
          <w:rFonts w:ascii="Times New Roman" w:hAnsi="Times New Roman"/>
          <w:spacing w:val="-2"/>
          <w:sz w:val="14"/>
          <w:szCs w:val="14"/>
        </w:rPr>
        <w:t xml:space="preserve"> – Letztes Wort (Erörterung von Beweisanträgen nach dem letzten Wort des Angeklagten); </w:t>
      </w:r>
      <w:r w:rsidR="00D54964" w:rsidRPr="003D4379">
        <w:rPr>
          <w:rFonts w:ascii="Times New Roman" w:hAnsi="Times New Roman"/>
          <w:b/>
          <w:spacing w:val="-2"/>
          <w:sz w:val="14"/>
          <w:szCs w:val="14"/>
        </w:rPr>
        <w:t>BGH NStZ 2019, 293</w:t>
      </w:r>
      <w:r w:rsidR="00D54964">
        <w:rPr>
          <w:rFonts w:ascii="Times New Roman" w:hAnsi="Times New Roman"/>
          <w:spacing w:val="-2"/>
          <w:sz w:val="14"/>
          <w:szCs w:val="14"/>
        </w:rPr>
        <w:t xml:space="preserve"> – Verlesung des Anklagesatzes (Hauptverhandlung</w:t>
      </w:r>
      <w:r w:rsidR="00D54964" w:rsidRPr="00D54964">
        <w:rPr>
          <w:rFonts w:ascii="Times New Roman" w:hAnsi="Times New Roman"/>
          <w:spacing w:val="-2"/>
          <w:sz w:val="14"/>
          <w:szCs w:val="14"/>
        </w:rPr>
        <w:t xml:space="preserve"> nach Zurückverweisung durch Revisionsgericht</w:t>
      </w:r>
      <w:r w:rsidR="00D54964">
        <w:rPr>
          <w:rFonts w:ascii="Times New Roman" w:hAnsi="Times New Roman"/>
          <w:spacing w:val="-2"/>
          <w:sz w:val="14"/>
          <w:szCs w:val="14"/>
        </w:rPr>
        <w:t>)</w:t>
      </w:r>
      <w:r w:rsidR="000B23F4">
        <w:rPr>
          <w:rFonts w:ascii="Times New Roman" w:hAnsi="Times New Roman"/>
          <w:spacing w:val="-2"/>
          <w:sz w:val="14"/>
          <w:szCs w:val="14"/>
        </w:rPr>
        <w:t>.</w:t>
      </w:r>
    </w:p>
    <w:sectPr w:rsidR="00653F85" w:rsidRPr="00E244B9" w:rsidSect="00653F85">
      <w:pgSz w:w="11906" w:h="16838"/>
      <w:pgMar w:top="567" w:right="680"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69FC" w14:textId="77777777" w:rsidR="000E0A67" w:rsidRDefault="000E0A67">
      <w:r>
        <w:separator/>
      </w:r>
    </w:p>
  </w:endnote>
  <w:endnote w:type="continuationSeparator" w:id="0">
    <w:p w14:paraId="144B0377" w14:textId="77777777" w:rsidR="000E0A67" w:rsidRDefault="000E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3898" w14:textId="77777777" w:rsidR="000E0A67" w:rsidRDefault="000E0A67">
      <w:r>
        <w:separator/>
      </w:r>
    </w:p>
  </w:footnote>
  <w:footnote w:type="continuationSeparator" w:id="0">
    <w:p w14:paraId="12BDB4BD" w14:textId="77777777" w:rsidR="000E0A67" w:rsidRDefault="000E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E25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2"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1613898030">
    <w:abstractNumId w:val="4"/>
  </w:num>
  <w:num w:numId="2" w16cid:durableId="847908180">
    <w:abstractNumId w:val="3"/>
  </w:num>
  <w:num w:numId="3" w16cid:durableId="29689192">
    <w:abstractNumId w:val="1"/>
  </w:num>
  <w:num w:numId="4" w16cid:durableId="1321278236">
    <w:abstractNumId w:val="6"/>
  </w:num>
  <w:num w:numId="5" w16cid:durableId="1230964466">
    <w:abstractNumId w:val="2"/>
  </w:num>
  <w:num w:numId="6" w16cid:durableId="1531989710">
    <w:abstractNumId w:val="5"/>
  </w:num>
  <w:num w:numId="7" w16cid:durableId="44041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de-DE" w:vendorID="6" w:dllVersion="2" w:checkStyle="1"/>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0FC8"/>
    <w:rsid w:val="00003CB6"/>
    <w:rsid w:val="0000520F"/>
    <w:rsid w:val="00005B29"/>
    <w:rsid w:val="00017BD8"/>
    <w:rsid w:val="000213F7"/>
    <w:rsid w:val="00022458"/>
    <w:rsid w:val="00091423"/>
    <w:rsid w:val="000945B7"/>
    <w:rsid w:val="000A24EC"/>
    <w:rsid w:val="000A278F"/>
    <w:rsid w:val="000A285C"/>
    <w:rsid w:val="000B23F4"/>
    <w:rsid w:val="000B4D15"/>
    <w:rsid w:val="000E0A67"/>
    <w:rsid w:val="00114C86"/>
    <w:rsid w:val="00133CA1"/>
    <w:rsid w:val="001347E3"/>
    <w:rsid w:val="00156CA7"/>
    <w:rsid w:val="00164CFA"/>
    <w:rsid w:val="001A5E0F"/>
    <w:rsid w:val="001B2C64"/>
    <w:rsid w:val="001B41E3"/>
    <w:rsid w:val="001C1003"/>
    <w:rsid w:val="001D1B1C"/>
    <w:rsid w:val="001D294C"/>
    <w:rsid w:val="0021597E"/>
    <w:rsid w:val="002206D5"/>
    <w:rsid w:val="00232933"/>
    <w:rsid w:val="00267FC7"/>
    <w:rsid w:val="0028648D"/>
    <w:rsid w:val="002925F7"/>
    <w:rsid w:val="002A305F"/>
    <w:rsid w:val="002B01E6"/>
    <w:rsid w:val="002D10C9"/>
    <w:rsid w:val="002D74B8"/>
    <w:rsid w:val="002E1570"/>
    <w:rsid w:val="002F01F6"/>
    <w:rsid w:val="00316AB2"/>
    <w:rsid w:val="003C61AF"/>
    <w:rsid w:val="003D3EB3"/>
    <w:rsid w:val="003D4379"/>
    <w:rsid w:val="00440738"/>
    <w:rsid w:val="004562B6"/>
    <w:rsid w:val="00462D26"/>
    <w:rsid w:val="0047117C"/>
    <w:rsid w:val="00494BB3"/>
    <w:rsid w:val="00495E48"/>
    <w:rsid w:val="004D5290"/>
    <w:rsid w:val="004D6E26"/>
    <w:rsid w:val="004E19E7"/>
    <w:rsid w:val="005024BC"/>
    <w:rsid w:val="00512525"/>
    <w:rsid w:val="005162B1"/>
    <w:rsid w:val="00521FAB"/>
    <w:rsid w:val="005256A2"/>
    <w:rsid w:val="00580430"/>
    <w:rsid w:val="00581DF3"/>
    <w:rsid w:val="00591D3F"/>
    <w:rsid w:val="00594FFD"/>
    <w:rsid w:val="00595A53"/>
    <w:rsid w:val="005B6A22"/>
    <w:rsid w:val="005B7462"/>
    <w:rsid w:val="005B7E67"/>
    <w:rsid w:val="005C375A"/>
    <w:rsid w:val="005E365C"/>
    <w:rsid w:val="0060135C"/>
    <w:rsid w:val="00601B5E"/>
    <w:rsid w:val="00653F85"/>
    <w:rsid w:val="006B10A9"/>
    <w:rsid w:val="006B7418"/>
    <w:rsid w:val="006E1DD7"/>
    <w:rsid w:val="006F7935"/>
    <w:rsid w:val="00701B60"/>
    <w:rsid w:val="00731B14"/>
    <w:rsid w:val="007334A4"/>
    <w:rsid w:val="00736DEB"/>
    <w:rsid w:val="00741E18"/>
    <w:rsid w:val="007918B4"/>
    <w:rsid w:val="007A1F5D"/>
    <w:rsid w:val="007C399F"/>
    <w:rsid w:val="007D2920"/>
    <w:rsid w:val="007D4BC0"/>
    <w:rsid w:val="007F2E0F"/>
    <w:rsid w:val="007F4846"/>
    <w:rsid w:val="00804D49"/>
    <w:rsid w:val="008250C3"/>
    <w:rsid w:val="0083266E"/>
    <w:rsid w:val="0087607B"/>
    <w:rsid w:val="00880A3F"/>
    <w:rsid w:val="00884785"/>
    <w:rsid w:val="008A275D"/>
    <w:rsid w:val="008B0921"/>
    <w:rsid w:val="008B0BB7"/>
    <w:rsid w:val="008D2407"/>
    <w:rsid w:val="008D3C61"/>
    <w:rsid w:val="008F4C3B"/>
    <w:rsid w:val="00931F8C"/>
    <w:rsid w:val="009739B5"/>
    <w:rsid w:val="009766F8"/>
    <w:rsid w:val="00991377"/>
    <w:rsid w:val="009A271C"/>
    <w:rsid w:val="009E107A"/>
    <w:rsid w:val="00A00F3D"/>
    <w:rsid w:val="00A14AA1"/>
    <w:rsid w:val="00A62B27"/>
    <w:rsid w:val="00A72BEF"/>
    <w:rsid w:val="00A7685A"/>
    <w:rsid w:val="00A870FC"/>
    <w:rsid w:val="00AA3C20"/>
    <w:rsid w:val="00B0357E"/>
    <w:rsid w:val="00B06C08"/>
    <w:rsid w:val="00B30E81"/>
    <w:rsid w:val="00B52323"/>
    <w:rsid w:val="00B77B6B"/>
    <w:rsid w:val="00B9113D"/>
    <w:rsid w:val="00BA71E7"/>
    <w:rsid w:val="00BE2BC4"/>
    <w:rsid w:val="00C32A85"/>
    <w:rsid w:val="00C351DF"/>
    <w:rsid w:val="00C57C2D"/>
    <w:rsid w:val="00C70B5D"/>
    <w:rsid w:val="00C84173"/>
    <w:rsid w:val="00C946F0"/>
    <w:rsid w:val="00C954E8"/>
    <w:rsid w:val="00CD669D"/>
    <w:rsid w:val="00CF57DB"/>
    <w:rsid w:val="00D00CE1"/>
    <w:rsid w:val="00D06B4F"/>
    <w:rsid w:val="00D429F6"/>
    <w:rsid w:val="00D54964"/>
    <w:rsid w:val="00D606DB"/>
    <w:rsid w:val="00D6166A"/>
    <w:rsid w:val="00D70C20"/>
    <w:rsid w:val="00D74258"/>
    <w:rsid w:val="00D83E25"/>
    <w:rsid w:val="00DB6A23"/>
    <w:rsid w:val="00DD18F0"/>
    <w:rsid w:val="00DD3EE1"/>
    <w:rsid w:val="00E11F1A"/>
    <w:rsid w:val="00E244B9"/>
    <w:rsid w:val="00E32A04"/>
    <w:rsid w:val="00E42D80"/>
    <w:rsid w:val="00E624DD"/>
    <w:rsid w:val="00EA0004"/>
    <w:rsid w:val="00EB7FFD"/>
    <w:rsid w:val="00EC4048"/>
    <w:rsid w:val="00EE5CD2"/>
    <w:rsid w:val="00F00C7F"/>
    <w:rsid w:val="00F03EE9"/>
    <w:rsid w:val="00F37BD9"/>
    <w:rsid w:val="00F4341A"/>
    <w:rsid w:val="00F63EC9"/>
    <w:rsid w:val="00F80D61"/>
    <w:rsid w:val="00F9104A"/>
    <w:rsid w:val="00FC2873"/>
    <w:rsid w:val="00FC5E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9AEEC5"/>
  <w15:chartTrackingRefBased/>
  <w15:docId w15:val="{2D12AA2D-0241-4E49-8CFF-67FDC68F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Sprechblasentext">
    <w:name w:val="Balloon Text"/>
    <w:basedOn w:val="Standard"/>
    <w:semiHidden/>
    <w:rsid w:val="001A111D"/>
    <w:rPr>
      <w:rFonts w:ascii="Tahoma" w:hAnsi="Tahoma" w:cs="Tahoma"/>
      <w:sz w:val="16"/>
      <w:szCs w:val="16"/>
    </w:rPr>
  </w:style>
  <w:style w:type="character" w:styleId="Kommentarzeichen">
    <w:name w:val="annotation reference"/>
    <w:uiPriority w:val="99"/>
    <w:semiHidden/>
    <w:unhideWhenUsed/>
    <w:rsid w:val="007F4846"/>
    <w:rPr>
      <w:sz w:val="18"/>
      <w:szCs w:val="18"/>
    </w:rPr>
  </w:style>
  <w:style w:type="paragraph" w:styleId="Kommentartext">
    <w:name w:val="annotation text"/>
    <w:basedOn w:val="Standard"/>
    <w:link w:val="KommentartextZchn"/>
    <w:uiPriority w:val="99"/>
    <w:semiHidden/>
    <w:unhideWhenUsed/>
    <w:rsid w:val="007F4846"/>
  </w:style>
  <w:style w:type="character" w:customStyle="1" w:styleId="KommentartextZchn">
    <w:name w:val="Kommentartext Zchn"/>
    <w:link w:val="Kommentartext"/>
    <w:uiPriority w:val="99"/>
    <w:semiHidden/>
    <w:rsid w:val="007F4846"/>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7F4846"/>
    <w:rPr>
      <w:b/>
      <w:bCs/>
      <w:sz w:val="20"/>
      <w:szCs w:val="20"/>
    </w:rPr>
  </w:style>
  <w:style w:type="character" w:customStyle="1" w:styleId="KommentarthemaZchn">
    <w:name w:val="Kommentarthema Zchn"/>
    <w:link w:val="Kommentarthema"/>
    <w:uiPriority w:val="99"/>
    <w:semiHidden/>
    <w:rsid w:val="007F4846"/>
    <w:rPr>
      <w:rFonts w:ascii="Dutch Roman 12pt" w:hAnsi="Dutch Roman 12pt" w:cs="Arial Narrow"/>
      <w:b/>
      <w:bCs/>
      <w:sz w:val="24"/>
      <w:szCs w:val="24"/>
    </w:rPr>
  </w:style>
  <w:style w:type="paragraph" w:styleId="berarbeitung">
    <w:name w:val="Revision"/>
    <w:hidden/>
    <w:uiPriority w:val="71"/>
    <w:rsid w:val="00EC4048"/>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7995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2020-10-16T11:50:00Z</cp:lastPrinted>
  <dcterms:created xsi:type="dcterms:W3CDTF">2024-10-04T13:12:00Z</dcterms:created>
  <dcterms:modified xsi:type="dcterms:W3CDTF">2024-10-04T13:12:00Z</dcterms:modified>
</cp:coreProperties>
</file>