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09169" w14:textId="00057623" w:rsidR="00265521" w:rsidRDefault="00265521" w:rsidP="00265521">
      <w:pPr>
        <w:tabs>
          <w:tab w:val="right" w:pos="10206"/>
        </w:tabs>
        <w:jc w:val="both"/>
        <w:rPr>
          <w:b/>
          <w:spacing w:val="-3"/>
        </w:rPr>
      </w:pPr>
      <w:r w:rsidRPr="004117BA">
        <w:rPr>
          <w:b/>
          <w:spacing w:val="-3"/>
        </w:rPr>
        <w:t xml:space="preserve">Prof. Dr. </w:t>
      </w:r>
      <w:r w:rsidR="004F027E">
        <w:rPr>
          <w:b/>
          <w:spacing w:val="-3"/>
        </w:rPr>
        <w:t xml:space="preserve">Dr. h.c. </w:t>
      </w:r>
      <w:r w:rsidRPr="004117BA">
        <w:rPr>
          <w:b/>
          <w:spacing w:val="-3"/>
        </w:rPr>
        <w:t>Bernd Heinrich</w:t>
      </w:r>
      <w:r>
        <w:rPr>
          <w:b/>
          <w:spacing w:val="-3"/>
        </w:rPr>
        <w:t>/</w:t>
      </w:r>
      <w:r w:rsidR="00FA220B">
        <w:rPr>
          <w:b/>
          <w:spacing w:val="-3"/>
        </w:rPr>
        <w:t>Prof</w:t>
      </w:r>
      <w:r w:rsidR="00600BA2">
        <w:rPr>
          <w:b/>
          <w:spacing w:val="-3"/>
        </w:rPr>
        <w:t xml:space="preserve">. </w:t>
      </w:r>
      <w:r>
        <w:rPr>
          <w:b/>
          <w:spacing w:val="-3"/>
        </w:rPr>
        <w:t>Dr. Tobias Reinbacher</w:t>
      </w:r>
      <w:r>
        <w:rPr>
          <w:b/>
          <w:spacing w:val="-3"/>
        </w:rPr>
        <w:tab/>
        <w:t xml:space="preserve">Stand: 1. </w:t>
      </w:r>
      <w:r w:rsidR="009A24C6">
        <w:rPr>
          <w:b/>
          <w:spacing w:val="-3"/>
        </w:rPr>
        <w:t>Oktober</w:t>
      </w:r>
      <w:r w:rsidR="00A6207B">
        <w:rPr>
          <w:b/>
          <w:spacing w:val="-3"/>
        </w:rPr>
        <w:t xml:space="preserve"> </w:t>
      </w:r>
      <w:r w:rsidR="00407CD6">
        <w:rPr>
          <w:b/>
          <w:spacing w:val="-3"/>
        </w:rPr>
        <w:t>202</w:t>
      </w:r>
      <w:r w:rsidR="00B11D81">
        <w:rPr>
          <w:b/>
          <w:spacing w:val="-3"/>
        </w:rPr>
        <w:t>4</w:t>
      </w:r>
    </w:p>
    <w:p w14:paraId="2E9723E4" w14:textId="77777777" w:rsidR="00265521" w:rsidRPr="00133058" w:rsidRDefault="00265521" w:rsidP="00265521">
      <w:pPr>
        <w:tabs>
          <w:tab w:val="right" w:pos="10206"/>
        </w:tabs>
        <w:jc w:val="both"/>
        <w:rPr>
          <w:b/>
          <w:spacing w:val="-3"/>
          <w:sz w:val="8"/>
          <w:szCs w:val="8"/>
        </w:rPr>
      </w:pPr>
    </w:p>
    <w:p w14:paraId="7748A4E3" w14:textId="77777777" w:rsidR="00265521" w:rsidRPr="00133058" w:rsidRDefault="00265521">
      <w:pPr>
        <w:tabs>
          <w:tab w:val="left" w:pos="-720"/>
        </w:tabs>
        <w:jc w:val="both"/>
        <w:rPr>
          <w:spacing w:val="-3"/>
          <w:sz w:val="16"/>
          <w:szCs w:val="16"/>
        </w:rPr>
      </w:pPr>
    </w:p>
    <w:p w14:paraId="38EA881C" w14:textId="50FDA195" w:rsidR="00265521" w:rsidRPr="00F73D7C" w:rsidRDefault="00265521" w:rsidP="00265521">
      <w:pPr>
        <w:framePr w:w="9726" w:h="1417" w:hSpace="240" w:vSpace="120" w:wrap="auto" w:vAnchor="text" w:hAnchor="page" w:x="1472" w:y="-4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szCs w:val="40"/>
        </w:rPr>
      </w:pPr>
      <w:r w:rsidRPr="00F73D7C">
        <w:rPr>
          <w:b/>
          <w:spacing w:val="-3"/>
          <w:szCs w:val="40"/>
        </w:rPr>
        <w:t>Examinatorium Strafprozessrecht – Arbeitsblatt Nr.</w:t>
      </w:r>
      <w:r w:rsidR="00B11D81">
        <w:rPr>
          <w:b/>
          <w:spacing w:val="-3"/>
          <w:szCs w:val="40"/>
        </w:rPr>
        <w:t> </w:t>
      </w:r>
      <w:r w:rsidRPr="00F73D7C">
        <w:rPr>
          <w:b/>
          <w:spacing w:val="-3"/>
          <w:szCs w:val="40"/>
        </w:rPr>
        <w:t>7</w:t>
      </w:r>
    </w:p>
    <w:p w14:paraId="18746687" w14:textId="77777777" w:rsidR="00265521" w:rsidRPr="00C90069" w:rsidRDefault="00265521" w:rsidP="00265521">
      <w:pPr>
        <w:framePr w:w="9726" w:h="1417" w:hSpace="240" w:vSpace="120" w:wrap="auto" w:vAnchor="text" w:hAnchor="page" w:x="1472" w:y="-4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b/>
          <w:spacing w:val="-7"/>
          <w:sz w:val="52"/>
          <w:szCs w:val="52"/>
        </w:rPr>
      </w:pPr>
      <w:r w:rsidRPr="00C90069">
        <w:rPr>
          <w:b/>
          <w:spacing w:val="-7"/>
          <w:sz w:val="52"/>
          <w:szCs w:val="52"/>
        </w:rPr>
        <w:t xml:space="preserve">Gerichtsaufbau II – Sachliche </w:t>
      </w:r>
    </w:p>
    <w:p w14:paraId="448E000A" w14:textId="77777777" w:rsidR="00265521" w:rsidRPr="00C90069" w:rsidRDefault="00265521" w:rsidP="00265521">
      <w:pPr>
        <w:framePr w:w="9726" w:h="1417" w:hSpace="240" w:vSpace="120" w:wrap="auto" w:vAnchor="text" w:hAnchor="page" w:x="1472" w:y="-46"/>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C90069">
        <w:rPr>
          <w:b/>
          <w:spacing w:val="-7"/>
          <w:sz w:val="52"/>
          <w:szCs w:val="52"/>
        </w:rPr>
        <w:t>Zuständigkeit in der ersten Instanz</w:t>
      </w:r>
    </w:p>
    <w:p w14:paraId="16A465EA" w14:textId="77777777" w:rsidR="00265521" w:rsidRPr="007D212E" w:rsidRDefault="00265521" w:rsidP="00265521">
      <w:pPr>
        <w:pStyle w:val="Beschriftung"/>
        <w:framePr w:w="9726" w:h="1417" w:hSpace="240" w:vSpace="120" w:wrap="auto" w:vAnchor="text" w:hAnchor="page" w:x="1472" w:y="-46"/>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18"/>
          <w:szCs w:val="18"/>
        </w:rPr>
      </w:pPr>
      <w:r w:rsidRPr="007D212E">
        <w:rPr>
          <w:rFonts w:ascii="Times New Roman" w:hAnsi="Times New Roman"/>
          <w:vanish/>
          <w:spacing w:val="-7"/>
          <w:sz w:val="18"/>
          <w:szCs w:val="18"/>
        </w:rPr>
        <w:fldChar w:fldCharType="begin"/>
      </w:r>
      <w:r w:rsidR="007E04B6">
        <w:rPr>
          <w:rFonts w:ascii="Times New Roman" w:hAnsi="Times New Roman"/>
          <w:vanish/>
          <w:spacing w:val="-7"/>
          <w:sz w:val="18"/>
          <w:szCs w:val="18"/>
        </w:rPr>
        <w:instrText>SEQ</w:instrText>
      </w:r>
      <w:r w:rsidRPr="007D212E">
        <w:rPr>
          <w:rFonts w:ascii="Times New Roman" w:hAnsi="Times New Roman"/>
          <w:vanish/>
          <w:spacing w:val="-7"/>
          <w:sz w:val="18"/>
          <w:szCs w:val="18"/>
        </w:rPr>
        <w:instrText xml:space="preserve"> Text_Box  \* ARABIC</w:instrText>
      </w:r>
      <w:r w:rsidRPr="007D212E">
        <w:rPr>
          <w:rFonts w:ascii="Times New Roman" w:hAnsi="Times New Roman"/>
          <w:vanish/>
          <w:spacing w:val="-7"/>
          <w:sz w:val="18"/>
          <w:szCs w:val="18"/>
        </w:rPr>
        <w:fldChar w:fldCharType="separate"/>
      </w:r>
      <w:r w:rsidR="00FA513C">
        <w:rPr>
          <w:rFonts w:ascii="Times New Roman" w:hAnsi="Times New Roman"/>
          <w:noProof/>
          <w:vanish/>
          <w:spacing w:val="-7"/>
          <w:sz w:val="18"/>
          <w:szCs w:val="18"/>
        </w:rPr>
        <w:t>1</w:t>
      </w:r>
      <w:r w:rsidRPr="007D212E">
        <w:rPr>
          <w:rFonts w:ascii="Times New Roman" w:hAnsi="Times New Roman"/>
          <w:vanish/>
          <w:spacing w:val="-7"/>
          <w:sz w:val="18"/>
          <w:szCs w:val="18"/>
        </w:rPr>
        <w:fldChar w:fldCharType="end"/>
      </w:r>
    </w:p>
    <w:p w14:paraId="3BE67329" w14:textId="77777777" w:rsidR="00265521" w:rsidRPr="003656E8" w:rsidRDefault="00265521" w:rsidP="0026552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jc w:val="both"/>
        <w:outlineLvl w:val="0"/>
        <w:rPr>
          <w:rFonts w:ascii="Times New Roman" w:hAnsi="Times New Roman"/>
          <w:b/>
          <w:spacing w:val="-2"/>
          <w:sz w:val="22"/>
          <w:szCs w:val="22"/>
        </w:rPr>
      </w:pPr>
      <w:r w:rsidRPr="003656E8">
        <w:rPr>
          <w:rFonts w:ascii="Times New Roman" w:hAnsi="Times New Roman"/>
          <w:b/>
          <w:spacing w:val="-2"/>
          <w:sz w:val="22"/>
          <w:szCs w:val="22"/>
        </w:rPr>
        <w:t>Die sachliche Zuständigkeit (in erster Instanz)</w:t>
      </w:r>
    </w:p>
    <w:p w14:paraId="12DCCBBB" w14:textId="77777777" w:rsidR="00265521" w:rsidRPr="003656E8" w:rsidRDefault="00265521" w:rsidP="0026552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spacing w:before="120"/>
        <w:ind w:left="284" w:right="-149" w:hanging="284"/>
        <w:jc w:val="both"/>
        <w:rPr>
          <w:rFonts w:ascii="Times New Roman" w:hAnsi="Times New Roman"/>
          <w:spacing w:val="-2"/>
          <w:sz w:val="22"/>
          <w:szCs w:val="22"/>
        </w:rPr>
      </w:pPr>
      <w:r w:rsidRPr="003656E8">
        <w:rPr>
          <w:rFonts w:ascii="Times New Roman" w:hAnsi="Times New Roman"/>
          <w:spacing w:val="-2"/>
          <w:sz w:val="22"/>
          <w:szCs w:val="22"/>
          <w:u w:val="single"/>
        </w:rPr>
        <w:t xml:space="preserve">1. </w:t>
      </w:r>
      <w:r w:rsidRPr="003656E8">
        <w:rPr>
          <w:rFonts w:ascii="Times New Roman" w:hAnsi="Times New Roman"/>
          <w:spacing w:val="-2"/>
          <w:sz w:val="22"/>
          <w:szCs w:val="22"/>
          <w:u w:val="single"/>
        </w:rPr>
        <w:tab/>
        <w:t>Das Amtsgericht:</w:t>
      </w:r>
      <w:r w:rsidRPr="003656E8">
        <w:rPr>
          <w:rFonts w:ascii="Times New Roman" w:hAnsi="Times New Roman"/>
          <w:spacing w:val="-2"/>
          <w:sz w:val="22"/>
          <w:szCs w:val="22"/>
        </w:rPr>
        <w:t xml:space="preserve"> Regelzuständigkeit nach § 24 I GVG, wenn keine der hier genannten Ausnahmen (Zuständigkeit gewisser Spruchkörper des LG oder des OLG, Straferwartung über vier Jahre Freiheitsstrafe, besondere Bedeutung des Falles) eingreift. Das Amtsgericht darf auch später im Urteil nicht auf eine höhere Strafe als vier Jahre Freiheitsstrafe erkennen, § 2</w:t>
      </w:r>
      <w:r w:rsidR="00024975" w:rsidRPr="003656E8">
        <w:rPr>
          <w:rFonts w:ascii="Times New Roman" w:hAnsi="Times New Roman"/>
          <w:spacing w:val="-2"/>
          <w:sz w:val="22"/>
          <w:szCs w:val="22"/>
        </w:rPr>
        <w:t>4</w:t>
      </w:r>
      <w:r w:rsidRPr="003656E8">
        <w:rPr>
          <w:rFonts w:ascii="Times New Roman" w:hAnsi="Times New Roman"/>
          <w:spacing w:val="-2"/>
          <w:sz w:val="22"/>
          <w:szCs w:val="22"/>
        </w:rPr>
        <w:t> II GVG.</w:t>
      </w:r>
    </w:p>
    <w:p w14:paraId="3B8084A0" w14:textId="7A9ACCF1" w:rsidR="00265521" w:rsidRPr="003656E8" w:rsidRDefault="00265521" w:rsidP="00265521">
      <w:pPr>
        <w:widowControl/>
        <w:tabs>
          <w:tab w:val="left" w:pos="-720"/>
          <w:tab w:val="left" w:pos="0"/>
          <w:tab w:val="left" w:pos="567"/>
          <w:tab w:val="left" w:pos="864"/>
          <w:tab w:val="left" w:pos="1116"/>
          <w:tab w:val="left" w:pos="1404"/>
          <w:tab w:val="left" w:pos="1692"/>
          <w:tab w:val="left" w:pos="1980"/>
          <w:tab w:val="left" w:pos="2268"/>
          <w:tab w:val="left" w:pos="2880"/>
        </w:tabs>
        <w:ind w:left="567" w:right="-149" w:hanging="283"/>
        <w:jc w:val="both"/>
        <w:rPr>
          <w:rFonts w:ascii="Times New Roman" w:hAnsi="Times New Roman"/>
          <w:spacing w:val="-2"/>
          <w:sz w:val="22"/>
          <w:szCs w:val="22"/>
        </w:rPr>
      </w:pPr>
      <w:r w:rsidRPr="003656E8">
        <w:rPr>
          <w:rFonts w:ascii="Times New Roman" w:hAnsi="Times New Roman"/>
          <w:spacing w:val="-2"/>
          <w:sz w:val="22"/>
          <w:szCs w:val="22"/>
        </w:rPr>
        <w:t xml:space="preserve">a) </w:t>
      </w:r>
      <w:r w:rsidRPr="003656E8">
        <w:rPr>
          <w:rFonts w:ascii="Times New Roman" w:hAnsi="Times New Roman"/>
          <w:spacing w:val="-2"/>
          <w:sz w:val="22"/>
          <w:szCs w:val="22"/>
        </w:rPr>
        <w:tab/>
        <w:t>Strafrichter</w:t>
      </w:r>
      <w:r w:rsidRPr="003656E8">
        <w:rPr>
          <w:rFonts w:ascii="Times New Roman" w:hAnsi="Times New Roman"/>
          <w:i/>
          <w:spacing w:val="-2"/>
          <w:sz w:val="22"/>
          <w:szCs w:val="22"/>
        </w:rPr>
        <w:t xml:space="preserve"> </w:t>
      </w:r>
      <w:r w:rsidRPr="003656E8">
        <w:rPr>
          <w:rFonts w:ascii="Times New Roman" w:hAnsi="Times New Roman"/>
          <w:spacing w:val="-2"/>
          <w:sz w:val="22"/>
          <w:szCs w:val="22"/>
        </w:rPr>
        <w:t>(1 Berufsrichter, § 25 GVG): entscheidet über</w:t>
      </w:r>
      <w:r w:rsidRPr="003656E8">
        <w:rPr>
          <w:rFonts w:ascii="Times New Roman" w:hAnsi="Times New Roman"/>
          <w:i/>
          <w:spacing w:val="-2"/>
          <w:sz w:val="22"/>
          <w:szCs w:val="22"/>
        </w:rPr>
        <w:t xml:space="preserve"> </w:t>
      </w:r>
      <w:r w:rsidRPr="003656E8">
        <w:rPr>
          <w:rFonts w:ascii="Times New Roman" w:hAnsi="Times New Roman"/>
          <w:spacing w:val="-2"/>
          <w:sz w:val="22"/>
          <w:szCs w:val="22"/>
        </w:rPr>
        <w:t xml:space="preserve">leichtere Kriminalität, wenn </w:t>
      </w:r>
      <w:proofErr w:type="spellStart"/>
      <w:r w:rsidRPr="003656E8">
        <w:rPr>
          <w:rFonts w:ascii="Times New Roman" w:hAnsi="Times New Roman"/>
          <w:spacing w:val="-2"/>
          <w:sz w:val="22"/>
          <w:szCs w:val="22"/>
        </w:rPr>
        <w:t>aa</w:t>
      </w:r>
      <w:proofErr w:type="spellEnd"/>
      <w:r w:rsidRPr="003656E8">
        <w:rPr>
          <w:rFonts w:ascii="Times New Roman" w:hAnsi="Times New Roman"/>
          <w:spacing w:val="-2"/>
          <w:sz w:val="22"/>
          <w:szCs w:val="22"/>
        </w:rPr>
        <w:t xml:space="preserve">) das AG sachlich zuständig ist und </w:t>
      </w:r>
      <w:proofErr w:type="spellStart"/>
      <w:r w:rsidRPr="003656E8">
        <w:rPr>
          <w:rFonts w:ascii="Times New Roman" w:hAnsi="Times New Roman"/>
          <w:spacing w:val="-2"/>
          <w:sz w:val="22"/>
          <w:szCs w:val="22"/>
        </w:rPr>
        <w:t>bb</w:t>
      </w:r>
      <w:proofErr w:type="spellEnd"/>
      <w:r w:rsidRPr="003656E8">
        <w:rPr>
          <w:rFonts w:ascii="Times New Roman" w:hAnsi="Times New Roman"/>
          <w:spacing w:val="-2"/>
          <w:sz w:val="22"/>
          <w:szCs w:val="22"/>
        </w:rPr>
        <w:t xml:space="preserve">) es sich um ein Vergehen </w:t>
      </w:r>
      <w:r w:rsidR="008C617B" w:rsidRPr="003656E8">
        <w:rPr>
          <w:rFonts w:ascii="Times New Roman" w:hAnsi="Times New Roman"/>
          <w:spacing w:val="-2"/>
          <w:sz w:val="22"/>
          <w:szCs w:val="22"/>
        </w:rPr>
        <w:t xml:space="preserve">(§ 12 II StGB) </w:t>
      </w:r>
      <w:r w:rsidRPr="003656E8">
        <w:rPr>
          <w:rFonts w:ascii="Times New Roman" w:hAnsi="Times New Roman"/>
          <w:spacing w:val="-2"/>
          <w:sz w:val="22"/>
          <w:szCs w:val="22"/>
        </w:rPr>
        <w:t xml:space="preserve">handelt, das entweder im Wege der Privatklage, § 374 StPO (siehe dazu Arbeitsblatt Nr. 48), verfolgt </w:t>
      </w:r>
      <w:r w:rsidR="004F027E">
        <w:rPr>
          <w:rFonts w:ascii="Times New Roman" w:hAnsi="Times New Roman"/>
          <w:spacing w:val="-2"/>
          <w:sz w:val="22"/>
          <w:szCs w:val="22"/>
        </w:rPr>
        <w:t>wird</w:t>
      </w:r>
      <w:r w:rsidRPr="003656E8">
        <w:rPr>
          <w:rFonts w:ascii="Times New Roman" w:hAnsi="Times New Roman"/>
          <w:spacing w:val="-2"/>
          <w:sz w:val="22"/>
          <w:szCs w:val="22"/>
        </w:rPr>
        <w:t xml:space="preserve"> oder bei dem keine höhere Strafe als Freiheitsstrafe von </w:t>
      </w:r>
      <w:r w:rsidRPr="003656E8">
        <w:rPr>
          <w:rFonts w:ascii="Times New Roman" w:hAnsi="Times New Roman"/>
          <w:b/>
          <w:spacing w:val="-2"/>
          <w:sz w:val="22"/>
          <w:szCs w:val="22"/>
        </w:rPr>
        <w:t>zwei Jahren</w:t>
      </w:r>
      <w:r w:rsidRPr="003656E8">
        <w:rPr>
          <w:rFonts w:ascii="Times New Roman" w:hAnsi="Times New Roman"/>
          <w:spacing w:val="-2"/>
          <w:sz w:val="22"/>
          <w:szCs w:val="22"/>
        </w:rPr>
        <w:t xml:space="preserve"> zu erwarten ist. War eine Freiheitsstrafe von unter zwei Jahren prognostiziert, kann dennoch eine solche bis zu vier Jahren verhängt werden, wenn sich im Prozess herausstellt, dass diese angemessen ist, denn die Strafgewalt des Amtsrichters geht genauso weit wie die des Schöffengerichts.</w:t>
      </w:r>
    </w:p>
    <w:p w14:paraId="4C6CB0BC" w14:textId="16F712D2" w:rsidR="00265521" w:rsidRPr="003656E8" w:rsidRDefault="00265521" w:rsidP="00265521">
      <w:pPr>
        <w:widowControl/>
        <w:tabs>
          <w:tab w:val="left" w:pos="-720"/>
          <w:tab w:val="left" w:pos="0"/>
          <w:tab w:val="left" w:pos="567"/>
          <w:tab w:val="left" w:pos="864"/>
          <w:tab w:val="left" w:pos="1116"/>
          <w:tab w:val="left" w:pos="1404"/>
          <w:tab w:val="left" w:pos="1692"/>
          <w:tab w:val="left" w:pos="1980"/>
          <w:tab w:val="left" w:pos="2268"/>
          <w:tab w:val="left" w:pos="2880"/>
        </w:tabs>
        <w:ind w:left="567" w:right="-149" w:hanging="283"/>
        <w:jc w:val="both"/>
        <w:rPr>
          <w:rFonts w:ascii="Times New Roman" w:hAnsi="Times New Roman"/>
          <w:spacing w:val="-2"/>
          <w:sz w:val="22"/>
          <w:szCs w:val="22"/>
        </w:rPr>
      </w:pPr>
      <w:r w:rsidRPr="003656E8">
        <w:rPr>
          <w:rFonts w:ascii="Times New Roman" w:hAnsi="Times New Roman"/>
          <w:spacing w:val="-2"/>
          <w:sz w:val="22"/>
          <w:szCs w:val="22"/>
        </w:rPr>
        <w:t xml:space="preserve">b) </w:t>
      </w:r>
      <w:r w:rsidRPr="003656E8">
        <w:rPr>
          <w:rFonts w:ascii="Times New Roman" w:hAnsi="Times New Roman"/>
          <w:spacing w:val="-2"/>
          <w:sz w:val="22"/>
          <w:szCs w:val="22"/>
        </w:rPr>
        <w:tab/>
        <w:t>Schöffengericht</w:t>
      </w:r>
      <w:r w:rsidRPr="003656E8">
        <w:rPr>
          <w:rFonts w:ascii="Times New Roman" w:hAnsi="Times New Roman"/>
          <w:b/>
          <w:i/>
          <w:spacing w:val="-2"/>
          <w:sz w:val="22"/>
          <w:szCs w:val="22"/>
        </w:rPr>
        <w:t xml:space="preserve"> </w:t>
      </w:r>
      <w:r w:rsidRPr="003656E8">
        <w:rPr>
          <w:rFonts w:ascii="Times New Roman" w:hAnsi="Times New Roman"/>
          <w:spacing w:val="-2"/>
          <w:sz w:val="22"/>
          <w:szCs w:val="22"/>
        </w:rPr>
        <w:t xml:space="preserve">(1 Berufsrichter, 2 Schöffen, § 29 I </w:t>
      </w:r>
      <w:r w:rsidR="00BC4526" w:rsidRPr="003656E8">
        <w:rPr>
          <w:rFonts w:ascii="Times New Roman" w:hAnsi="Times New Roman"/>
          <w:spacing w:val="-2"/>
          <w:sz w:val="22"/>
          <w:szCs w:val="22"/>
        </w:rPr>
        <w:t>GVG</w:t>
      </w:r>
      <w:r w:rsidRPr="003656E8">
        <w:rPr>
          <w:rFonts w:ascii="Times New Roman" w:hAnsi="Times New Roman"/>
          <w:spacing w:val="-2"/>
          <w:sz w:val="22"/>
          <w:szCs w:val="22"/>
        </w:rPr>
        <w:t xml:space="preserve">): entscheidet über mittlere Kriminalität, wenn </w:t>
      </w:r>
      <w:proofErr w:type="spellStart"/>
      <w:r w:rsidRPr="003656E8">
        <w:rPr>
          <w:rFonts w:ascii="Times New Roman" w:hAnsi="Times New Roman"/>
          <w:spacing w:val="-2"/>
          <w:sz w:val="22"/>
          <w:szCs w:val="22"/>
        </w:rPr>
        <w:t>aa</w:t>
      </w:r>
      <w:proofErr w:type="spellEnd"/>
      <w:r w:rsidRPr="003656E8">
        <w:rPr>
          <w:rFonts w:ascii="Times New Roman" w:hAnsi="Times New Roman"/>
          <w:spacing w:val="-2"/>
          <w:sz w:val="22"/>
          <w:szCs w:val="22"/>
        </w:rPr>
        <w:t xml:space="preserve">) das AG sachlich zuständig ist und </w:t>
      </w:r>
      <w:proofErr w:type="spellStart"/>
      <w:r w:rsidRPr="003656E8">
        <w:rPr>
          <w:rFonts w:ascii="Times New Roman" w:hAnsi="Times New Roman"/>
          <w:spacing w:val="-2"/>
          <w:sz w:val="22"/>
          <w:szCs w:val="22"/>
        </w:rPr>
        <w:t>bb</w:t>
      </w:r>
      <w:proofErr w:type="spellEnd"/>
      <w:r w:rsidRPr="003656E8">
        <w:rPr>
          <w:rFonts w:ascii="Times New Roman" w:hAnsi="Times New Roman"/>
          <w:spacing w:val="-2"/>
          <w:sz w:val="22"/>
          <w:szCs w:val="22"/>
        </w:rPr>
        <w:t>) keine Zuständigkeit des Strafrichters begründet ist (arg. ex § 28 GVG), d.h. insb. bei</w:t>
      </w:r>
      <w:r w:rsidR="00600BA2" w:rsidRPr="003656E8">
        <w:rPr>
          <w:rFonts w:ascii="Times New Roman" w:hAnsi="Times New Roman"/>
          <w:spacing w:val="-2"/>
          <w:sz w:val="22"/>
          <w:szCs w:val="22"/>
        </w:rPr>
        <w:t xml:space="preserve"> Verbrechen und bei Vergehen mit</w:t>
      </w:r>
      <w:r w:rsidRPr="003656E8">
        <w:rPr>
          <w:rFonts w:ascii="Times New Roman" w:hAnsi="Times New Roman"/>
          <w:spacing w:val="-2"/>
          <w:sz w:val="22"/>
          <w:szCs w:val="22"/>
        </w:rPr>
        <w:t xml:space="preserve"> einer Straferwartung von </w:t>
      </w:r>
      <w:r w:rsidRPr="003656E8">
        <w:rPr>
          <w:rFonts w:ascii="Times New Roman" w:hAnsi="Times New Roman"/>
          <w:b/>
          <w:spacing w:val="-2"/>
          <w:sz w:val="22"/>
          <w:szCs w:val="22"/>
        </w:rPr>
        <w:t>über zwei Jahren bis zu vier Jahren</w:t>
      </w:r>
      <w:r w:rsidRPr="003656E8">
        <w:rPr>
          <w:rFonts w:ascii="Times New Roman" w:hAnsi="Times New Roman"/>
          <w:spacing w:val="-2"/>
          <w:sz w:val="22"/>
          <w:szCs w:val="22"/>
        </w:rPr>
        <w:t>. Die Schöffen wirken lediglich bei Entscheidungen in der Hauptverhandlung mit (arg. ex § 30 II GVG), allerdings ist eine willkürliche Verlagerung von Entscheidungen aus der Hauptverhandlung heraus nicht zulässig (</w:t>
      </w:r>
      <w:proofErr w:type="spellStart"/>
      <w:r w:rsidRPr="003656E8">
        <w:rPr>
          <w:rFonts w:ascii="Times New Roman" w:hAnsi="Times New Roman"/>
          <w:spacing w:val="-2"/>
          <w:sz w:val="22"/>
          <w:szCs w:val="22"/>
        </w:rPr>
        <w:t>str.</w:t>
      </w:r>
      <w:proofErr w:type="spellEnd"/>
      <w:r w:rsidRPr="003656E8">
        <w:rPr>
          <w:rFonts w:ascii="Times New Roman" w:hAnsi="Times New Roman"/>
          <w:spacing w:val="-2"/>
          <w:sz w:val="22"/>
          <w:szCs w:val="22"/>
        </w:rPr>
        <w:t>).</w:t>
      </w:r>
    </w:p>
    <w:p w14:paraId="00C5087F" w14:textId="77777777" w:rsidR="00265521" w:rsidRPr="003656E8" w:rsidRDefault="00265521" w:rsidP="00265521">
      <w:pPr>
        <w:widowControl/>
        <w:tabs>
          <w:tab w:val="left" w:pos="-720"/>
          <w:tab w:val="left" w:pos="0"/>
          <w:tab w:val="left" w:pos="567"/>
          <w:tab w:val="left" w:pos="864"/>
          <w:tab w:val="left" w:pos="1116"/>
          <w:tab w:val="left" w:pos="1404"/>
          <w:tab w:val="left" w:pos="1692"/>
          <w:tab w:val="left" w:pos="1980"/>
          <w:tab w:val="left" w:pos="2268"/>
          <w:tab w:val="left" w:pos="2880"/>
        </w:tabs>
        <w:ind w:left="567" w:right="-149" w:hanging="283"/>
        <w:jc w:val="both"/>
        <w:rPr>
          <w:rFonts w:ascii="Times New Roman" w:hAnsi="Times New Roman"/>
          <w:spacing w:val="-2"/>
          <w:sz w:val="22"/>
          <w:szCs w:val="22"/>
        </w:rPr>
      </w:pPr>
      <w:r w:rsidRPr="003656E8">
        <w:rPr>
          <w:rFonts w:ascii="Times New Roman" w:hAnsi="Times New Roman"/>
          <w:spacing w:val="-2"/>
          <w:sz w:val="22"/>
          <w:szCs w:val="22"/>
        </w:rPr>
        <w:t xml:space="preserve">c) </w:t>
      </w:r>
      <w:r w:rsidRPr="003656E8">
        <w:rPr>
          <w:rFonts w:ascii="Times New Roman" w:hAnsi="Times New Roman"/>
          <w:spacing w:val="-2"/>
          <w:sz w:val="22"/>
          <w:szCs w:val="22"/>
        </w:rPr>
        <w:tab/>
        <w:t xml:space="preserve">Erweitertes Schöffengericht (2 Berufsrichter, 2 Schöffen, § 29 II </w:t>
      </w:r>
      <w:r w:rsidR="00BC4526" w:rsidRPr="003656E8">
        <w:rPr>
          <w:rFonts w:ascii="Times New Roman" w:hAnsi="Times New Roman"/>
          <w:spacing w:val="-2"/>
          <w:sz w:val="22"/>
          <w:szCs w:val="22"/>
        </w:rPr>
        <w:t>GVG</w:t>
      </w:r>
      <w:r w:rsidRPr="003656E8">
        <w:rPr>
          <w:rFonts w:ascii="Times New Roman" w:hAnsi="Times New Roman"/>
          <w:spacing w:val="-2"/>
          <w:sz w:val="22"/>
          <w:szCs w:val="22"/>
        </w:rPr>
        <w:t>) bei besonders umfangreichen Sachen, i</w:t>
      </w:r>
      <w:r w:rsidR="000C6341" w:rsidRPr="003656E8">
        <w:rPr>
          <w:rFonts w:ascii="Times New Roman" w:hAnsi="Times New Roman"/>
          <w:spacing w:val="-2"/>
          <w:sz w:val="22"/>
          <w:szCs w:val="22"/>
        </w:rPr>
        <w:t>.</w:t>
      </w:r>
      <w:r w:rsidRPr="003656E8">
        <w:rPr>
          <w:rFonts w:ascii="Times New Roman" w:hAnsi="Times New Roman"/>
          <w:spacing w:val="-2"/>
          <w:sz w:val="22"/>
          <w:szCs w:val="22"/>
        </w:rPr>
        <w:t>d</w:t>
      </w:r>
      <w:r w:rsidR="000C6341" w:rsidRPr="003656E8">
        <w:rPr>
          <w:rFonts w:ascii="Times New Roman" w:hAnsi="Times New Roman"/>
          <w:spacing w:val="-2"/>
          <w:sz w:val="22"/>
          <w:szCs w:val="22"/>
        </w:rPr>
        <w:t>.</w:t>
      </w:r>
      <w:r w:rsidRPr="003656E8">
        <w:rPr>
          <w:rFonts w:ascii="Times New Roman" w:hAnsi="Times New Roman"/>
          <w:spacing w:val="-2"/>
          <w:sz w:val="22"/>
          <w:szCs w:val="22"/>
        </w:rPr>
        <w:t>R</w:t>
      </w:r>
      <w:r w:rsidR="000C6341" w:rsidRPr="003656E8">
        <w:rPr>
          <w:rFonts w:ascii="Times New Roman" w:hAnsi="Times New Roman"/>
          <w:spacing w:val="-2"/>
          <w:sz w:val="22"/>
          <w:szCs w:val="22"/>
        </w:rPr>
        <w:t>.</w:t>
      </w:r>
      <w:r w:rsidRPr="003656E8">
        <w:rPr>
          <w:rFonts w:ascii="Times New Roman" w:hAnsi="Times New Roman"/>
          <w:spacing w:val="-2"/>
          <w:sz w:val="22"/>
          <w:szCs w:val="22"/>
        </w:rPr>
        <w:t xml:space="preserve"> auf Antrag der StA.</w:t>
      </w:r>
    </w:p>
    <w:p w14:paraId="2A969C44" w14:textId="3B49AEDB" w:rsidR="00BA307C" w:rsidRPr="003656E8" w:rsidRDefault="00BA307C" w:rsidP="00A11020">
      <w:pPr>
        <w:widowControl/>
        <w:tabs>
          <w:tab w:val="left" w:pos="-720"/>
          <w:tab w:val="left" w:pos="0"/>
          <w:tab w:val="left" w:pos="567"/>
          <w:tab w:val="left" w:pos="864"/>
          <w:tab w:val="left" w:pos="1116"/>
          <w:tab w:val="left" w:pos="1404"/>
          <w:tab w:val="left" w:pos="1692"/>
          <w:tab w:val="left" w:pos="1980"/>
          <w:tab w:val="left" w:pos="2268"/>
          <w:tab w:val="left" w:pos="2880"/>
        </w:tabs>
        <w:ind w:left="284"/>
        <w:jc w:val="both"/>
        <w:rPr>
          <w:rFonts w:ascii="Times New Roman" w:hAnsi="Times New Roman"/>
          <w:spacing w:val="-2"/>
          <w:sz w:val="22"/>
          <w:szCs w:val="22"/>
        </w:rPr>
      </w:pPr>
      <w:r w:rsidRPr="003656E8">
        <w:rPr>
          <w:rFonts w:ascii="Times New Roman" w:hAnsi="Times New Roman"/>
          <w:spacing w:val="-2"/>
          <w:sz w:val="22"/>
          <w:szCs w:val="22"/>
        </w:rPr>
        <w:t xml:space="preserve">Der Strafrichter </w:t>
      </w:r>
      <w:r w:rsidR="00722B6C" w:rsidRPr="003656E8">
        <w:rPr>
          <w:rFonts w:ascii="Times New Roman" w:hAnsi="Times New Roman"/>
          <w:spacing w:val="-2"/>
          <w:sz w:val="22"/>
          <w:szCs w:val="22"/>
        </w:rPr>
        <w:t>ist gegenüber dem Schöffengericht – auch in Bezug auf Verweisungsregeln – ein Gericht niedrigerer Ordnung (vgl. BVerfGE 22, 254</w:t>
      </w:r>
      <w:r w:rsidR="002E6822">
        <w:rPr>
          <w:rFonts w:ascii="Times New Roman" w:hAnsi="Times New Roman"/>
          <w:spacing w:val="-2"/>
          <w:sz w:val="22"/>
          <w:szCs w:val="22"/>
        </w:rPr>
        <w:t xml:space="preserve">, </w:t>
      </w:r>
      <w:r w:rsidR="00722B6C" w:rsidRPr="003656E8">
        <w:rPr>
          <w:rFonts w:ascii="Times New Roman" w:hAnsi="Times New Roman"/>
          <w:spacing w:val="-2"/>
          <w:sz w:val="22"/>
          <w:szCs w:val="22"/>
        </w:rPr>
        <w:t>260), die Abgrenzung ist damit eine Frage der sachlichen Zuständigkeit.</w:t>
      </w:r>
    </w:p>
    <w:p w14:paraId="21E3AEB4" w14:textId="505B9E73" w:rsidR="00265521" w:rsidRPr="003656E8" w:rsidRDefault="00265521" w:rsidP="0026552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spacing w:before="120"/>
        <w:ind w:left="284" w:right="-149" w:hanging="284"/>
        <w:jc w:val="both"/>
        <w:rPr>
          <w:rFonts w:ascii="Times New Roman" w:hAnsi="Times New Roman"/>
          <w:spacing w:val="-2"/>
          <w:sz w:val="22"/>
          <w:szCs w:val="22"/>
        </w:rPr>
      </w:pPr>
      <w:r w:rsidRPr="003656E8">
        <w:rPr>
          <w:rFonts w:ascii="Times New Roman" w:hAnsi="Times New Roman"/>
          <w:spacing w:val="-2"/>
          <w:sz w:val="22"/>
          <w:szCs w:val="22"/>
          <w:u w:val="single"/>
        </w:rPr>
        <w:t xml:space="preserve">2. </w:t>
      </w:r>
      <w:r w:rsidRPr="003656E8">
        <w:rPr>
          <w:rFonts w:ascii="Times New Roman" w:hAnsi="Times New Roman"/>
          <w:spacing w:val="-2"/>
          <w:sz w:val="22"/>
          <w:szCs w:val="22"/>
          <w:u w:val="single"/>
        </w:rPr>
        <w:tab/>
        <w:t>Das Landgericht:</w:t>
      </w:r>
      <w:r w:rsidRPr="003656E8">
        <w:rPr>
          <w:rFonts w:ascii="Times New Roman" w:hAnsi="Times New Roman"/>
          <w:spacing w:val="-2"/>
          <w:sz w:val="22"/>
          <w:szCs w:val="22"/>
        </w:rPr>
        <w:t xml:space="preserve"> Zuständigkeit in den Fällen des § 74 GVG, insbes. bei a) zu erwartender Freiheitsstrafe von </w:t>
      </w:r>
      <w:r w:rsidRPr="003656E8">
        <w:rPr>
          <w:rFonts w:ascii="Times New Roman" w:hAnsi="Times New Roman"/>
          <w:b/>
          <w:spacing w:val="-2"/>
          <w:sz w:val="22"/>
          <w:szCs w:val="22"/>
        </w:rPr>
        <w:t>über vier Jahren</w:t>
      </w:r>
      <w:r w:rsidRPr="003656E8">
        <w:rPr>
          <w:rFonts w:ascii="Times New Roman" w:hAnsi="Times New Roman"/>
          <w:spacing w:val="-2"/>
          <w:sz w:val="22"/>
          <w:szCs w:val="22"/>
        </w:rPr>
        <w:t>, b) besonderer Bedeutung des Falles oder c) den in § 74 II GVG genannten Verbrechen.</w:t>
      </w:r>
    </w:p>
    <w:p w14:paraId="36B1FC92" w14:textId="77777777" w:rsidR="00265521" w:rsidRPr="003656E8" w:rsidRDefault="00265521" w:rsidP="00265521">
      <w:pPr>
        <w:widowControl/>
        <w:tabs>
          <w:tab w:val="left" w:pos="-720"/>
          <w:tab w:val="left" w:pos="0"/>
          <w:tab w:val="left" w:pos="567"/>
          <w:tab w:val="left" w:pos="864"/>
          <w:tab w:val="left" w:pos="1116"/>
          <w:tab w:val="left" w:pos="1404"/>
          <w:tab w:val="left" w:pos="1692"/>
          <w:tab w:val="left" w:pos="1980"/>
          <w:tab w:val="left" w:pos="2268"/>
          <w:tab w:val="left" w:pos="2880"/>
        </w:tabs>
        <w:ind w:left="567" w:right="-149" w:hanging="283"/>
        <w:jc w:val="both"/>
        <w:rPr>
          <w:rFonts w:ascii="Times New Roman" w:hAnsi="Times New Roman"/>
          <w:spacing w:val="-2"/>
          <w:sz w:val="22"/>
          <w:szCs w:val="22"/>
        </w:rPr>
      </w:pPr>
      <w:r w:rsidRPr="003656E8">
        <w:rPr>
          <w:rFonts w:ascii="Times New Roman" w:hAnsi="Times New Roman"/>
          <w:spacing w:val="-2"/>
          <w:sz w:val="22"/>
          <w:szCs w:val="22"/>
        </w:rPr>
        <w:t xml:space="preserve">a) </w:t>
      </w:r>
      <w:r w:rsidRPr="003656E8">
        <w:rPr>
          <w:rFonts w:ascii="Times New Roman" w:hAnsi="Times New Roman"/>
          <w:spacing w:val="-2"/>
          <w:sz w:val="22"/>
          <w:szCs w:val="22"/>
        </w:rPr>
        <w:tab/>
        <w:t>Große Strafkammer (3 Berufsrichter, 2 Schöffen, § 76 I 1 GVG, in einfachen Fällen 2 Berufsrichter, 2 Schöffen</w:t>
      </w:r>
      <w:r w:rsidRPr="003656E8">
        <w:rPr>
          <w:rFonts w:ascii="Times New Roman" w:hAnsi="Times New Roman"/>
          <w:i/>
          <w:spacing w:val="-2"/>
          <w:sz w:val="22"/>
          <w:szCs w:val="22"/>
        </w:rPr>
        <w:t xml:space="preserve">, </w:t>
      </w:r>
      <w:r w:rsidRPr="003656E8">
        <w:rPr>
          <w:rFonts w:ascii="Times New Roman" w:hAnsi="Times New Roman"/>
          <w:spacing w:val="-2"/>
          <w:sz w:val="22"/>
          <w:szCs w:val="22"/>
        </w:rPr>
        <w:t>§ 76 II GVG). Die Schöffen wirken lediglich bei Entscheidungen in der Hauptverhandlung mit (arg. ex § 76 I 2 GVG).</w:t>
      </w:r>
    </w:p>
    <w:p w14:paraId="65332F76" w14:textId="6931E8A8" w:rsidR="00265521" w:rsidRPr="003656E8" w:rsidRDefault="00265521" w:rsidP="00265521">
      <w:pPr>
        <w:widowControl/>
        <w:tabs>
          <w:tab w:val="left" w:pos="-720"/>
          <w:tab w:val="left" w:pos="0"/>
          <w:tab w:val="left" w:pos="567"/>
          <w:tab w:val="left" w:pos="864"/>
          <w:tab w:val="left" w:pos="1116"/>
          <w:tab w:val="left" w:pos="1404"/>
          <w:tab w:val="left" w:pos="1692"/>
          <w:tab w:val="left" w:pos="1980"/>
          <w:tab w:val="left" w:pos="2268"/>
          <w:tab w:val="left" w:pos="2880"/>
        </w:tabs>
        <w:ind w:left="567" w:right="-149" w:hanging="283"/>
        <w:jc w:val="both"/>
        <w:rPr>
          <w:rFonts w:ascii="Times New Roman" w:hAnsi="Times New Roman"/>
          <w:spacing w:val="-2"/>
          <w:sz w:val="22"/>
          <w:szCs w:val="22"/>
        </w:rPr>
      </w:pPr>
      <w:r w:rsidRPr="003656E8">
        <w:rPr>
          <w:rFonts w:ascii="Times New Roman" w:hAnsi="Times New Roman"/>
          <w:spacing w:val="-2"/>
          <w:sz w:val="22"/>
          <w:szCs w:val="22"/>
        </w:rPr>
        <w:t xml:space="preserve">b) </w:t>
      </w:r>
      <w:r w:rsidRPr="003656E8">
        <w:rPr>
          <w:rFonts w:ascii="Times New Roman" w:hAnsi="Times New Roman"/>
          <w:spacing w:val="-2"/>
          <w:sz w:val="22"/>
          <w:szCs w:val="22"/>
        </w:rPr>
        <w:tab/>
        <w:t>Schwurgericht (für die in § 74 II GVG genannten Verbrechen),</w:t>
      </w:r>
      <w:r w:rsidRPr="003656E8">
        <w:rPr>
          <w:rFonts w:ascii="Times New Roman" w:hAnsi="Times New Roman"/>
          <w:i/>
          <w:spacing w:val="-2"/>
          <w:sz w:val="22"/>
          <w:szCs w:val="22"/>
        </w:rPr>
        <w:t xml:space="preserve"> </w:t>
      </w:r>
      <w:r w:rsidRPr="003656E8">
        <w:rPr>
          <w:rFonts w:ascii="Times New Roman" w:hAnsi="Times New Roman"/>
          <w:spacing w:val="-2"/>
          <w:sz w:val="22"/>
          <w:szCs w:val="22"/>
        </w:rPr>
        <w:t>Wirtschaftsstrafkammer</w:t>
      </w:r>
      <w:r w:rsidRPr="003656E8">
        <w:rPr>
          <w:rFonts w:ascii="Times New Roman" w:hAnsi="Times New Roman"/>
          <w:i/>
          <w:spacing w:val="-2"/>
          <w:sz w:val="22"/>
          <w:szCs w:val="22"/>
        </w:rPr>
        <w:t xml:space="preserve"> </w:t>
      </w:r>
      <w:r w:rsidRPr="003656E8">
        <w:rPr>
          <w:rFonts w:ascii="Times New Roman" w:hAnsi="Times New Roman"/>
          <w:spacing w:val="-2"/>
          <w:sz w:val="22"/>
          <w:szCs w:val="22"/>
        </w:rPr>
        <w:t>(für die in § 74c GVG genannten Fälle) und die</w:t>
      </w:r>
      <w:r w:rsidRPr="003656E8">
        <w:rPr>
          <w:rFonts w:ascii="Times New Roman" w:hAnsi="Times New Roman"/>
          <w:i/>
          <w:spacing w:val="-2"/>
          <w:sz w:val="22"/>
          <w:szCs w:val="22"/>
        </w:rPr>
        <w:t xml:space="preserve"> </w:t>
      </w:r>
      <w:r w:rsidRPr="003656E8">
        <w:rPr>
          <w:rFonts w:ascii="Times New Roman" w:hAnsi="Times New Roman"/>
          <w:spacing w:val="-2"/>
          <w:sz w:val="22"/>
          <w:szCs w:val="22"/>
        </w:rPr>
        <w:t xml:space="preserve">Staatsschutzkammer (für die in § 74a GVG genannten Fälle) – sog. „besondere Strafkammern“ mit gleicher Besetzung und Strafkompetenz wie die große Strafkammer. Allerdings kann das Schwurgericht auch in einfacheren Fällen nicht mit lediglich zwei Berufsrichtern besetzt werden (§ 76 II </w:t>
      </w:r>
      <w:r w:rsidR="002E6822">
        <w:rPr>
          <w:rFonts w:ascii="Times New Roman" w:hAnsi="Times New Roman"/>
          <w:spacing w:val="-2"/>
          <w:sz w:val="22"/>
          <w:szCs w:val="22"/>
        </w:rPr>
        <w:t>3 Nr. 1</w:t>
      </w:r>
      <w:r w:rsidR="003D18D2">
        <w:rPr>
          <w:rFonts w:ascii="Times New Roman" w:hAnsi="Times New Roman"/>
          <w:spacing w:val="-2"/>
          <w:sz w:val="22"/>
          <w:szCs w:val="22"/>
        </w:rPr>
        <w:t xml:space="preserve"> </w:t>
      </w:r>
      <w:r w:rsidRPr="003656E8">
        <w:rPr>
          <w:rFonts w:ascii="Times New Roman" w:hAnsi="Times New Roman"/>
          <w:spacing w:val="-2"/>
          <w:sz w:val="22"/>
          <w:szCs w:val="22"/>
        </w:rPr>
        <w:t>GVG).</w:t>
      </w:r>
    </w:p>
    <w:p w14:paraId="4E1F330B" w14:textId="1AF54884" w:rsidR="00BA307C" w:rsidRPr="003656E8" w:rsidRDefault="00BA307C" w:rsidP="003656E8">
      <w:pPr>
        <w:widowControl/>
        <w:tabs>
          <w:tab w:val="left" w:pos="-720"/>
          <w:tab w:val="left" w:pos="0"/>
          <w:tab w:val="left" w:pos="567"/>
          <w:tab w:val="left" w:pos="864"/>
          <w:tab w:val="left" w:pos="1116"/>
          <w:tab w:val="left" w:pos="1404"/>
          <w:tab w:val="left" w:pos="1692"/>
          <w:tab w:val="left" w:pos="1980"/>
          <w:tab w:val="left" w:pos="2268"/>
          <w:tab w:val="left" w:pos="2880"/>
        </w:tabs>
        <w:ind w:left="284"/>
        <w:jc w:val="both"/>
        <w:rPr>
          <w:rFonts w:ascii="Times New Roman" w:hAnsi="Times New Roman"/>
          <w:spacing w:val="-2"/>
          <w:sz w:val="22"/>
          <w:szCs w:val="22"/>
        </w:rPr>
      </w:pPr>
      <w:r w:rsidRPr="003656E8">
        <w:rPr>
          <w:rFonts w:ascii="Times New Roman" w:hAnsi="Times New Roman"/>
          <w:spacing w:val="-2"/>
          <w:sz w:val="22"/>
          <w:szCs w:val="22"/>
        </w:rPr>
        <w:t>Da die Kammern gleichrangige Spruchkörper mit gleicher Strafgewalt darstellen, handelt es sich bei der Abgrenzung zwischen dieser um die sog. funktionelle Zuständigkeit.</w:t>
      </w:r>
    </w:p>
    <w:p w14:paraId="50577DA3" w14:textId="286AC23D" w:rsidR="0080211F" w:rsidRPr="0080211F" w:rsidRDefault="00265521" w:rsidP="001E39D2">
      <w:pPr>
        <w:widowControl/>
        <w:tabs>
          <w:tab w:val="left" w:pos="-720"/>
          <w:tab w:val="left" w:pos="0"/>
          <w:tab w:val="left" w:pos="284"/>
          <w:tab w:val="left" w:pos="576"/>
          <w:tab w:val="left" w:pos="864"/>
          <w:tab w:val="left" w:pos="1116"/>
          <w:tab w:val="left" w:pos="1404"/>
          <w:tab w:val="left" w:pos="1692"/>
          <w:tab w:val="left" w:pos="1980"/>
          <w:tab w:val="left" w:pos="2268"/>
          <w:tab w:val="left" w:pos="2880"/>
        </w:tabs>
        <w:spacing w:before="120"/>
        <w:ind w:left="284" w:right="-149" w:hanging="284"/>
        <w:jc w:val="both"/>
        <w:rPr>
          <w:rFonts w:ascii="Times New Roman" w:hAnsi="Times New Roman"/>
          <w:spacing w:val="-2"/>
        </w:rPr>
      </w:pPr>
      <w:r w:rsidRPr="003656E8">
        <w:rPr>
          <w:rFonts w:ascii="Times New Roman" w:hAnsi="Times New Roman"/>
          <w:spacing w:val="-2"/>
          <w:sz w:val="22"/>
          <w:szCs w:val="22"/>
          <w:u w:val="single"/>
        </w:rPr>
        <w:t xml:space="preserve">3. </w:t>
      </w:r>
      <w:r w:rsidRPr="003656E8">
        <w:rPr>
          <w:rFonts w:ascii="Times New Roman" w:hAnsi="Times New Roman"/>
          <w:spacing w:val="-2"/>
          <w:sz w:val="22"/>
          <w:szCs w:val="22"/>
          <w:u w:val="single"/>
        </w:rPr>
        <w:tab/>
        <w:t xml:space="preserve">Das Oberlandesgericht (in Berlin: </w:t>
      </w:r>
      <w:r w:rsidR="009C3B79" w:rsidRPr="003656E8">
        <w:rPr>
          <w:rFonts w:ascii="Times New Roman" w:hAnsi="Times New Roman"/>
          <w:spacing w:val="-2"/>
          <w:sz w:val="22"/>
          <w:szCs w:val="22"/>
          <w:u w:val="single"/>
        </w:rPr>
        <w:t>KG</w:t>
      </w:r>
      <w:r w:rsidRPr="003656E8">
        <w:rPr>
          <w:rFonts w:ascii="Times New Roman" w:hAnsi="Times New Roman"/>
          <w:spacing w:val="-2"/>
          <w:sz w:val="22"/>
          <w:szCs w:val="22"/>
          <w:u w:val="single"/>
        </w:rPr>
        <w:t>):</w:t>
      </w:r>
      <w:r w:rsidRPr="003656E8">
        <w:rPr>
          <w:rFonts w:ascii="Times New Roman" w:hAnsi="Times New Roman"/>
          <w:spacing w:val="-2"/>
          <w:sz w:val="22"/>
          <w:szCs w:val="22"/>
        </w:rPr>
        <w:t xml:space="preserve"> Zuständigkeit in den Fällen des §</w:t>
      </w:r>
      <w:r w:rsidR="003656E8">
        <w:rPr>
          <w:rFonts w:ascii="Times New Roman" w:hAnsi="Times New Roman"/>
          <w:spacing w:val="-2"/>
          <w:sz w:val="22"/>
          <w:szCs w:val="22"/>
        </w:rPr>
        <w:t> </w:t>
      </w:r>
      <w:r w:rsidRPr="003656E8">
        <w:rPr>
          <w:rFonts w:ascii="Times New Roman" w:hAnsi="Times New Roman"/>
          <w:spacing w:val="-2"/>
          <w:sz w:val="22"/>
          <w:szCs w:val="22"/>
        </w:rPr>
        <w:t>120 I, II GVG (Staatsschutzdelikte u.a.). Spruchkörper: Senate, Besetzung mit fünf Berufsrichtern, in einfacheren Fällen mit drei Be</w:t>
      </w:r>
      <w:r w:rsidR="0080211F" w:rsidRPr="003656E8">
        <w:rPr>
          <w:rFonts w:ascii="Times New Roman" w:hAnsi="Times New Roman"/>
          <w:spacing w:val="-2"/>
          <w:sz w:val="22"/>
          <w:szCs w:val="22"/>
        </w:rPr>
        <w:t>rufsrichtern, §</w:t>
      </w:r>
      <w:r w:rsidR="003656E8">
        <w:rPr>
          <w:rFonts w:ascii="Times New Roman" w:hAnsi="Times New Roman"/>
          <w:spacing w:val="-2"/>
          <w:sz w:val="22"/>
          <w:szCs w:val="22"/>
        </w:rPr>
        <w:t> </w:t>
      </w:r>
      <w:r w:rsidR="0080211F" w:rsidRPr="003656E8">
        <w:rPr>
          <w:rFonts w:ascii="Times New Roman" w:hAnsi="Times New Roman"/>
          <w:spacing w:val="-2"/>
          <w:sz w:val="22"/>
          <w:szCs w:val="22"/>
        </w:rPr>
        <w:t>122 II GVG.</w:t>
      </w:r>
    </w:p>
    <w:p w14:paraId="477BB3A6" w14:textId="77777777" w:rsidR="00265521" w:rsidRPr="001B3468" w:rsidRDefault="00265521" w:rsidP="00265521">
      <w:pPr>
        <w:widowControl/>
        <w:tabs>
          <w:tab w:val="left" w:pos="-720"/>
          <w:tab w:val="left" w:pos="0"/>
          <w:tab w:val="left" w:pos="284"/>
          <w:tab w:val="left" w:pos="576"/>
          <w:tab w:val="left" w:pos="864"/>
          <w:tab w:val="left" w:pos="1116"/>
          <w:tab w:val="left" w:pos="1404"/>
          <w:tab w:val="left" w:pos="1692"/>
          <w:tab w:val="left" w:pos="1980"/>
          <w:tab w:val="left" w:pos="2268"/>
          <w:tab w:val="left" w:pos="2880"/>
        </w:tabs>
        <w:ind w:left="284" w:right="-149" w:hanging="284"/>
        <w:jc w:val="both"/>
        <w:rPr>
          <w:rFonts w:ascii="Times New Roman" w:hAnsi="Times New Roman"/>
          <w:spacing w:val="-2"/>
          <w:sz w:val="18"/>
          <w:szCs w:val="18"/>
        </w:rPr>
      </w:pPr>
    </w:p>
    <w:p w14:paraId="6FA7D48C" w14:textId="375558C0" w:rsidR="00265521" w:rsidRPr="003656E8" w:rsidRDefault="00265521" w:rsidP="00265521">
      <w:pPr>
        <w:widowControl/>
        <w:tabs>
          <w:tab w:val="left" w:pos="-720"/>
          <w:tab w:val="left" w:pos="288"/>
          <w:tab w:val="left" w:pos="567"/>
          <w:tab w:val="left" w:pos="864"/>
          <w:tab w:val="left" w:pos="1116"/>
          <w:tab w:val="left" w:pos="1404"/>
          <w:tab w:val="left" w:pos="1692"/>
          <w:tab w:val="left" w:pos="1980"/>
          <w:tab w:val="left" w:pos="2268"/>
          <w:tab w:val="left" w:pos="2880"/>
        </w:tabs>
        <w:ind w:right="-149"/>
        <w:jc w:val="both"/>
        <w:rPr>
          <w:rFonts w:ascii="Times New Roman" w:hAnsi="Times New Roman"/>
          <w:spacing w:val="-2"/>
          <w:sz w:val="16"/>
          <w:szCs w:val="16"/>
        </w:rPr>
      </w:pPr>
      <w:r w:rsidRPr="003656E8">
        <w:rPr>
          <w:rFonts w:ascii="Times New Roman" w:hAnsi="Times New Roman"/>
          <w:b/>
          <w:spacing w:val="-2"/>
          <w:sz w:val="16"/>
          <w:szCs w:val="16"/>
        </w:rPr>
        <w:t xml:space="preserve">Literatur/Lehrbücher: </w:t>
      </w:r>
      <w:r w:rsidRPr="003656E8">
        <w:rPr>
          <w:rFonts w:ascii="Times New Roman" w:hAnsi="Times New Roman"/>
          <w:b/>
          <w:spacing w:val="-2"/>
          <w:sz w:val="16"/>
          <w:szCs w:val="16"/>
        </w:rPr>
        <w:tab/>
      </w:r>
      <w:r w:rsidR="00024975" w:rsidRPr="003656E8">
        <w:rPr>
          <w:rFonts w:ascii="Times New Roman" w:hAnsi="Times New Roman"/>
          <w:i/>
          <w:spacing w:val="-2"/>
          <w:sz w:val="16"/>
          <w:szCs w:val="16"/>
        </w:rPr>
        <w:t>Heinrich/Reinbacher</w:t>
      </w:r>
      <w:r w:rsidR="00024975" w:rsidRPr="003656E8">
        <w:rPr>
          <w:rFonts w:ascii="Times New Roman" w:hAnsi="Times New Roman"/>
          <w:spacing w:val="-2"/>
          <w:sz w:val="16"/>
          <w:szCs w:val="16"/>
        </w:rPr>
        <w:t>, Examinatorium Strafprozessrecht,</w:t>
      </w:r>
      <w:r w:rsidR="00262C13" w:rsidRPr="003656E8">
        <w:rPr>
          <w:rFonts w:ascii="Times New Roman" w:hAnsi="Times New Roman"/>
          <w:spacing w:val="-2"/>
          <w:sz w:val="16"/>
          <w:szCs w:val="16"/>
        </w:rPr>
        <w:t xml:space="preserve"> </w:t>
      </w:r>
      <w:r w:rsidR="00BA307C" w:rsidRPr="003656E8">
        <w:rPr>
          <w:rFonts w:ascii="Times New Roman" w:hAnsi="Times New Roman"/>
          <w:spacing w:val="-2"/>
          <w:sz w:val="16"/>
          <w:szCs w:val="16"/>
        </w:rPr>
        <w:t>4</w:t>
      </w:r>
      <w:r w:rsidR="00262C13" w:rsidRPr="003656E8">
        <w:rPr>
          <w:rFonts w:ascii="Times New Roman" w:hAnsi="Times New Roman"/>
          <w:spacing w:val="-2"/>
          <w:sz w:val="16"/>
          <w:szCs w:val="16"/>
        </w:rPr>
        <w:t>. Auflage 20</w:t>
      </w:r>
      <w:r w:rsidR="00663859" w:rsidRPr="003656E8">
        <w:rPr>
          <w:rFonts w:ascii="Times New Roman" w:hAnsi="Times New Roman"/>
          <w:spacing w:val="-2"/>
          <w:sz w:val="16"/>
          <w:szCs w:val="16"/>
        </w:rPr>
        <w:t>2</w:t>
      </w:r>
      <w:r w:rsidR="00BA307C" w:rsidRPr="003656E8">
        <w:rPr>
          <w:rFonts w:ascii="Times New Roman" w:hAnsi="Times New Roman"/>
          <w:spacing w:val="-2"/>
          <w:sz w:val="16"/>
          <w:szCs w:val="16"/>
        </w:rPr>
        <w:t>3</w:t>
      </w:r>
      <w:r w:rsidR="00262C13" w:rsidRPr="003656E8">
        <w:rPr>
          <w:rFonts w:ascii="Times New Roman" w:hAnsi="Times New Roman"/>
          <w:spacing w:val="-2"/>
          <w:sz w:val="16"/>
          <w:szCs w:val="16"/>
        </w:rPr>
        <w:t xml:space="preserve">, </w:t>
      </w:r>
      <w:r w:rsidR="00024975" w:rsidRPr="003656E8">
        <w:rPr>
          <w:rFonts w:ascii="Times New Roman" w:hAnsi="Times New Roman"/>
          <w:spacing w:val="-2"/>
          <w:sz w:val="16"/>
          <w:szCs w:val="16"/>
        </w:rPr>
        <w:t>Problem</w:t>
      </w:r>
      <w:r w:rsidR="002E6822">
        <w:rPr>
          <w:rFonts w:ascii="Times New Roman" w:hAnsi="Times New Roman"/>
          <w:spacing w:val="-2"/>
          <w:sz w:val="16"/>
          <w:szCs w:val="16"/>
        </w:rPr>
        <w:t> </w:t>
      </w:r>
      <w:r w:rsidR="00024975" w:rsidRPr="003656E8">
        <w:rPr>
          <w:rFonts w:ascii="Times New Roman" w:hAnsi="Times New Roman"/>
          <w:spacing w:val="-2"/>
          <w:sz w:val="16"/>
          <w:szCs w:val="16"/>
        </w:rPr>
        <w:t>7.</w:t>
      </w:r>
    </w:p>
    <w:p w14:paraId="1491F89F" w14:textId="767AE390" w:rsidR="00265521" w:rsidRPr="003656E8" w:rsidRDefault="00265521" w:rsidP="003D18D2">
      <w:pPr>
        <w:widowControl/>
        <w:tabs>
          <w:tab w:val="left" w:pos="-720"/>
          <w:tab w:val="left" w:pos="288"/>
          <w:tab w:val="left" w:pos="567"/>
          <w:tab w:val="left" w:pos="864"/>
          <w:tab w:val="left" w:pos="1116"/>
          <w:tab w:val="left" w:pos="1404"/>
          <w:tab w:val="left" w:pos="1692"/>
          <w:tab w:val="left" w:pos="1980"/>
          <w:tab w:val="left" w:pos="2268"/>
          <w:tab w:val="left" w:pos="2880"/>
        </w:tabs>
        <w:ind w:left="1692" w:right="-147" w:hanging="1692"/>
        <w:jc w:val="both"/>
        <w:rPr>
          <w:rFonts w:ascii="Times New Roman" w:hAnsi="Times New Roman"/>
          <w:spacing w:val="-2"/>
          <w:sz w:val="16"/>
          <w:szCs w:val="16"/>
        </w:rPr>
      </w:pPr>
      <w:r w:rsidRPr="003656E8">
        <w:rPr>
          <w:rFonts w:ascii="Times New Roman" w:hAnsi="Times New Roman"/>
          <w:b/>
          <w:spacing w:val="-2"/>
          <w:sz w:val="16"/>
          <w:szCs w:val="16"/>
        </w:rPr>
        <w:t>Literatur/Aufsätze:</w:t>
      </w:r>
      <w:r w:rsidRPr="003656E8">
        <w:rPr>
          <w:rFonts w:ascii="Times New Roman" w:hAnsi="Times New Roman"/>
          <w:b/>
          <w:spacing w:val="-2"/>
          <w:sz w:val="16"/>
          <w:szCs w:val="16"/>
        </w:rPr>
        <w:tab/>
      </w:r>
      <w:r w:rsidR="002E6822">
        <w:rPr>
          <w:rFonts w:ascii="Times New Roman" w:hAnsi="Times New Roman"/>
          <w:b/>
          <w:spacing w:val="-2"/>
          <w:sz w:val="16"/>
          <w:szCs w:val="16"/>
        </w:rPr>
        <w:tab/>
      </w:r>
      <w:proofErr w:type="spellStart"/>
      <w:r w:rsidRPr="003656E8">
        <w:rPr>
          <w:rFonts w:ascii="Times New Roman" w:hAnsi="Times New Roman"/>
          <w:i/>
          <w:spacing w:val="-2"/>
          <w:sz w:val="16"/>
          <w:szCs w:val="16"/>
        </w:rPr>
        <w:t>Ekardt</w:t>
      </w:r>
      <w:proofErr w:type="spellEnd"/>
      <w:r w:rsidRPr="003656E8">
        <w:rPr>
          <w:rFonts w:ascii="Times New Roman" w:hAnsi="Times New Roman"/>
          <w:spacing w:val="-2"/>
          <w:sz w:val="16"/>
          <w:szCs w:val="16"/>
        </w:rPr>
        <w:t>, Der Kampf um Schwurgerichte und reformiertes Strafverfahren im Vormärz, JURA 1998, 121;</w:t>
      </w:r>
      <w:r w:rsidRPr="003656E8">
        <w:rPr>
          <w:rFonts w:ascii="Times New Roman" w:hAnsi="Times New Roman"/>
          <w:b/>
          <w:spacing w:val="-2"/>
          <w:sz w:val="16"/>
          <w:szCs w:val="16"/>
        </w:rPr>
        <w:t xml:space="preserve"> </w:t>
      </w:r>
      <w:r w:rsidRPr="003656E8">
        <w:rPr>
          <w:rFonts w:ascii="Times New Roman" w:hAnsi="Times New Roman"/>
          <w:i/>
          <w:spacing w:val="-2"/>
          <w:sz w:val="16"/>
          <w:szCs w:val="16"/>
        </w:rPr>
        <w:t>Helm</w:t>
      </w:r>
      <w:r w:rsidRPr="003656E8">
        <w:rPr>
          <w:rFonts w:ascii="Times New Roman" w:hAnsi="Times New Roman"/>
          <w:spacing w:val="-2"/>
          <w:sz w:val="16"/>
          <w:szCs w:val="16"/>
        </w:rPr>
        <w:t xml:space="preserve">, Grundzüge des Strafverfahrensrecht: Die sachliche Zuständigkeit, JA 2006, 389; </w:t>
      </w:r>
      <w:r w:rsidRPr="003656E8">
        <w:rPr>
          <w:rFonts w:ascii="Times New Roman" w:hAnsi="Times New Roman"/>
          <w:i/>
          <w:spacing w:val="-2"/>
          <w:sz w:val="16"/>
          <w:szCs w:val="16"/>
        </w:rPr>
        <w:t>Huber</w:t>
      </w:r>
      <w:r w:rsidRPr="003656E8">
        <w:rPr>
          <w:rFonts w:ascii="Times New Roman" w:hAnsi="Times New Roman"/>
          <w:spacing w:val="-2"/>
          <w:sz w:val="16"/>
          <w:szCs w:val="16"/>
        </w:rPr>
        <w:t xml:space="preserve">, Schwurgericht, </w:t>
      </w:r>
      <w:proofErr w:type="spellStart"/>
      <w:r w:rsidRPr="003656E8">
        <w:rPr>
          <w:rFonts w:ascii="Times New Roman" w:hAnsi="Times New Roman"/>
          <w:spacing w:val="-2"/>
          <w:sz w:val="16"/>
          <w:szCs w:val="16"/>
        </w:rPr>
        <w:t>JuS</w:t>
      </w:r>
      <w:proofErr w:type="spellEnd"/>
      <w:r w:rsidRPr="003656E8">
        <w:rPr>
          <w:rFonts w:ascii="Times New Roman" w:hAnsi="Times New Roman"/>
          <w:spacing w:val="-2"/>
          <w:sz w:val="16"/>
          <w:szCs w:val="16"/>
        </w:rPr>
        <w:t xml:space="preserve"> 2009, 406</w:t>
      </w:r>
      <w:r w:rsidR="007F2DBC" w:rsidRPr="003656E8">
        <w:rPr>
          <w:rFonts w:ascii="Times New Roman" w:hAnsi="Times New Roman"/>
          <w:spacing w:val="-2"/>
          <w:sz w:val="16"/>
          <w:szCs w:val="16"/>
        </w:rPr>
        <w:t>;</w:t>
      </w:r>
      <w:r w:rsidR="007F2DBC" w:rsidRPr="003656E8">
        <w:rPr>
          <w:rFonts w:ascii="Times New Roman" w:hAnsi="Times New Roman"/>
          <w:i/>
          <w:spacing w:val="-2"/>
          <w:sz w:val="16"/>
          <w:szCs w:val="16"/>
        </w:rPr>
        <w:t xml:space="preserve"> Radtke/</w:t>
      </w:r>
      <w:proofErr w:type="spellStart"/>
      <w:r w:rsidR="007F2DBC" w:rsidRPr="003656E8">
        <w:rPr>
          <w:rFonts w:ascii="Times New Roman" w:hAnsi="Times New Roman"/>
          <w:i/>
          <w:spacing w:val="-2"/>
          <w:sz w:val="16"/>
          <w:szCs w:val="16"/>
        </w:rPr>
        <w:t>Bechtoldt</w:t>
      </w:r>
      <w:proofErr w:type="spellEnd"/>
      <w:r w:rsidR="007F2DBC" w:rsidRPr="003656E8">
        <w:rPr>
          <w:rFonts w:ascii="Times New Roman" w:hAnsi="Times New Roman"/>
          <w:spacing w:val="-2"/>
          <w:sz w:val="16"/>
          <w:szCs w:val="16"/>
        </w:rPr>
        <w:t xml:space="preserve">, Bewegliche Zuständigkeiten (§ 29 II 1 GVG) und die Bedeutung der Rechtsfolgenerwartung (§ 25 Nr. 2 GVG), GA 2002, 586; </w:t>
      </w:r>
      <w:r w:rsidR="007F2DBC" w:rsidRPr="003656E8">
        <w:rPr>
          <w:rFonts w:ascii="Times New Roman" w:hAnsi="Times New Roman"/>
          <w:i/>
          <w:spacing w:val="-2"/>
          <w:sz w:val="16"/>
          <w:szCs w:val="16"/>
        </w:rPr>
        <w:t>Rieß</w:t>
      </w:r>
      <w:r w:rsidR="007F2DBC" w:rsidRPr="003656E8">
        <w:rPr>
          <w:rFonts w:ascii="Times New Roman" w:hAnsi="Times New Roman"/>
          <w:spacing w:val="-2"/>
          <w:sz w:val="16"/>
          <w:szCs w:val="16"/>
        </w:rPr>
        <w:t>, Vergessene Schwurgerichtszuständigkeiten, NStZ 2008, 546</w:t>
      </w:r>
      <w:r w:rsidRPr="003656E8">
        <w:rPr>
          <w:rFonts w:ascii="Times New Roman" w:hAnsi="Times New Roman"/>
          <w:spacing w:val="-2"/>
          <w:sz w:val="16"/>
          <w:szCs w:val="16"/>
        </w:rPr>
        <w:t>.</w:t>
      </w:r>
    </w:p>
    <w:p w14:paraId="3EFBA5AF" w14:textId="7B72B93B" w:rsidR="00265521" w:rsidRPr="003656E8" w:rsidRDefault="00265521" w:rsidP="003D18D2">
      <w:pPr>
        <w:widowControl/>
        <w:tabs>
          <w:tab w:val="left" w:pos="-720"/>
          <w:tab w:val="left" w:pos="288"/>
          <w:tab w:val="left" w:pos="567"/>
          <w:tab w:val="left" w:pos="864"/>
          <w:tab w:val="left" w:pos="1116"/>
          <w:tab w:val="left" w:pos="1404"/>
          <w:tab w:val="left" w:pos="1692"/>
          <w:tab w:val="left" w:pos="1980"/>
          <w:tab w:val="left" w:pos="2268"/>
          <w:tab w:val="left" w:pos="2880"/>
        </w:tabs>
        <w:ind w:left="1692" w:right="-147" w:hanging="1692"/>
        <w:jc w:val="both"/>
        <w:rPr>
          <w:sz w:val="16"/>
          <w:szCs w:val="16"/>
        </w:rPr>
      </w:pPr>
      <w:r w:rsidRPr="003656E8">
        <w:rPr>
          <w:rFonts w:ascii="Times New Roman" w:hAnsi="Times New Roman"/>
          <w:b/>
          <w:spacing w:val="-2"/>
          <w:sz w:val="16"/>
          <w:szCs w:val="16"/>
        </w:rPr>
        <w:t xml:space="preserve">Rechtsprechung: </w:t>
      </w:r>
      <w:r w:rsidRPr="003656E8">
        <w:rPr>
          <w:rFonts w:ascii="Times New Roman" w:hAnsi="Times New Roman"/>
          <w:b/>
          <w:spacing w:val="-2"/>
          <w:sz w:val="16"/>
          <w:szCs w:val="16"/>
        </w:rPr>
        <w:tab/>
      </w:r>
      <w:r w:rsidR="002E6822">
        <w:rPr>
          <w:rFonts w:ascii="Times New Roman" w:hAnsi="Times New Roman"/>
          <w:b/>
          <w:spacing w:val="-2"/>
          <w:sz w:val="16"/>
          <w:szCs w:val="16"/>
        </w:rPr>
        <w:tab/>
      </w:r>
      <w:r w:rsidRPr="003656E8">
        <w:rPr>
          <w:rFonts w:ascii="Times New Roman" w:hAnsi="Times New Roman"/>
          <w:b/>
          <w:spacing w:val="-2"/>
          <w:sz w:val="16"/>
          <w:szCs w:val="16"/>
        </w:rPr>
        <w:t>BGHSt 44, 328</w:t>
      </w:r>
      <w:r w:rsidRPr="003656E8">
        <w:rPr>
          <w:rFonts w:ascii="Times New Roman" w:hAnsi="Times New Roman"/>
          <w:spacing w:val="-2"/>
          <w:sz w:val="16"/>
          <w:szCs w:val="16"/>
        </w:rPr>
        <w:t xml:space="preserve"> – Strafkammerbesetzung (willkürliche Besetzung einer Strafkammer mit zwei Richtern); </w:t>
      </w:r>
      <w:r w:rsidRPr="003656E8">
        <w:rPr>
          <w:rFonts w:ascii="Times New Roman" w:hAnsi="Times New Roman"/>
          <w:b/>
          <w:spacing w:val="-2"/>
          <w:sz w:val="16"/>
          <w:szCs w:val="16"/>
        </w:rPr>
        <w:t>BGH</w:t>
      </w:r>
      <w:r w:rsidR="00946545" w:rsidRPr="003656E8">
        <w:rPr>
          <w:rFonts w:ascii="Times New Roman" w:hAnsi="Times New Roman"/>
          <w:b/>
          <w:spacing w:val="-2"/>
          <w:sz w:val="16"/>
          <w:szCs w:val="16"/>
        </w:rPr>
        <w:t> </w:t>
      </w:r>
      <w:r w:rsidRPr="003656E8">
        <w:rPr>
          <w:rFonts w:ascii="Times New Roman" w:hAnsi="Times New Roman"/>
          <w:b/>
          <w:spacing w:val="-2"/>
          <w:sz w:val="16"/>
          <w:szCs w:val="16"/>
        </w:rPr>
        <w:t>NStZ 2008, 146</w:t>
      </w:r>
      <w:r w:rsidRPr="003656E8">
        <w:rPr>
          <w:rFonts w:ascii="Times New Roman" w:hAnsi="Times New Roman"/>
          <w:spacing w:val="-2"/>
          <w:sz w:val="16"/>
          <w:szCs w:val="16"/>
        </w:rPr>
        <w:t xml:space="preserve"> – Terroristische Vereinigung (Zuständigkeit des OLG bei Übernahme der Sache durch den Generalbundesanwalt);</w:t>
      </w:r>
      <w:r w:rsidRPr="003656E8">
        <w:rPr>
          <w:rFonts w:ascii="Times New Roman" w:hAnsi="Times New Roman"/>
          <w:b/>
          <w:spacing w:val="-2"/>
          <w:sz w:val="16"/>
          <w:szCs w:val="16"/>
        </w:rPr>
        <w:t xml:space="preserve"> </w:t>
      </w:r>
      <w:r w:rsidR="007F2DBC" w:rsidRPr="003656E8">
        <w:rPr>
          <w:rFonts w:ascii="Times New Roman" w:hAnsi="Times New Roman"/>
          <w:b/>
          <w:bCs/>
          <w:spacing w:val="-2"/>
          <w:sz w:val="16"/>
          <w:szCs w:val="16"/>
        </w:rPr>
        <w:t xml:space="preserve">BGH NStZ 2009, 404 – </w:t>
      </w:r>
      <w:r w:rsidR="007F2DBC" w:rsidRPr="003656E8">
        <w:rPr>
          <w:rFonts w:ascii="Times New Roman" w:hAnsi="Times New Roman"/>
          <w:spacing w:val="-2"/>
          <w:sz w:val="16"/>
          <w:szCs w:val="16"/>
        </w:rPr>
        <w:t>Verfahrensrüge (Verweisung der Strafkammer an das Schwurgericht);</w:t>
      </w:r>
      <w:r w:rsidR="007F2DBC" w:rsidRPr="003656E8">
        <w:rPr>
          <w:rFonts w:ascii="Times New Roman" w:hAnsi="Times New Roman"/>
          <w:b/>
          <w:bCs/>
          <w:spacing w:val="-2"/>
          <w:sz w:val="16"/>
          <w:szCs w:val="16"/>
        </w:rPr>
        <w:t xml:space="preserve"> </w:t>
      </w:r>
      <w:r w:rsidR="008D3578" w:rsidRPr="003656E8">
        <w:rPr>
          <w:rFonts w:ascii="Times New Roman" w:hAnsi="Times New Roman"/>
          <w:b/>
          <w:spacing w:val="-2"/>
          <w:sz w:val="16"/>
          <w:szCs w:val="16"/>
        </w:rPr>
        <w:t>OLG Celle NStZ-RR 2012, 181</w:t>
      </w:r>
      <w:r w:rsidR="008D3578" w:rsidRPr="003656E8">
        <w:rPr>
          <w:rFonts w:ascii="Times New Roman" w:hAnsi="Times New Roman"/>
          <w:spacing w:val="-2"/>
          <w:sz w:val="16"/>
          <w:szCs w:val="16"/>
        </w:rPr>
        <w:t xml:space="preserve"> – Sofortige Beschwerde (Zuständigkeit des Schwurgerichts für Vollrausch); </w:t>
      </w:r>
      <w:r w:rsidRPr="003656E8">
        <w:rPr>
          <w:rFonts w:ascii="Times New Roman" w:hAnsi="Times New Roman"/>
          <w:b/>
          <w:spacing w:val="-2"/>
          <w:sz w:val="16"/>
          <w:szCs w:val="16"/>
        </w:rPr>
        <w:t xml:space="preserve">OLG Düsseldorf NStZ-RR 2001, 222 – </w:t>
      </w:r>
      <w:r w:rsidRPr="003656E8">
        <w:rPr>
          <w:rFonts w:ascii="Times New Roman" w:hAnsi="Times New Roman"/>
          <w:spacing w:val="-2"/>
          <w:sz w:val="16"/>
          <w:szCs w:val="16"/>
        </w:rPr>
        <w:t>Straferwartung (Zuständigkeit des Strafrichters nach Annahme der Sache bis zur Straferwartung von 4 Jahren)</w:t>
      </w:r>
      <w:r w:rsidR="0080211F" w:rsidRPr="003656E8">
        <w:rPr>
          <w:rFonts w:ascii="Times New Roman" w:hAnsi="Times New Roman"/>
          <w:spacing w:val="-2"/>
          <w:sz w:val="16"/>
          <w:szCs w:val="16"/>
        </w:rPr>
        <w:t>.</w:t>
      </w:r>
    </w:p>
    <w:sectPr w:rsidR="00265521" w:rsidRPr="003656E8" w:rsidSect="00265521">
      <w:pgSz w:w="11900" w:h="16840"/>
      <w:pgMar w:top="567" w:right="737" w:bottom="567"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08AB1" w14:textId="77777777" w:rsidR="00915161" w:rsidRDefault="00915161" w:rsidP="00407CD6">
      <w:r>
        <w:separator/>
      </w:r>
    </w:p>
  </w:endnote>
  <w:endnote w:type="continuationSeparator" w:id="0">
    <w:p w14:paraId="2F1B250E" w14:textId="77777777" w:rsidR="00915161" w:rsidRDefault="00915161" w:rsidP="0040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utch Roman 12pt">
    <w:altName w:val="Times New Roman"/>
    <w:panose1 w:val="020B06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B080F" w14:textId="77777777" w:rsidR="00915161" w:rsidRDefault="00915161" w:rsidP="00407CD6">
      <w:r>
        <w:separator/>
      </w:r>
    </w:p>
  </w:footnote>
  <w:footnote w:type="continuationSeparator" w:id="0">
    <w:p w14:paraId="3B2A88DC" w14:textId="77777777" w:rsidR="00915161" w:rsidRDefault="00915161" w:rsidP="0040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BE8C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8739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5"/>
  <w:embedSystemFonts/>
  <w:proofState w:spelling="clean" w:grammar="clean"/>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CB"/>
    <w:rsid w:val="00024975"/>
    <w:rsid w:val="00053BD0"/>
    <w:rsid w:val="000641CF"/>
    <w:rsid w:val="000C6341"/>
    <w:rsid w:val="00102D89"/>
    <w:rsid w:val="00130975"/>
    <w:rsid w:val="00133CA1"/>
    <w:rsid w:val="001850CF"/>
    <w:rsid w:val="001B3468"/>
    <w:rsid w:val="001C327C"/>
    <w:rsid w:val="001D2166"/>
    <w:rsid w:val="001E39D2"/>
    <w:rsid w:val="00226D3D"/>
    <w:rsid w:val="00234D96"/>
    <w:rsid w:val="00262C13"/>
    <w:rsid w:val="00265521"/>
    <w:rsid w:val="002A305F"/>
    <w:rsid w:val="002B216B"/>
    <w:rsid w:val="002E6822"/>
    <w:rsid w:val="002F7DB4"/>
    <w:rsid w:val="003656E8"/>
    <w:rsid w:val="003D18D2"/>
    <w:rsid w:val="00407CD6"/>
    <w:rsid w:val="004233B6"/>
    <w:rsid w:val="00440E6A"/>
    <w:rsid w:val="004657CC"/>
    <w:rsid w:val="004F027E"/>
    <w:rsid w:val="004F628F"/>
    <w:rsid w:val="00503A69"/>
    <w:rsid w:val="00560A00"/>
    <w:rsid w:val="00600BA2"/>
    <w:rsid w:val="006106CB"/>
    <w:rsid w:val="0065014C"/>
    <w:rsid w:val="00663859"/>
    <w:rsid w:val="00665216"/>
    <w:rsid w:val="006854A8"/>
    <w:rsid w:val="00722206"/>
    <w:rsid w:val="00722B6C"/>
    <w:rsid w:val="00747138"/>
    <w:rsid w:val="00773D00"/>
    <w:rsid w:val="00784045"/>
    <w:rsid w:val="007E04B6"/>
    <w:rsid w:val="007F2DBC"/>
    <w:rsid w:val="0080211F"/>
    <w:rsid w:val="00896BDC"/>
    <w:rsid w:val="008C617B"/>
    <w:rsid w:val="008D3578"/>
    <w:rsid w:val="00915161"/>
    <w:rsid w:val="00946545"/>
    <w:rsid w:val="0098516E"/>
    <w:rsid w:val="009933F5"/>
    <w:rsid w:val="009A24C6"/>
    <w:rsid w:val="009A60FC"/>
    <w:rsid w:val="009C3B79"/>
    <w:rsid w:val="00A11020"/>
    <w:rsid w:val="00A6207B"/>
    <w:rsid w:val="00A8145C"/>
    <w:rsid w:val="00AB4317"/>
    <w:rsid w:val="00AC40F4"/>
    <w:rsid w:val="00B11D81"/>
    <w:rsid w:val="00B437EC"/>
    <w:rsid w:val="00BA06EB"/>
    <w:rsid w:val="00BA307C"/>
    <w:rsid w:val="00BC4526"/>
    <w:rsid w:val="00BC531E"/>
    <w:rsid w:val="00BE4A26"/>
    <w:rsid w:val="00C301EA"/>
    <w:rsid w:val="00C75309"/>
    <w:rsid w:val="00C90069"/>
    <w:rsid w:val="00CF57DB"/>
    <w:rsid w:val="00D057C1"/>
    <w:rsid w:val="00DE4136"/>
    <w:rsid w:val="00DE6CAF"/>
    <w:rsid w:val="00E66934"/>
    <w:rsid w:val="00E91055"/>
    <w:rsid w:val="00F45A70"/>
    <w:rsid w:val="00F46239"/>
    <w:rsid w:val="00F63EC9"/>
    <w:rsid w:val="00F913A7"/>
    <w:rsid w:val="00FA220B"/>
    <w:rsid w:val="00FA513C"/>
    <w:rsid w:val="00FA5D2B"/>
    <w:rsid w:val="00FC3AE3"/>
    <w:rsid w:val="00FD52A6"/>
    <w:rsid w:val="00FF4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46904C3"/>
  <w15:chartTrackingRefBased/>
  <w15:docId w15:val="{A9693910-9994-4996-B77D-A4107F3B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6030"/>
    <w:pPr>
      <w:widowControl w:val="0"/>
      <w:autoSpaceDE w:val="0"/>
      <w:autoSpaceDN w:val="0"/>
      <w:adjustRightInd w:val="0"/>
    </w:pPr>
    <w:rPr>
      <w:rFonts w:ascii="Dutch Roman 12pt" w:hAnsi="Dutch Roman 12pt" w:cs="Arial Narro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446030"/>
  </w:style>
  <w:style w:type="paragraph" w:styleId="Sprechblasentext">
    <w:name w:val="Balloon Text"/>
    <w:basedOn w:val="Standard"/>
    <w:semiHidden/>
    <w:rsid w:val="004117BA"/>
    <w:rPr>
      <w:rFonts w:ascii="Tahoma" w:hAnsi="Tahoma" w:cs="Tahoma"/>
      <w:sz w:val="16"/>
      <w:szCs w:val="16"/>
    </w:rPr>
  </w:style>
  <w:style w:type="paragraph" w:styleId="Kopfzeile">
    <w:name w:val="header"/>
    <w:basedOn w:val="Standard"/>
    <w:link w:val="KopfzeileZchn"/>
    <w:uiPriority w:val="99"/>
    <w:unhideWhenUsed/>
    <w:rsid w:val="00407CD6"/>
    <w:pPr>
      <w:tabs>
        <w:tab w:val="center" w:pos="4536"/>
        <w:tab w:val="right" w:pos="9072"/>
      </w:tabs>
    </w:pPr>
  </w:style>
  <w:style w:type="character" w:customStyle="1" w:styleId="KopfzeileZchn">
    <w:name w:val="Kopfzeile Zchn"/>
    <w:link w:val="Kopfzeile"/>
    <w:uiPriority w:val="99"/>
    <w:rsid w:val="00407CD6"/>
    <w:rPr>
      <w:rFonts w:ascii="Dutch Roman 12pt" w:hAnsi="Dutch Roman 12pt" w:cs="Arial Narrow"/>
      <w:sz w:val="24"/>
      <w:szCs w:val="24"/>
    </w:rPr>
  </w:style>
  <w:style w:type="paragraph" w:styleId="Fuzeile">
    <w:name w:val="footer"/>
    <w:basedOn w:val="Standard"/>
    <w:link w:val="FuzeileZchn"/>
    <w:uiPriority w:val="99"/>
    <w:unhideWhenUsed/>
    <w:rsid w:val="00407CD6"/>
    <w:pPr>
      <w:tabs>
        <w:tab w:val="center" w:pos="4536"/>
        <w:tab w:val="right" w:pos="9072"/>
      </w:tabs>
    </w:pPr>
  </w:style>
  <w:style w:type="character" w:customStyle="1" w:styleId="FuzeileZchn">
    <w:name w:val="Fußzeile Zchn"/>
    <w:link w:val="Fuzeile"/>
    <w:uiPriority w:val="99"/>
    <w:rsid w:val="00407CD6"/>
    <w:rPr>
      <w:rFonts w:ascii="Dutch Roman 12pt" w:hAnsi="Dutch Roman 12pt" w:cs="Arial Narrow"/>
      <w:sz w:val="24"/>
      <w:szCs w:val="24"/>
    </w:rPr>
  </w:style>
  <w:style w:type="paragraph" w:styleId="berarbeitung">
    <w:name w:val="Revision"/>
    <w:hidden/>
    <w:uiPriority w:val="71"/>
    <w:rsid w:val="009C3B79"/>
    <w:rPr>
      <w:rFonts w:ascii="Dutch Roman 12pt" w:hAnsi="Dutch Roman 12pt" w:cs="Arial Narrow"/>
      <w:sz w:val="24"/>
      <w:szCs w:val="24"/>
    </w:rPr>
  </w:style>
  <w:style w:type="character" w:styleId="Kommentarzeichen">
    <w:name w:val="annotation reference"/>
    <w:uiPriority w:val="99"/>
    <w:semiHidden/>
    <w:unhideWhenUsed/>
    <w:rsid w:val="00722B6C"/>
    <w:rPr>
      <w:sz w:val="16"/>
      <w:szCs w:val="16"/>
    </w:rPr>
  </w:style>
  <w:style w:type="paragraph" w:styleId="Kommentartext">
    <w:name w:val="annotation text"/>
    <w:basedOn w:val="Standard"/>
    <w:link w:val="KommentartextZchn"/>
    <w:uiPriority w:val="99"/>
    <w:unhideWhenUsed/>
    <w:rsid w:val="00722B6C"/>
    <w:rPr>
      <w:sz w:val="20"/>
      <w:szCs w:val="20"/>
    </w:rPr>
  </w:style>
  <w:style w:type="character" w:customStyle="1" w:styleId="KommentartextZchn">
    <w:name w:val="Kommentartext Zchn"/>
    <w:link w:val="Kommentartext"/>
    <w:uiPriority w:val="99"/>
    <w:rsid w:val="00722B6C"/>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722B6C"/>
    <w:rPr>
      <w:b/>
      <w:bCs/>
    </w:rPr>
  </w:style>
  <w:style w:type="character" w:customStyle="1" w:styleId="KommentarthemaZchn">
    <w:name w:val="Kommentarthema Zchn"/>
    <w:link w:val="Kommentarthema"/>
    <w:uiPriority w:val="99"/>
    <w:semiHidden/>
    <w:rsid w:val="00722B6C"/>
    <w:rPr>
      <w:rFonts w:ascii="Dutch Roman 12pt" w:hAnsi="Dutch Roman 12pt" w:cs="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Prof</vt:lpstr>
    </vt:vector>
  </TitlesOfParts>
  <Company>Humboldt-Universität zu Berlin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Juristische Fakultät</dc:creator>
  <cp:keywords/>
  <cp:lastModifiedBy>Tobias Reinbacher</cp:lastModifiedBy>
  <cp:revision>3</cp:revision>
  <cp:lastPrinted>2020-10-16T11:52:00Z</cp:lastPrinted>
  <dcterms:created xsi:type="dcterms:W3CDTF">2024-10-04T13:29:00Z</dcterms:created>
  <dcterms:modified xsi:type="dcterms:W3CDTF">2024-10-14T10:12:00Z</dcterms:modified>
</cp:coreProperties>
</file>