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4CB2D" w14:textId="476A5F47" w:rsidR="00E0094E" w:rsidRDefault="00E57363">
      <w:pPr>
        <w:tabs>
          <w:tab w:val="right" w:pos="10206"/>
        </w:tabs>
        <w:jc w:val="both"/>
        <w:rPr>
          <w:b/>
          <w:spacing w:val="-3"/>
        </w:rPr>
      </w:pPr>
      <w:r>
        <w:rPr>
          <w:b/>
          <w:spacing w:val="-3"/>
        </w:rPr>
        <w:t xml:space="preserve"> </w:t>
      </w:r>
      <w:r w:rsidR="00E0094E">
        <w:rPr>
          <w:b/>
          <w:spacing w:val="-3"/>
        </w:rPr>
        <w:t xml:space="preserve">Prof. Dr. </w:t>
      </w:r>
      <w:r w:rsidR="00C80CB4">
        <w:rPr>
          <w:b/>
          <w:spacing w:val="-3"/>
        </w:rPr>
        <w:t xml:space="preserve">Dr. h.c. </w:t>
      </w:r>
      <w:r w:rsidR="00E0094E">
        <w:rPr>
          <w:b/>
          <w:spacing w:val="-3"/>
        </w:rPr>
        <w:t>Bernd Heinrich/</w:t>
      </w:r>
      <w:r w:rsidR="00487247">
        <w:rPr>
          <w:b/>
          <w:spacing w:val="-3"/>
        </w:rPr>
        <w:t>P</w:t>
      </w:r>
      <w:r w:rsidR="001F7D17">
        <w:rPr>
          <w:b/>
          <w:spacing w:val="-3"/>
        </w:rPr>
        <w:t>rof</w:t>
      </w:r>
      <w:r w:rsidR="00487247">
        <w:rPr>
          <w:b/>
          <w:spacing w:val="-3"/>
        </w:rPr>
        <w:t xml:space="preserve">. </w:t>
      </w:r>
      <w:r w:rsidR="00E0094E">
        <w:rPr>
          <w:b/>
          <w:spacing w:val="-3"/>
        </w:rPr>
        <w:t>Dr. Tobias Reinbacher</w:t>
      </w:r>
      <w:r w:rsidR="00E0094E">
        <w:rPr>
          <w:b/>
          <w:spacing w:val="-3"/>
        </w:rPr>
        <w:tab/>
        <w:t xml:space="preserve">Stand: 1. </w:t>
      </w:r>
      <w:r w:rsidR="00CE5649">
        <w:rPr>
          <w:b/>
          <w:spacing w:val="-3"/>
        </w:rPr>
        <w:t>Oktober</w:t>
      </w:r>
      <w:r w:rsidR="00AF118C">
        <w:rPr>
          <w:b/>
          <w:spacing w:val="-3"/>
        </w:rPr>
        <w:t xml:space="preserve"> </w:t>
      </w:r>
      <w:r w:rsidR="00C67E9F">
        <w:rPr>
          <w:b/>
          <w:spacing w:val="-3"/>
        </w:rPr>
        <w:t>202</w:t>
      </w:r>
      <w:r w:rsidR="006452CD">
        <w:rPr>
          <w:b/>
          <w:spacing w:val="-3"/>
        </w:rPr>
        <w:t>4</w:t>
      </w:r>
    </w:p>
    <w:p w14:paraId="6903777B" w14:textId="77777777" w:rsidR="00E0094E" w:rsidRDefault="00E0094E">
      <w:pPr>
        <w:tabs>
          <w:tab w:val="left" w:pos="-720"/>
        </w:tabs>
        <w:jc w:val="both"/>
        <w:rPr>
          <w:spacing w:val="-3"/>
        </w:rPr>
      </w:pPr>
    </w:p>
    <w:p w14:paraId="450B8685" w14:textId="622DC26E" w:rsidR="00E0094E" w:rsidRDefault="00E0094E" w:rsidP="00E0094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6452CD">
        <w:rPr>
          <w:b/>
          <w:spacing w:val="-3"/>
        </w:rPr>
        <w:t> </w:t>
      </w:r>
      <w:r>
        <w:rPr>
          <w:b/>
          <w:spacing w:val="-3"/>
        </w:rPr>
        <w:t>8</w:t>
      </w:r>
    </w:p>
    <w:p w14:paraId="6634782D" w14:textId="77777777" w:rsidR="00E0094E" w:rsidRPr="005C4B93" w:rsidRDefault="00E0094E" w:rsidP="00E0094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5C4B93">
        <w:rPr>
          <w:b/>
          <w:spacing w:val="-7"/>
          <w:sz w:val="52"/>
          <w:szCs w:val="52"/>
        </w:rPr>
        <w:t>Verfahrensbeteiligte I –</w:t>
      </w:r>
    </w:p>
    <w:p w14:paraId="05F34AB7" w14:textId="77777777" w:rsidR="00E0094E" w:rsidRPr="005C4B93" w:rsidRDefault="00E0094E" w:rsidP="00E0094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5C4B93">
        <w:rPr>
          <w:b/>
          <w:spacing w:val="-7"/>
          <w:sz w:val="52"/>
          <w:szCs w:val="52"/>
        </w:rPr>
        <w:t>Staatliche Beteiligte</w:t>
      </w:r>
    </w:p>
    <w:p w14:paraId="61860554" w14:textId="77777777" w:rsidR="00E0094E" w:rsidRDefault="00E0094E">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F4023D">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352A1F">
        <w:rPr>
          <w:rFonts w:ascii="Times New Roman" w:hAnsi="Times New Roman"/>
          <w:noProof/>
          <w:vanish/>
          <w:spacing w:val="-7"/>
          <w:sz w:val="60"/>
        </w:rPr>
        <w:t>1</w:t>
      </w:r>
      <w:r>
        <w:rPr>
          <w:rFonts w:ascii="Times New Roman" w:hAnsi="Times New Roman"/>
          <w:vanish/>
          <w:spacing w:val="-7"/>
          <w:sz w:val="60"/>
        </w:rPr>
        <w:fldChar w:fldCharType="end"/>
      </w:r>
    </w:p>
    <w:p w14:paraId="6D873FDB" w14:textId="77777777" w:rsidR="00E0094E" w:rsidRDefault="00E0094E">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78A99450" w14:textId="084D454B" w:rsidR="00E0094E" w:rsidRPr="003D7246" w:rsidRDefault="00E0094E" w:rsidP="00E0094E">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3D7246">
        <w:rPr>
          <w:rFonts w:ascii="Times New Roman" w:hAnsi="Times New Roman"/>
          <w:b/>
          <w:spacing w:val="-2"/>
          <w:sz w:val="16"/>
          <w:szCs w:val="16"/>
        </w:rPr>
        <w:t xml:space="preserve">I. </w:t>
      </w:r>
      <w:r w:rsidRPr="003D7246">
        <w:rPr>
          <w:rFonts w:ascii="Times New Roman" w:hAnsi="Times New Roman"/>
          <w:b/>
          <w:spacing w:val="-2"/>
          <w:sz w:val="16"/>
          <w:szCs w:val="16"/>
        </w:rPr>
        <w:tab/>
        <w:t>Allgemeines zu den Verfahrensbeteiligten:</w:t>
      </w:r>
      <w:r w:rsidRPr="003D7246">
        <w:rPr>
          <w:rFonts w:ascii="Times New Roman" w:hAnsi="Times New Roman"/>
          <w:spacing w:val="-2"/>
          <w:sz w:val="16"/>
          <w:szCs w:val="16"/>
        </w:rPr>
        <w:t xml:space="preserve"> Am Strafverfahren mit seinen verschiedenen Abschnitten (siehe Arbeitsblatt Nr.</w:t>
      </w:r>
      <w:r w:rsidR="006452CD">
        <w:rPr>
          <w:rFonts w:ascii="Times New Roman" w:hAnsi="Times New Roman"/>
          <w:spacing w:val="-2"/>
          <w:sz w:val="16"/>
          <w:szCs w:val="16"/>
        </w:rPr>
        <w:t> </w:t>
      </w:r>
      <w:r w:rsidRPr="003D7246">
        <w:rPr>
          <w:rFonts w:ascii="Times New Roman" w:hAnsi="Times New Roman"/>
          <w:spacing w:val="-2"/>
          <w:sz w:val="16"/>
          <w:szCs w:val="16"/>
        </w:rPr>
        <w:t>1) sind eine Vielzahl unterschiedlicher Personen bzw. Behörden beteiligt. Je nach Stand des Verfahrens erfüllen s</w:t>
      </w:r>
      <w:r w:rsidR="007E33D1" w:rsidRPr="003D7246">
        <w:rPr>
          <w:rFonts w:ascii="Times New Roman" w:hAnsi="Times New Roman"/>
          <w:spacing w:val="-2"/>
          <w:sz w:val="16"/>
          <w:szCs w:val="16"/>
        </w:rPr>
        <w:t>ie verschiedene Funktionen, tra</w:t>
      </w:r>
      <w:r w:rsidRPr="003D7246">
        <w:rPr>
          <w:rFonts w:ascii="Times New Roman" w:hAnsi="Times New Roman"/>
          <w:spacing w:val="-2"/>
          <w:sz w:val="16"/>
          <w:szCs w:val="16"/>
        </w:rPr>
        <w:t xml:space="preserve">gen teilweise unterschiedliche Bezeichnungen und haben andere Aufgaben und Verpflichtungen sowie ein unterschiedliches Gewicht. Im </w:t>
      </w:r>
      <w:r w:rsidR="00A106FA" w:rsidRPr="003D7246">
        <w:rPr>
          <w:rFonts w:ascii="Times New Roman" w:hAnsi="Times New Roman"/>
          <w:spacing w:val="-2"/>
          <w:sz w:val="16"/>
          <w:szCs w:val="16"/>
        </w:rPr>
        <w:t xml:space="preserve">Ermittlungsverfahren </w:t>
      </w:r>
      <w:r w:rsidRPr="003D7246">
        <w:rPr>
          <w:rFonts w:ascii="Times New Roman" w:hAnsi="Times New Roman"/>
          <w:spacing w:val="-2"/>
          <w:sz w:val="16"/>
          <w:szCs w:val="16"/>
        </w:rPr>
        <w:t xml:space="preserve">hat die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eine </w:t>
      </w:r>
      <w:r w:rsidR="00487247" w:rsidRPr="003D7246">
        <w:rPr>
          <w:rFonts w:ascii="Times New Roman" w:hAnsi="Times New Roman"/>
          <w:spacing w:val="-2"/>
          <w:sz w:val="16"/>
          <w:szCs w:val="16"/>
        </w:rPr>
        <w:t xml:space="preserve">beherrschende </w:t>
      </w:r>
      <w:r w:rsidRPr="003D7246">
        <w:rPr>
          <w:rFonts w:ascii="Times New Roman" w:hAnsi="Times New Roman"/>
          <w:spacing w:val="-2"/>
          <w:sz w:val="16"/>
          <w:szCs w:val="16"/>
        </w:rPr>
        <w:t>Stel</w:t>
      </w:r>
      <w:r w:rsidR="007E33D1" w:rsidRPr="003D7246">
        <w:rPr>
          <w:rFonts w:ascii="Times New Roman" w:hAnsi="Times New Roman"/>
          <w:spacing w:val="-2"/>
          <w:sz w:val="16"/>
          <w:szCs w:val="16"/>
        </w:rPr>
        <w:t xml:space="preserve">lung </w:t>
      </w:r>
      <w:r w:rsidR="00A106FA" w:rsidRPr="003D7246">
        <w:rPr>
          <w:rFonts w:ascii="Times New Roman" w:hAnsi="Times New Roman"/>
          <w:spacing w:val="-2"/>
          <w:sz w:val="16"/>
          <w:szCs w:val="16"/>
        </w:rPr>
        <w:t>(</w:t>
      </w:r>
      <w:r w:rsidR="003665CA" w:rsidRPr="003D7246">
        <w:rPr>
          <w:rFonts w:ascii="Times New Roman" w:hAnsi="Times New Roman"/>
          <w:spacing w:val="-2"/>
          <w:sz w:val="16"/>
          <w:szCs w:val="16"/>
        </w:rPr>
        <w:t xml:space="preserve">„Herrin“ </w:t>
      </w:r>
      <w:r w:rsidRPr="003D7246">
        <w:rPr>
          <w:rFonts w:ascii="Times New Roman" w:hAnsi="Times New Roman"/>
          <w:spacing w:val="-2"/>
          <w:sz w:val="16"/>
          <w:szCs w:val="16"/>
        </w:rPr>
        <w:t xml:space="preserve">des </w:t>
      </w:r>
      <w:r w:rsidR="00A106FA" w:rsidRPr="003D7246">
        <w:rPr>
          <w:rFonts w:ascii="Times New Roman" w:hAnsi="Times New Roman"/>
          <w:spacing w:val="-2"/>
          <w:sz w:val="16"/>
          <w:szCs w:val="16"/>
        </w:rPr>
        <w:t>Vorverfahrens)</w:t>
      </w:r>
      <w:r w:rsidRPr="003D7246">
        <w:rPr>
          <w:rFonts w:ascii="Times New Roman" w:hAnsi="Times New Roman"/>
          <w:spacing w:val="-2"/>
          <w:sz w:val="16"/>
          <w:szCs w:val="16"/>
        </w:rPr>
        <w:t xml:space="preserve">. </w:t>
      </w:r>
      <w:r w:rsidR="00487247" w:rsidRPr="003D7246">
        <w:rPr>
          <w:rFonts w:ascii="Times New Roman" w:hAnsi="Times New Roman"/>
          <w:spacing w:val="-2"/>
          <w:sz w:val="16"/>
          <w:szCs w:val="16"/>
        </w:rPr>
        <w:t xml:space="preserve">Die Ermittlungstätigkeit im Vorverfahren wird in der Regel von der Polizei – im Auftrag der </w:t>
      </w:r>
      <w:proofErr w:type="spellStart"/>
      <w:r w:rsidR="00487247" w:rsidRPr="003D7246">
        <w:rPr>
          <w:rFonts w:ascii="Times New Roman" w:hAnsi="Times New Roman"/>
          <w:spacing w:val="-2"/>
          <w:sz w:val="16"/>
          <w:szCs w:val="16"/>
        </w:rPr>
        <w:t>StA</w:t>
      </w:r>
      <w:proofErr w:type="spellEnd"/>
      <w:r w:rsidR="00487247" w:rsidRPr="003D7246">
        <w:rPr>
          <w:rFonts w:ascii="Times New Roman" w:hAnsi="Times New Roman"/>
          <w:spacing w:val="-2"/>
          <w:sz w:val="16"/>
          <w:szCs w:val="16"/>
        </w:rPr>
        <w:t xml:space="preserve"> – durchgeführt. </w:t>
      </w:r>
      <w:r w:rsidRPr="003D7246">
        <w:rPr>
          <w:rFonts w:ascii="Times New Roman" w:hAnsi="Times New Roman"/>
          <w:spacing w:val="-2"/>
          <w:sz w:val="16"/>
          <w:szCs w:val="16"/>
        </w:rPr>
        <w:t>Da</w:t>
      </w:r>
      <w:r w:rsidR="007E33D1" w:rsidRPr="003D7246">
        <w:rPr>
          <w:rFonts w:ascii="Times New Roman" w:hAnsi="Times New Roman"/>
          <w:spacing w:val="-2"/>
          <w:sz w:val="16"/>
          <w:szCs w:val="16"/>
        </w:rPr>
        <w:t>neben kann auch der Ermittlungs</w:t>
      </w:r>
      <w:r w:rsidRPr="003D7246">
        <w:rPr>
          <w:rFonts w:ascii="Times New Roman" w:hAnsi="Times New Roman"/>
          <w:spacing w:val="-2"/>
          <w:sz w:val="16"/>
          <w:szCs w:val="16"/>
        </w:rPr>
        <w:t>richter besondere Bedeutung erlangen. Die Rolle des Gerichts gewinnt an Wichtigkeit mit der zunehmenden Dauer des Verfahrens. Zwischen- und Hauptverfahren liegen in seinen Händen. Entscheidend sind im gesamten Verfahren Stellung und Rechte des Beschuldigten, Angeschuldigten bzw. Angeklagten sowie seines Verteidigers. Wichtig sind im Erkenntnisverfahren ferner die Beweispersonen wie Zeugen und Sachverständige. Als Letztes sind schließlich die Verletzten der Straftat zu nennen, welche z.B. als Antragsteller bzgl. eines Strafantrages unter Umständen erst für die Einleitung des Ermittlungsverfahrens sorgen oder im Hauptverfahren als Nebenkläger auftreten können.</w:t>
      </w:r>
    </w:p>
    <w:p w14:paraId="1CABC6AA" w14:textId="77777777" w:rsidR="00E0094E" w:rsidRPr="003D7246" w:rsidRDefault="00E0094E" w:rsidP="00E0094E">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16"/>
          <w:szCs w:val="16"/>
        </w:rPr>
      </w:pPr>
      <w:r w:rsidRPr="003D7246">
        <w:rPr>
          <w:rFonts w:ascii="Times New Roman" w:hAnsi="Times New Roman"/>
          <w:b/>
          <w:spacing w:val="-2"/>
          <w:sz w:val="16"/>
          <w:szCs w:val="16"/>
        </w:rPr>
        <w:t xml:space="preserve">II. </w:t>
      </w:r>
      <w:r w:rsidRPr="003D7246">
        <w:rPr>
          <w:rFonts w:ascii="Times New Roman" w:hAnsi="Times New Roman"/>
          <w:b/>
          <w:spacing w:val="-2"/>
          <w:sz w:val="16"/>
          <w:szCs w:val="16"/>
        </w:rPr>
        <w:tab/>
        <w:t>Die staatlichen Verfahrensbeteiligten:</w:t>
      </w:r>
      <w:r w:rsidRPr="003D7246">
        <w:rPr>
          <w:rFonts w:ascii="Times New Roman" w:hAnsi="Times New Roman"/>
          <w:spacing w:val="-2"/>
          <w:sz w:val="16"/>
          <w:szCs w:val="16"/>
        </w:rPr>
        <w:t xml:space="preserve"> </w:t>
      </w:r>
    </w:p>
    <w:p w14:paraId="04F11624" w14:textId="5BF46542" w:rsidR="00E0094E" w:rsidRPr="003D7246" w:rsidRDefault="00E0094E" w:rsidP="00E0094E">
      <w:pPr>
        <w:widowControl/>
        <w:tabs>
          <w:tab w:val="left" w:pos="-720"/>
          <w:tab w:val="left" w:pos="567"/>
          <w:tab w:val="left" w:pos="864"/>
          <w:tab w:val="left" w:pos="1116"/>
          <w:tab w:val="left" w:pos="1404"/>
          <w:tab w:val="left" w:pos="1692"/>
          <w:tab w:val="left" w:pos="1980"/>
          <w:tab w:val="left" w:pos="2268"/>
          <w:tab w:val="left" w:pos="2880"/>
        </w:tabs>
        <w:ind w:left="567" w:hanging="284"/>
        <w:jc w:val="both"/>
        <w:rPr>
          <w:rFonts w:ascii="Times New Roman" w:hAnsi="Times New Roman"/>
          <w:spacing w:val="-2"/>
          <w:sz w:val="16"/>
          <w:szCs w:val="16"/>
        </w:rPr>
      </w:pPr>
      <w:r w:rsidRPr="003D7246">
        <w:rPr>
          <w:rFonts w:ascii="Times New Roman" w:hAnsi="Times New Roman"/>
          <w:spacing w:val="-2"/>
          <w:sz w:val="16"/>
          <w:szCs w:val="16"/>
          <w:u w:val="single"/>
        </w:rPr>
        <w:t xml:space="preserve">1. </w:t>
      </w:r>
      <w:r w:rsidRPr="003D7246">
        <w:rPr>
          <w:rFonts w:ascii="Times New Roman" w:hAnsi="Times New Roman"/>
          <w:spacing w:val="-2"/>
          <w:sz w:val="16"/>
          <w:szCs w:val="16"/>
          <w:u w:val="single"/>
        </w:rPr>
        <w:tab/>
        <w:t>Die Polizei:</w:t>
      </w:r>
      <w:r w:rsidRPr="003D7246">
        <w:rPr>
          <w:rFonts w:ascii="Times New Roman" w:hAnsi="Times New Roman"/>
          <w:spacing w:val="-2"/>
          <w:sz w:val="16"/>
          <w:szCs w:val="16"/>
        </w:rPr>
        <w:t xml:space="preserve"> Die Polizei ist für das Vorverfahren besonders wichtig. Grundsätzlich hat die Polizei in Deutschland sowohl präventive als auch repressive Aufgaben, sog. Doppelfunktion. Das Strafverfahren ist ausschließlich dem repressiven Bereich, d.h. der Verfolgung bereits begangener Straftaten, zugehörig. Maßgeblich für die repressive Tätigkeit sind die Vorschriften der StPO und des GVG, während das präventive Polizeirecht, welches der Verhinderung von Straftaten und der Gefahrenabwehr dient, in den Polizeigesetzen der Länder geregelt ist (z.B. ASOG Berlin</w:t>
      </w:r>
      <w:r w:rsidR="002032AA">
        <w:rPr>
          <w:rFonts w:ascii="Times New Roman" w:hAnsi="Times New Roman"/>
          <w:spacing w:val="-2"/>
          <w:sz w:val="16"/>
          <w:szCs w:val="16"/>
        </w:rPr>
        <w:t xml:space="preserve">; </w:t>
      </w:r>
      <w:proofErr w:type="spellStart"/>
      <w:r w:rsidR="00CF412C">
        <w:rPr>
          <w:rFonts w:ascii="Times New Roman" w:hAnsi="Times New Roman"/>
          <w:spacing w:val="-2"/>
          <w:sz w:val="16"/>
          <w:szCs w:val="16"/>
        </w:rPr>
        <w:t>PolG</w:t>
      </w:r>
      <w:proofErr w:type="spellEnd"/>
      <w:r w:rsidR="00CF412C">
        <w:rPr>
          <w:rFonts w:ascii="Times New Roman" w:hAnsi="Times New Roman"/>
          <w:spacing w:val="-2"/>
          <w:sz w:val="16"/>
          <w:szCs w:val="16"/>
        </w:rPr>
        <w:t xml:space="preserve"> BW</w:t>
      </w:r>
      <w:r w:rsidR="00A54CDC" w:rsidRPr="003D7246">
        <w:rPr>
          <w:rFonts w:ascii="Times New Roman" w:hAnsi="Times New Roman"/>
          <w:spacing w:val="-2"/>
          <w:sz w:val="16"/>
          <w:szCs w:val="16"/>
        </w:rPr>
        <w:t>; PAG</w:t>
      </w:r>
      <w:r w:rsidR="003D7246" w:rsidRPr="003D7246">
        <w:rPr>
          <w:rFonts w:ascii="Times New Roman" w:hAnsi="Times New Roman"/>
          <w:spacing w:val="-2"/>
          <w:sz w:val="16"/>
          <w:szCs w:val="16"/>
        </w:rPr>
        <w:t xml:space="preserve"> </w:t>
      </w:r>
      <w:r w:rsidR="003D7246" w:rsidRPr="00AE23AF">
        <w:rPr>
          <w:rFonts w:ascii="Times New Roman" w:hAnsi="Times New Roman"/>
          <w:spacing w:val="-2"/>
          <w:sz w:val="16"/>
          <w:szCs w:val="16"/>
        </w:rPr>
        <w:t>Bayern</w:t>
      </w:r>
      <w:r w:rsidRPr="003D7246">
        <w:rPr>
          <w:rFonts w:ascii="Times New Roman" w:hAnsi="Times New Roman"/>
          <w:spacing w:val="-2"/>
          <w:sz w:val="16"/>
          <w:szCs w:val="16"/>
        </w:rPr>
        <w:t xml:space="preserve">). Aufgabe der Polizei im repressiven Bereich ist die Erforschung des Sachverhalts im Vorverfahren, § 163 I StPO. Hierbei wird sie einerseits auf Weisung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tätig. Da die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als leitende Ermittlungsbehörde (</w:t>
      </w:r>
      <w:r w:rsidR="003D023C">
        <w:rPr>
          <w:rFonts w:ascii="Times New Roman" w:hAnsi="Times New Roman"/>
          <w:spacing w:val="-2"/>
          <w:sz w:val="16"/>
          <w:szCs w:val="16"/>
        </w:rPr>
        <w:t>„</w:t>
      </w:r>
      <w:r w:rsidRPr="003D7246">
        <w:rPr>
          <w:rFonts w:ascii="Times New Roman" w:hAnsi="Times New Roman"/>
          <w:spacing w:val="-2"/>
          <w:sz w:val="16"/>
          <w:szCs w:val="16"/>
        </w:rPr>
        <w:t>Herrin</w:t>
      </w:r>
      <w:r w:rsidR="003D023C">
        <w:rPr>
          <w:rFonts w:ascii="Times New Roman" w:hAnsi="Times New Roman"/>
          <w:spacing w:val="-2"/>
          <w:sz w:val="16"/>
          <w:szCs w:val="16"/>
        </w:rPr>
        <w:t>“</w:t>
      </w:r>
      <w:r w:rsidRPr="003D7246">
        <w:rPr>
          <w:rFonts w:ascii="Times New Roman" w:hAnsi="Times New Roman"/>
          <w:spacing w:val="-2"/>
          <w:sz w:val="16"/>
          <w:szCs w:val="16"/>
        </w:rPr>
        <w:t xml:space="preserve"> des Vorverfahrens) weder über eigene Polizeikräfte noch über ausreichende Kapazitäten verfügt, die Ermittlungen selbst durchzuführen, kann sie sich hierzu der Behörden des allgemeinen Polizeidienstes bedienen, § 161 I StPO. Je nach Dienstgrad ist hierbei zwischen den sog. Ermittlungspersonen, § 152 GVG, und den übrigen Polizeibeamten zu unterscheiden. Den Ermittlungspersonen räumt die StPO eine Reihe besonderer Befugnisse ein. Sie werden im Auftrag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tätig und haben dabei deren Anordnungen Folge zu leisten. Die übrigen Polizeibeamten sind ebenfalls verpflichtet, dem „Ersuchen“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nachzukommen, § 161 I 2 StPO. Andererseits kann und muss die Polizei auch von sich aus tätig werden, wenn sie – etwa durch Anzeige oder durch eigene Wahrnehmung – Kenntnis von einer Straftat</w:t>
      </w:r>
      <w:r w:rsidR="007E33D1" w:rsidRPr="003D7246">
        <w:rPr>
          <w:rFonts w:ascii="Times New Roman" w:hAnsi="Times New Roman"/>
          <w:spacing w:val="-2"/>
          <w:sz w:val="16"/>
          <w:szCs w:val="16"/>
        </w:rPr>
        <w:t xml:space="preserve"> </w:t>
      </w:r>
      <w:r w:rsidRPr="003D7246">
        <w:rPr>
          <w:rFonts w:ascii="Times New Roman" w:hAnsi="Times New Roman"/>
          <w:spacing w:val="-2"/>
          <w:sz w:val="16"/>
          <w:szCs w:val="16"/>
        </w:rPr>
        <w:t>erlangt: Recht und Pflicht des ersten Zugriffs. Sie hat hierbei auch selbst alle Anordnungen zu treffen, welche keinen Aufschub dulden, um eine Verdunkelung des Sachverhalts zu verhindern. Die Polizei verfügt im Rahmen der Ermittlungstätigkeit über einige wichtige Zwangsbefugnisse, wie etwa die vorläufige Festnahme, § 127 II StPO (daneben hat die Polizei, wie jeder andere Bürger auch, das Festnahme-Recht gemäß § 127 I StPO</w:t>
      </w:r>
      <w:r w:rsidR="002032AA">
        <w:rPr>
          <w:rFonts w:ascii="Times New Roman" w:hAnsi="Times New Roman"/>
          <w:spacing w:val="-2"/>
          <w:sz w:val="16"/>
          <w:szCs w:val="16"/>
        </w:rPr>
        <w:t xml:space="preserve">, </w:t>
      </w:r>
      <w:r w:rsidRPr="003D7246">
        <w:rPr>
          <w:rFonts w:ascii="Times New Roman" w:hAnsi="Times New Roman"/>
          <w:spacing w:val="-2"/>
          <w:sz w:val="16"/>
          <w:szCs w:val="16"/>
        </w:rPr>
        <w:t>siehe Arbeitsblatt Nr.</w:t>
      </w:r>
      <w:r w:rsidR="002032AA">
        <w:rPr>
          <w:rFonts w:ascii="Times New Roman" w:hAnsi="Times New Roman"/>
          <w:spacing w:val="-2"/>
          <w:sz w:val="16"/>
          <w:szCs w:val="16"/>
        </w:rPr>
        <w:t> </w:t>
      </w:r>
      <w:r w:rsidRPr="003D7246">
        <w:rPr>
          <w:rFonts w:ascii="Times New Roman" w:hAnsi="Times New Roman"/>
          <w:spacing w:val="-2"/>
          <w:sz w:val="16"/>
          <w:szCs w:val="16"/>
        </w:rPr>
        <w:t>23), Vornahme erkennungsdienstlicher Maßnahmen, §§ 81b, 163b I StPO, Vernehmung von Beschuldigten</w:t>
      </w:r>
      <w:r w:rsidR="00C80CB4">
        <w:rPr>
          <w:rFonts w:ascii="Times New Roman" w:hAnsi="Times New Roman"/>
          <w:spacing w:val="-2"/>
          <w:sz w:val="16"/>
          <w:szCs w:val="16"/>
        </w:rPr>
        <w:t xml:space="preserve"> (</w:t>
      </w:r>
      <w:r w:rsidR="00C80CB4" w:rsidRPr="003D7246">
        <w:rPr>
          <w:rFonts w:ascii="Times New Roman" w:hAnsi="Times New Roman"/>
          <w:spacing w:val="-2"/>
          <w:sz w:val="16"/>
          <w:szCs w:val="16"/>
        </w:rPr>
        <w:t>§ 163a I, IV, V StPO</w:t>
      </w:r>
      <w:r w:rsidR="00C80CB4">
        <w:rPr>
          <w:rFonts w:ascii="Times New Roman" w:hAnsi="Times New Roman"/>
          <w:spacing w:val="-2"/>
          <w:sz w:val="16"/>
          <w:szCs w:val="16"/>
        </w:rPr>
        <w:t>)</w:t>
      </w:r>
      <w:r w:rsidRPr="003D7246">
        <w:rPr>
          <w:rFonts w:ascii="Times New Roman" w:hAnsi="Times New Roman"/>
          <w:spacing w:val="-2"/>
          <w:sz w:val="16"/>
          <w:szCs w:val="16"/>
        </w:rPr>
        <w:t>, Zeugen und Sachverständige</w:t>
      </w:r>
      <w:r w:rsidR="0002640A">
        <w:rPr>
          <w:rFonts w:ascii="Times New Roman" w:hAnsi="Times New Roman"/>
          <w:spacing w:val="-2"/>
          <w:sz w:val="16"/>
          <w:szCs w:val="16"/>
        </w:rPr>
        <w:t>n</w:t>
      </w:r>
      <w:r w:rsidR="00C80CB4">
        <w:rPr>
          <w:rFonts w:ascii="Times New Roman" w:hAnsi="Times New Roman"/>
          <w:spacing w:val="-2"/>
          <w:sz w:val="16"/>
          <w:szCs w:val="16"/>
        </w:rPr>
        <w:t xml:space="preserve"> (§ 163 III, VI StPO)</w:t>
      </w:r>
      <w:r w:rsidRPr="003D7246">
        <w:rPr>
          <w:rFonts w:ascii="Times New Roman" w:hAnsi="Times New Roman"/>
          <w:spacing w:val="-2"/>
          <w:sz w:val="16"/>
          <w:szCs w:val="16"/>
        </w:rPr>
        <w:t xml:space="preserve">. Manche Befugnisse stehen indes nur den Ermittlungsbeamten zu, so etwa die körperliche Untersuchung von Beschuldigten oder </w:t>
      </w:r>
      <w:r w:rsidR="00307A1E">
        <w:rPr>
          <w:rFonts w:ascii="Times New Roman" w:hAnsi="Times New Roman"/>
          <w:spacing w:val="-2"/>
          <w:sz w:val="16"/>
          <w:szCs w:val="16"/>
        </w:rPr>
        <w:t>anderen Personen</w:t>
      </w:r>
      <w:r w:rsidRPr="003D7246">
        <w:rPr>
          <w:rFonts w:ascii="Times New Roman" w:hAnsi="Times New Roman"/>
          <w:spacing w:val="-2"/>
          <w:sz w:val="16"/>
          <w:szCs w:val="16"/>
        </w:rPr>
        <w:t>, §§ 81a II, 81c V StPO, die Beschlagnahme von Sachen, § 98 I StPO, oder die Durchsuchung, § 105 I StPO, jeweils als Eilkompetenz bei Gefahr im Verzug.</w:t>
      </w:r>
    </w:p>
    <w:p w14:paraId="6B4E1A6A" w14:textId="4C2D477B" w:rsidR="00E0094E" w:rsidRPr="003D7246" w:rsidRDefault="00E0094E" w:rsidP="00307A1E">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3D7246">
        <w:rPr>
          <w:rFonts w:ascii="Times New Roman" w:hAnsi="Times New Roman"/>
          <w:spacing w:val="-2"/>
          <w:sz w:val="16"/>
          <w:szCs w:val="16"/>
        </w:rPr>
        <w:tab/>
      </w:r>
      <w:r w:rsidRPr="003D7246">
        <w:rPr>
          <w:rFonts w:ascii="Times New Roman" w:hAnsi="Times New Roman"/>
          <w:spacing w:val="-2"/>
          <w:sz w:val="16"/>
          <w:szCs w:val="16"/>
          <w:u w:val="single"/>
        </w:rPr>
        <w:t xml:space="preserve">2. </w:t>
      </w:r>
      <w:r w:rsidRPr="003D7246">
        <w:rPr>
          <w:rFonts w:ascii="Times New Roman" w:hAnsi="Times New Roman"/>
          <w:spacing w:val="-2"/>
          <w:sz w:val="16"/>
          <w:szCs w:val="16"/>
          <w:u w:val="single"/>
        </w:rPr>
        <w:tab/>
        <w:t>Die Staatsanwaltschaft:</w:t>
      </w:r>
      <w:r w:rsidRPr="003D7246">
        <w:rPr>
          <w:rFonts w:ascii="Times New Roman" w:hAnsi="Times New Roman"/>
          <w:spacing w:val="-2"/>
          <w:sz w:val="16"/>
          <w:szCs w:val="16"/>
        </w:rPr>
        <w:t xml:space="preserve"> </w:t>
      </w:r>
      <w:r w:rsidR="00487247" w:rsidRPr="003D7246">
        <w:rPr>
          <w:rFonts w:ascii="Times New Roman" w:hAnsi="Times New Roman"/>
          <w:spacing w:val="-2"/>
          <w:sz w:val="16"/>
          <w:szCs w:val="16"/>
        </w:rPr>
        <w:t xml:space="preserve">Die </w:t>
      </w:r>
      <w:proofErr w:type="spellStart"/>
      <w:r w:rsidR="00487247" w:rsidRPr="003D7246">
        <w:rPr>
          <w:rFonts w:ascii="Times New Roman" w:hAnsi="Times New Roman"/>
          <w:spacing w:val="-2"/>
          <w:sz w:val="16"/>
          <w:szCs w:val="16"/>
        </w:rPr>
        <w:t>StA</w:t>
      </w:r>
      <w:proofErr w:type="spellEnd"/>
      <w:r w:rsidR="00487247" w:rsidRPr="003D7246">
        <w:rPr>
          <w:rFonts w:ascii="Times New Roman" w:hAnsi="Times New Roman"/>
          <w:spacing w:val="-2"/>
          <w:sz w:val="16"/>
          <w:szCs w:val="16"/>
        </w:rPr>
        <w:t xml:space="preserve"> ist eine von den Gerichten unabhängige, hierarchisch aufgebaute Behörde, §§ 141 ff. GVG. Der einzelne Staatsanwalt ist nicht unabhängig, sondern an die dienstlichen Weisungen seines Vorgesetzten (i.d.R. ein Leitender Oberstaatsanwalt als Behördenleiter) gebunden, §</w:t>
      </w:r>
      <w:r w:rsidR="00CF24C7">
        <w:rPr>
          <w:rFonts w:ascii="Times New Roman" w:hAnsi="Times New Roman"/>
          <w:spacing w:val="-2"/>
          <w:sz w:val="16"/>
          <w:szCs w:val="16"/>
        </w:rPr>
        <w:t> </w:t>
      </w:r>
      <w:r w:rsidR="00487247" w:rsidRPr="003D7246">
        <w:rPr>
          <w:rFonts w:ascii="Times New Roman" w:hAnsi="Times New Roman"/>
          <w:spacing w:val="-2"/>
          <w:sz w:val="16"/>
          <w:szCs w:val="16"/>
        </w:rPr>
        <w:t xml:space="preserve">146 GVG. Dieser kann das Verfahren auch einem anderen Staatsanwalt übertragen (Substitutionsrecht, § 145 </w:t>
      </w:r>
      <w:r w:rsidR="00B03237">
        <w:rPr>
          <w:rFonts w:ascii="Times New Roman" w:hAnsi="Times New Roman"/>
          <w:spacing w:val="-2"/>
          <w:sz w:val="16"/>
          <w:szCs w:val="16"/>
        </w:rPr>
        <w:t>I</w:t>
      </w:r>
      <w:r w:rsidR="00487247" w:rsidRPr="003D7246">
        <w:rPr>
          <w:rFonts w:ascii="Times New Roman" w:hAnsi="Times New Roman"/>
          <w:spacing w:val="-2"/>
          <w:sz w:val="16"/>
          <w:szCs w:val="16"/>
        </w:rPr>
        <w:t xml:space="preserve"> Alt. </w:t>
      </w:r>
      <w:r w:rsidR="00307A1E">
        <w:rPr>
          <w:rFonts w:ascii="Times New Roman" w:hAnsi="Times New Roman"/>
          <w:spacing w:val="-2"/>
          <w:sz w:val="16"/>
          <w:szCs w:val="16"/>
        </w:rPr>
        <w:t>2</w:t>
      </w:r>
      <w:r w:rsidR="00487247" w:rsidRPr="003D7246">
        <w:rPr>
          <w:rFonts w:ascii="Times New Roman" w:hAnsi="Times New Roman"/>
          <w:spacing w:val="-2"/>
          <w:sz w:val="16"/>
          <w:szCs w:val="16"/>
        </w:rPr>
        <w:t xml:space="preserve"> GVG) oder an sich ziehen (Devolutionsrecht, § 145 </w:t>
      </w:r>
      <w:r w:rsidR="00B03237">
        <w:rPr>
          <w:rFonts w:ascii="Times New Roman" w:hAnsi="Times New Roman"/>
          <w:spacing w:val="-2"/>
          <w:sz w:val="16"/>
          <w:szCs w:val="16"/>
        </w:rPr>
        <w:t>I</w:t>
      </w:r>
      <w:r w:rsidR="00487247" w:rsidRPr="003D7246">
        <w:rPr>
          <w:rFonts w:ascii="Times New Roman" w:hAnsi="Times New Roman"/>
          <w:spacing w:val="-2"/>
          <w:sz w:val="16"/>
          <w:szCs w:val="16"/>
        </w:rPr>
        <w:t xml:space="preserve"> Alt. </w:t>
      </w:r>
      <w:r w:rsidR="00307A1E">
        <w:rPr>
          <w:rFonts w:ascii="Times New Roman" w:hAnsi="Times New Roman"/>
          <w:spacing w:val="-2"/>
          <w:sz w:val="16"/>
          <w:szCs w:val="16"/>
        </w:rPr>
        <w:t>1</w:t>
      </w:r>
      <w:r w:rsidR="00487247" w:rsidRPr="003D7246">
        <w:rPr>
          <w:rFonts w:ascii="Times New Roman" w:hAnsi="Times New Roman"/>
          <w:spacing w:val="-2"/>
          <w:sz w:val="16"/>
          <w:szCs w:val="16"/>
        </w:rPr>
        <w:t xml:space="preserve"> GVG). </w:t>
      </w:r>
      <w:r w:rsidRPr="003D7246">
        <w:rPr>
          <w:rFonts w:ascii="Times New Roman" w:hAnsi="Times New Roman"/>
          <w:spacing w:val="-2"/>
          <w:sz w:val="16"/>
          <w:szCs w:val="16"/>
        </w:rPr>
        <w:t xml:space="preserve">Funktion und Aufgaben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unterscheiden sich in den einzelnen Verfahrensabschnitten. Im Vorverfahren ist sie leitende Behörde und dazu verpflichtet, bei Vorliegen hinreichender Verdachtsmomente, ein entsprechendes Verfahren einzuleiten, Legalitätsprinzip, § 152 II StPO. Hierbei muss sie sowohl </w:t>
      </w:r>
      <w:proofErr w:type="spellStart"/>
      <w:r w:rsidRPr="003D7246">
        <w:rPr>
          <w:rFonts w:ascii="Times New Roman" w:hAnsi="Times New Roman"/>
          <w:spacing w:val="-2"/>
          <w:sz w:val="16"/>
          <w:szCs w:val="16"/>
        </w:rPr>
        <w:t>be</w:t>
      </w:r>
      <w:proofErr w:type="spellEnd"/>
      <w:r w:rsidRPr="003D7246">
        <w:rPr>
          <w:rFonts w:ascii="Times New Roman" w:hAnsi="Times New Roman"/>
          <w:spacing w:val="-2"/>
          <w:sz w:val="16"/>
          <w:szCs w:val="16"/>
        </w:rPr>
        <w:t xml:space="preserve">- als auch entlastende Tatsachen ermitteln („objektivste Behörde der Welt“), § 160 II StPO. Die Ermittlung kann sie entweder selbst durchführen oder sich hierzu der Polizei bedienen (s.o.). </w:t>
      </w:r>
      <w:proofErr w:type="spellStart"/>
      <w:r w:rsidRPr="003D7246">
        <w:rPr>
          <w:rFonts w:ascii="Times New Roman" w:hAnsi="Times New Roman"/>
          <w:spacing w:val="-2"/>
          <w:sz w:val="16"/>
          <w:szCs w:val="16"/>
        </w:rPr>
        <w:t>Grds</w:t>
      </w:r>
      <w:proofErr w:type="spellEnd"/>
      <w:r w:rsidRPr="003D7246">
        <w:rPr>
          <w:rFonts w:ascii="Times New Roman" w:hAnsi="Times New Roman"/>
          <w:spacing w:val="-2"/>
          <w:sz w:val="16"/>
          <w:szCs w:val="16"/>
        </w:rPr>
        <w:t xml:space="preserve">. steht ihr eine Vielzahl an Ermittlungsmethoden zur Verfügung. Sie kann z.B. Zeugen oder Sachverständige befragen oder den Tatort in Augenschein nehmen. In manchen Fällen ist sie allerdings auf die Mitwirkung des Ermittlungsrichters angewiesen, so </w:t>
      </w:r>
      <w:r w:rsidR="007E3D67" w:rsidRPr="003D7246">
        <w:rPr>
          <w:rFonts w:ascii="Times New Roman" w:hAnsi="Times New Roman"/>
          <w:spacing w:val="-2"/>
          <w:sz w:val="16"/>
          <w:szCs w:val="16"/>
        </w:rPr>
        <w:t>insb</w:t>
      </w:r>
      <w:r w:rsidR="007E3D67">
        <w:rPr>
          <w:rFonts w:ascii="Times New Roman" w:hAnsi="Times New Roman"/>
          <w:spacing w:val="-2"/>
          <w:sz w:val="16"/>
          <w:szCs w:val="16"/>
        </w:rPr>
        <w:t>.</w:t>
      </w:r>
      <w:r w:rsidR="007E3D67" w:rsidRPr="003D7246">
        <w:rPr>
          <w:rFonts w:ascii="Times New Roman" w:hAnsi="Times New Roman"/>
          <w:spacing w:val="-2"/>
          <w:sz w:val="16"/>
          <w:szCs w:val="16"/>
        </w:rPr>
        <w:t>,</w:t>
      </w:r>
      <w:r w:rsidRPr="003D7246">
        <w:rPr>
          <w:rFonts w:ascii="Times New Roman" w:hAnsi="Times New Roman"/>
          <w:spacing w:val="-2"/>
          <w:sz w:val="16"/>
          <w:szCs w:val="16"/>
        </w:rPr>
        <w:t xml:space="preserve"> wenn es um die Anordnung von Zwangsmaßnahmen geht, wie etwa Durchsuchung, §§ 102 ff. StPO, oder Anordnung von Untersuchungshaft, §§ 112 ff. StPO. Bei Gefahr im Verzug kann sie Zwangsmaßnahmen oftmals aber auch selbst anordnen, so z.B. gemäß § 105 I StPO die Durchsuchung. Bei Ermittlung eines hinreichenden Tatverdachts erhebt die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Anklage; liegt ein solcher nicht vor, stellt sie das Verfahren ein. Sie kann ferner das Verfahren auch aus Opportunitätsgründen einstellen, §§ 153 ff. StPO (siehe Arbeitsblatt Nr. 35). Bei Anklageerhebung verfasst die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die Anklageschrift. </w:t>
      </w:r>
      <w:r w:rsidR="003541FE" w:rsidRPr="003D7246">
        <w:rPr>
          <w:rFonts w:ascii="Times New Roman" w:hAnsi="Times New Roman"/>
          <w:spacing w:val="-2"/>
          <w:sz w:val="16"/>
          <w:szCs w:val="16"/>
        </w:rPr>
        <w:t>Streitig ist</w:t>
      </w:r>
      <w:r w:rsidR="0077033F" w:rsidRPr="003D7246">
        <w:rPr>
          <w:rFonts w:ascii="Times New Roman" w:hAnsi="Times New Roman"/>
          <w:spacing w:val="-2"/>
          <w:sz w:val="16"/>
          <w:szCs w:val="16"/>
        </w:rPr>
        <w:t xml:space="preserve">, ob und inwieweit die </w:t>
      </w:r>
      <w:proofErr w:type="spellStart"/>
      <w:r w:rsidR="0077033F" w:rsidRPr="003D7246">
        <w:rPr>
          <w:rFonts w:ascii="Times New Roman" w:hAnsi="Times New Roman"/>
          <w:spacing w:val="-2"/>
          <w:sz w:val="16"/>
          <w:szCs w:val="16"/>
        </w:rPr>
        <w:t>StA</w:t>
      </w:r>
      <w:proofErr w:type="spellEnd"/>
      <w:r w:rsidR="0077033F" w:rsidRPr="003D7246">
        <w:rPr>
          <w:rFonts w:ascii="Times New Roman" w:hAnsi="Times New Roman"/>
          <w:spacing w:val="-2"/>
          <w:sz w:val="16"/>
          <w:szCs w:val="16"/>
        </w:rPr>
        <w:t xml:space="preserve"> bzgl. der Ankl</w:t>
      </w:r>
      <w:r w:rsidR="003541FE" w:rsidRPr="003D7246">
        <w:rPr>
          <w:rFonts w:ascii="Times New Roman" w:hAnsi="Times New Roman"/>
          <w:spacing w:val="-2"/>
          <w:sz w:val="16"/>
          <w:szCs w:val="16"/>
        </w:rPr>
        <w:t>ageerhebung an die höchstricht</w:t>
      </w:r>
      <w:r w:rsidR="007E33D1" w:rsidRPr="003D7246">
        <w:rPr>
          <w:rFonts w:ascii="Times New Roman" w:hAnsi="Times New Roman"/>
          <w:spacing w:val="-2"/>
          <w:sz w:val="16"/>
          <w:szCs w:val="16"/>
        </w:rPr>
        <w:t>er</w:t>
      </w:r>
      <w:r w:rsidR="003541FE" w:rsidRPr="003D7246">
        <w:rPr>
          <w:rFonts w:ascii="Times New Roman" w:hAnsi="Times New Roman"/>
          <w:spacing w:val="-2"/>
          <w:sz w:val="16"/>
          <w:szCs w:val="16"/>
        </w:rPr>
        <w:t>li</w:t>
      </w:r>
      <w:r w:rsidR="0077033F" w:rsidRPr="003D7246">
        <w:rPr>
          <w:rFonts w:ascii="Times New Roman" w:hAnsi="Times New Roman"/>
          <w:spacing w:val="-2"/>
          <w:sz w:val="16"/>
          <w:szCs w:val="16"/>
        </w:rPr>
        <w:t xml:space="preserve">che </w:t>
      </w:r>
      <w:proofErr w:type="spellStart"/>
      <w:r w:rsidR="0077033F" w:rsidRPr="003D7246">
        <w:rPr>
          <w:rFonts w:ascii="Times New Roman" w:hAnsi="Times New Roman"/>
          <w:spacing w:val="-2"/>
          <w:sz w:val="16"/>
          <w:szCs w:val="16"/>
        </w:rPr>
        <w:t>Rspr</w:t>
      </w:r>
      <w:proofErr w:type="spellEnd"/>
      <w:r w:rsidR="0077033F" w:rsidRPr="003D7246">
        <w:rPr>
          <w:rFonts w:ascii="Times New Roman" w:hAnsi="Times New Roman"/>
          <w:spacing w:val="-2"/>
          <w:sz w:val="16"/>
          <w:szCs w:val="16"/>
        </w:rPr>
        <w:t xml:space="preserve">. gebunden ist. Der BGH nimmt trotz der </w:t>
      </w:r>
      <w:r w:rsidR="003541FE" w:rsidRPr="003D7246">
        <w:rPr>
          <w:rFonts w:ascii="Times New Roman" w:hAnsi="Times New Roman"/>
          <w:spacing w:val="-2"/>
          <w:sz w:val="16"/>
          <w:szCs w:val="16"/>
        </w:rPr>
        <w:t xml:space="preserve">staatsanwaltlichen Unabhängigkeit </w:t>
      </w:r>
      <w:r w:rsidR="0077033F" w:rsidRPr="003D7246">
        <w:rPr>
          <w:rFonts w:ascii="Times New Roman" w:hAnsi="Times New Roman"/>
          <w:spacing w:val="-2"/>
          <w:sz w:val="16"/>
          <w:szCs w:val="16"/>
        </w:rPr>
        <w:t xml:space="preserve">(§ 150 GVG) eine Bindung an die höchstrichterliche </w:t>
      </w:r>
      <w:proofErr w:type="spellStart"/>
      <w:r w:rsidR="00307A1E">
        <w:rPr>
          <w:rFonts w:ascii="Times New Roman" w:hAnsi="Times New Roman"/>
          <w:spacing w:val="-2"/>
          <w:sz w:val="16"/>
          <w:szCs w:val="16"/>
        </w:rPr>
        <w:t>Rspr</w:t>
      </w:r>
      <w:proofErr w:type="spellEnd"/>
      <w:r w:rsidR="00307A1E">
        <w:rPr>
          <w:rFonts w:ascii="Times New Roman" w:hAnsi="Times New Roman"/>
          <w:spacing w:val="-2"/>
          <w:sz w:val="16"/>
          <w:szCs w:val="16"/>
        </w:rPr>
        <w:t>.</w:t>
      </w:r>
      <w:r w:rsidR="00307A1E" w:rsidRPr="003D7246">
        <w:rPr>
          <w:rFonts w:ascii="Times New Roman" w:hAnsi="Times New Roman"/>
          <w:spacing w:val="-2"/>
          <w:sz w:val="16"/>
          <w:szCs w:val="16"/>
        </w:rPr>
        <w:t xml:space="preserve"> </w:t>
      </w:r>
      <w:r w:rsidR="0077033F" w:rsidRPr="003D7246">
        <w:rPr>
          <w:rFonts w:ascii="Times New Roman" w:hAnsi="Times New Roman"/>
          <w:spacing w:val="-2"/>
          <w:sz w:val="16"/>
          <w:szCs w:val="16"/>
        </w:rPr>
        <w:t xml:space="preserve">für den Fall an, dass die </w:t>
      </w:r>
      <w:proofErr w:type="spellStart"/>
      <w:r w:rsidR="0077033F" w:rsidRPr="003D7246">
        <w:rPr>
          <w:rFonts w:ascii="Times New Roman" w:hAnsi="Times New Roman"/>
          <w:spacing w:val="-2"/>
          <w:sz w:val="16"/>
          <w:szCs w:val="16"/>
        </w:rPr>
        <w:t>StA</w:t>
      </w:r>
      <w:proofErr w:type="spellEnd"/>
      <w:r w:rsidR="0077033F" w:rsidRPr="003D7246">
        <w:rPr>
          <w:rFonts w:ascii="Times New Roman" w:hAnsi="Times New Roman"/>
          <w:spacing w:val="-2"/>
          <w:sz w:val="16"/>
          <w:szCs w:val="16"/>
        </w:rPr>
        <w:t xml:space="preserve"> eine Anklage ablehnen will und der BGH bei identischem Sachverhalt zu einer Bestrafung gelangen würde. Im umgekehrten Fall (</w:t>
      </w:r>
      <w:proofErr w:type="spellStart"/>
      <w:r w:rsidR="0077033F" w:rsidRPr="003D7246">
        <w:rPr>
          <w:rFonts w:ascii="Times New Roman" w:hAnsi="Times New Roman"/>
          <w:spacing w:val="-2"/>
          <w:sz w:val="16"/>
          <w:szCs w:val="16"/>
        </w:rPr>
        <w:t>Rspr</w:t>
      </w:r>
      <w:proofErr w:type="spellEnd"/>
      <w:r w:rsidR="0077033F" w:rsidRPr="003D7246">
        <w:rPr>
          <w:rFonts w:ascii="Times New Roman" w:hAnsi="Times New Roman"/>
          <w:spacing w:val="-2"/>
          <w:sz w:val="16"/>
          <w:szCs w:val="16"/>
        </w:rPr>
        <w:t xml:space="preserve">. verneint im Gegensatz zur </w:t>
      </w:r>
      <w:proofErr w:type="spellStart"/>
      <w:r w:rsidR="0077033F" w:rsidRPr="003D7246">
        <w:rPr>
          <w:rFonts w:ascii="Times New Roman" w:hAnsi="Times New Roman"/>
          <w:spacing w:val="-2"/>
          <w:sz w:val="16"/>
          <w:szCs w:val="16"/>
        </w:rPr>
        <w:t>StA</w:t>
      </w:r>
      <w:proofErr w:type="spellEnd"/>
      <w:r w:rsidR="0077033F" w:rsidRPr="003D7246">
        <w:rPr>
          <w:rFonts w:ascii="Times New Roman" w:hAnsi="Times New Roman"/>
          <w:spacing w:val="-2"/>
          <w:sz w:val="16"/>
          <w:szCs w:val="16"/>
        </w:rPr>
        <w:t xml:space="preserve"> die Strafbarkeit) wird eine Bindung abgelehnt.</w:t>
      </w:r>
      <w:r w:rsidR="00307A1E">
        <w:rPr>
          <w:rFonts w:ascii="Times New Roman" w:hAnsi="Times New Roman"/>
          <w:spacing w:val="-2"/>
          <w:sz w:val="16"/>
          <w:szCs w:val="16"/>
        </w:rPr>
        <w:t xml:space="preserve"> </w:t>
      </w:r>
      <w:r w:rsidR="000B1C26" w:rsidRPr="003D7246">
        <w:rPr>
          <w:rFonts w:ascii="Times New Roman" w:hAnsi="Times New Roman"/>
          <w:spacing w:val="-2"/>
          <w:sz w:val="16"/>
          <w:szCs w:val="16"/>
        </w:rPr>
        <w:t xml:space="preserve">Im Zwischen- und Hauptverfahren ist die </w:t>
      </w:r>
      <w:proofErr w:type="spellStart"/>
      <w:r w:rsidR="000B1C26" w:rsidRPr="003D7246">
        <w:rPr>
          <w:rFonts w:ascii="Times New Roman" w:hAnsi="Times New Roman"/>
          <w:spacing w:val="-2"/>
          <w:sz w:val="16"/>
          <w:szCs w:val="16"/>
        </w:rPr>
        <w:t>StA</w:t>
      </w:r>
      <w:proofErr w:type="spellEnd"/>
      <w:r w:rsidR="000B1C26" w:rsidRPr="003D7246">
        <w:rPr>
          <w:rFonts w:ascii="Times New Roman" w:hAnsi="Times New Roman"/>
          <w:spacing w:val="-2"/>
          <w:sz w:val="16"/>
          <w:szCs w:val="16"/>
        </w:rPr>
        <w:t xml:space="preserve"> Vertreterin der Anklage</w:t>
      </w:r>
      <w:r w:rsidRPr="003D7246">
        <w:rPr>
          <w:rFonts w:ascii="Times New Roman" w:hAnsi="Times New Roman"/>
          <w:spacing w:val="-2"/>
          <w:sz w:val="16"/>
          <w:szCs w:val="16"/>
        </w:rPr>
        <w:t xml:space="preserve">. Ein Sitzungsvertreter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muss während der gesamten mündlichen Verhandlung anwesend sein</w:t>
      </w:r>
      <w:r w:rsidR="004277EF">
        <w:rPr>
          <w:rFonts w:ascii="Times New Roman" w:hAnsi="Times New Roman"/>
          <w:spacing w:val="-2"/>
          <w:sz w:val="16"/>
          <w:szCs w:val="16"/>
        </w:rPr>
        <w:t xml:space="preserve">, wobei es sich aber nicht immer um denselben </w:t>
      </w:r>
      <w:r w:rsidR="00CF21F3">
        <w:rPr>
          <w:rFonts w:ascii="Times New Roman" w:hAnsi="Times New Roman"/>
          <w:spacing w:val="-2"/>
          <w:sz w:val="16"/>
          <w:szCs w:val="16"/>
        </w:rPr>
        <w:t xml:space="preserve">Vertreter der </w:t>
      </w:r>
      <w:proofErr w:type="spellStart"/>
      <w:r w:rsidR="00CF21F3">
        <w:rPr>
          <w:rFonts w:ascii="Times New Roman" w:hAnsi="Times New Roman"/>
          <w:spacing w:val="-2"/>
          <w:sz w:val="16"/>
          <w:szCs w:val="16"/>
        </w:rPr>
        <w:t>StA</w:t>
      </w:r>
      <w:proofErr w:type="spellEnd"/>
      <w:r w:rsidR="00CF21F3">
        <w:rPr>
          <w:rFonts w:ascii="Times New Roman" w:hAnsi="Times New Roman"/>
          <w:spacing w:val="-2"/>
          <w:sz w:val="16"/>
          <w:szCs w:val="16"/>
        </w:rPr>
        <w:t xml:space="preserve"> </w:t>
      </w:r>
      <w:r w:rsidR="004277EF">
        <w:rPr>
          <w:rFonts w:ascii="Times New Roman" w:hAnsi="Times New Roman"/>
          <w:spacing w:val="-2"/>
          <w:sz w:val="16"/>
          <w:szCs w:val="16"/>
        </w:rPr>
        <w:t>handeln muss</w:t>
      </w:r>
      <w:r w:rsidR="00CF21F3">
        <w:rPr>
          <w:rFonts w:ascii="Times New Roman" w:hAnsi="Times New Roman"/>
          <w:spacing w:val="-2"/>
          <w:sz w:val="16"/>
          <w:szCs w:val="16"/>
        </w:rPr>
        <w:t xml:space="preserve"> (vgl. § 227 StPO)</w:t>
      </w:r>
      <w:r w:rsidRPr="003D7246">
        <w:rPr>
          <w:rFonts w:ascii="Times New Roman" w:hAnsi="Times New Roman"/>
          <w:spacing w:val="-2"/>
          <w:sz w:val="16"/>
          <w:szCs w:val="16"/>
        </w:rPr>
        <w:t xml:space="preserve">. Er verliest zu Anfang den Anklagesatz und stellt später den Schlussantrag. Das Vollstreckungsverfahren liegt sodann wieder in den Händen der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w:t>
      </w:r>
    </w:p>
    <w:p w14:paraId="2E5855FC" w14:textId="63D53394" w:rsidR="00E0094E" w:rsidRPr="003D7246" w:rsidRDefault="00E0094E" w:rsidP="00E0094E">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u w:val="single"/>
        </w:rPr>
      </w:pPr>
      <w:r w:rsidRPr="003D7246">
        <w:rPr>
          <w:rFonts w:ascii="Times New Roman" w:hAnsi="Times New Roman"/>
          <w:spacing w:val="-2"/>
          <w:sz w:val="16"/>
          <w:szCs w:val="16"/>
        </w:rPr>
        <w:tab/>
      </w:r>
      <w:r w:rsidRPr="003D7246">
        <w:rPr>
          <w:rFonts w:ascii="Times New Roman" w:hAnsi="Times New Roman"/>
          <w:spacing w:val="-2"/>
          <w:sz w:val="16"/>
          <w:szCs w:val="16"/>
          <w:u w:val="single"/>
        </w:rPr>
        <w:t xml:space="preserve">3. </w:t>
      </w:r>
      <w:r w:rsidRPr="003D7246">
        <w:rPr>
          <w:rFonts w:ascii="Times New Roman" w:hAnsi="Times New Roman"/>
          <w:spacing w:val="-2"/>
          <w:sz w:val="16"/>
          <w:szCs w:val="16"/>
          <w:u w:val="single"/>
        </w:rPr>
        <w:tab/>
        <w:t>Das Gericht:</w:t>
      </w:r>
      <w:r w:rsidRPr="003D7246">
        <w:rPr>
          <w:rFonts w:ascii="Times New Roman" w:hAnsi="Times New Roman"/>
          <w:spacing w:val="-2"/>
          <w:sz w:val="16"/>
          <w:szCs w:val="16"/>
        </w:rPr>
        <w:t xml:space="preserve"> Zwar ist die </w:t>
      </w:r>
      <w:proofErr w:type="spellStart"/>
      <w:r w:rsidRPr="003D7246">
        <w:rPr>
          <w:rFonts w:ascii="Times New Roman" w:hAnsi="Times New Roman"/>
          <w:spacing w:val="-2"/>
          <w:sz w:val="16"/>
          <w:szCs w:val="16"/>
        </w:rPr>
        <w:t>StA</w:t>
      </w:r>
      <w:proofErr w:type="spellEnd"/>
      <w:r w:rsidRPr="003D7246">
        <w:rPr>
          <w:rFonts w:ascii="Times New Roman" w:hAnsi="Times New Roman"/>
          <w:spacing w:val="-2"/>
          <w:sz w:val="16"/>
          <w:szCs w:val="16"/>
        </w:rPr>
        <w:t xml:space="preserve"> „Herrin des Vorverfahrens“, der Ermittlungsrichter, § 162 StPO, hat aber auch im Ermittlungsverfahren eine wichtige Rolle, denn insb</w:t>
      </w:r>
      <w:r w:rsidR="00CF21F3">
        <w:rPr>
          <w:rFonts w:ascii="Times New Roman" w:hAnsi="Times New Roman"/>
          <w:spacing w:val="-2"/>
          <w:sz w:val="16"/>
          <w:szCs w:val="16"/>
        </w:rPr>
        <w:t>.</w:t>
      </w:r>
      <w:r w:rsidRPr="003D7246">
        <w:rPr>
          <w:rFonts w:ascii="Times New Roman" w:hAnsi="Times New Roman"/>
          <w:spacing w:val="-2"/>
          <w:sz w:val="16"/>
          <w:szCs w:val="16"/>
        </w:rPr>
        <w:t xml:space="preserve"> bei der Anordnung von Zwangsmaßnahmen ist ein richterlicher Beschluss erforderlich, vgl. z.B. § 105 I 2 StPO für die Durchsuchung oder § 114 </w:t>
      </w:r>
      <w:r w:rsidR="00CF21F3">
        <w:rPr>
          <w:rFonts w:ascii="Times New Roman" w:hAnsi="Times New Roman"/>
          <w:spacing w:val="-2"/>
          <w:sz w:val="16"/>
          <w:szCs w:val="16"/>
        </w:rPr>
        <w:t xml:space="preserve">I </w:t>
      </w:r>
      <w:r w:rsidRPr="003D7246">
        <w:rPr>
          <w:rFonts w:ascii="Times New Roman" w:hAnsi="Times New Roman"/>
          <w:spacing w:val="-2"/>
          <w:sz w:val="16"/>
          <w:szCs w:val="16"/>
        </w:rPr>
        <w:t>StPO für den Haftbefehl. Des Weiteren kann es opportun erscheinen, einen Ermittlungsrichter zur Beweissicherung einzuschalten, insb</w:t>
      </w:r>
      <w:r w:rsidR="00CF21F3">
        <w:rPr>
          <w:rFonts w:ascii="Times New Roman" w:hAnsi="Times New Roman"/>
          <w:spacing w:val="-2"/>
          <w:sz w:val="16"/>
          <w:szCs w:val="16"/>
        </w:rPr>
        <w:t>.</w:t>
      </w:r>
      <w:r w:rsidRPr="003D7246">
        <w:rPr>
          <w:rFonts w:ascii="Times New Roman" w:hAnsi="Times New Roman"/>
          <w:spacing w:val="-2"/>
          <w:sz w:val="16"/>
          <w:szCs w:val="16"/>
        </w:rPr>
        <w:t xml:space="preserve"> zur Vernehmung von Beschuldigten oder Zeugen, denn richterliche Vernehmungen des Angeklagten dürfen im späteren Prozess verlesen werden, § 254 StPO. Ähnliches gilt für die Verlesung von richterlichen Vernehmungen von Zeugen oder Sachverständigen, vgl. § 251 II Nr. 2 StPO. Im Zwischenverfahren überprüft das Gericht die Anklage und kann sie mit oder ohne Änderungen zulassen oder die Eröffnung des Hauptverfahrens ablehnen. Das Hauptverfahren selbst untersteht der Autorität des Gerichts und wird vom Vorsitzenden geleitet.</w:t>
      </w:r>
      <w:r w:rsidR="00413B6B">
        <w:rPr>
          <w:rFonts w:ascii="Times New Roman" w:hAnsi="Times New Roman"/>
          <w:spacing w:val="-2"/>
          <w:sz w:val="16"/>
          <w:szCs w:val="16"/>
        </w:rPr>
        <w:t xml:space="preserve"> </w:t>
      </w:r>
    </w:p>
    <w:p w14:paraId="0DE77998" w14:textId="77777777" w:rsidR="00C36154" w:rsidRPr="00307744" w:rsidRDefault="00C36154" w:rsidP="00E0094E">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8"/>
          <w:szCs w:val="18"/>
        </w:rPr>
      </w:pPr>
    </w:p>
    <w:p w14:paraId="043075EB" w14:textId="1EB9A154" w:rsidR="00E0094E" w:rsidRPr="003D7246" w:rsidRDefault="00E0094E" w:rsidP="008967C9">
      <w:pPr>
        <w:widowControl/>
        <w:tabs>
          <w:tab w:val="left" w:pos="-720"/>
          <w:tab w:val="left" w:pos="288"/>
          <w:tab w:val="left" w:pos="567"/>
          <w:tab w:val="left" w:pos="864"/>
          <w:tab w:val="left" w:pos="1116"/>
          <w:tab w:val="left" w:pos="1404"/>
          <w:tab w:val="left" w:pos="1692"/>
          <w:tab w:val="left" w:pos="1980"/>
          <w:tab w:val="left" w:pos="2268"/>
          <w:tab w:val="left" w:pos="2880"/>
        </w:tabs>
        <w:ind w:left="288" w:hanging="288"/>
        <w:jc w:val="both"/>
        <w:rPr>
          <w:rFonts w:ascii="Times New Roman" w:hAnsi="Times New Roman"/>
          <w:spacing w:val="-2"/>
          <w:sz w:val="14"/>
          <w:szCs w:val="14"/>
        </w:rPr>
      </w:pPr>
      <w:r w:rsidRPr="00B40492">
        <w:rPr>
          <w:rFonts w:ascii="Times New Roman" w:hAnsi="Times New Roman"/>
          <w:b/>
          <w:spacing w:val="-2"/>
          <w:sz w:val="14"/>
          <w:szCs w:val="14"/>
        </w:rPr>
        <w:t xml:space="preserve">Literatur/Lehrbücher: </w:t>
      </w:r>
      <w:r w:rsidRPr="00B40492">
        <w:rPr>
          <w:rFonts w:ascii="Times New Roman" w:hAnsi="Times New Roman"/>
          <w:b/>
          <w:spacing w:val="-2"/>
          <w:sz w:val="14"/>
          <w:szCs w:val="14"/>
        </w:rPr>
        <w:tab/>
      </w:r>
      <w:r w:rsidR="00307416" w:rsidRPr="003D7246">
        <w:rPr>
          <w:rFonts w:ascii="Times New Roman" w:hAnsi="Times New Roman"/>
          <w:i/>
          <w:spacing w:val="-2"/>
          <w:sz w:val="14"/>
          <w:szCs w:val="14"/>
        </w:rPr>
        <w:t>Heinrich/Reinbacher</w:t>
      </w:r>
      <w:r w:rsidR="00307416" w:rsidRPr="003D7246">
        <w:rPr>
          <w:rFonts w:ascii="Times New Roman" w:hAnsi="Times New Roman"/>
          <w:spacing w:val="-2"/>
          <w:sz w:val="14"/>
          <w:szCs w:val="14"/>
        </w:rPr>
        <w:t>, Examinatorium Strafprozessrecht,</w:t>
      </w:r>
      <w:r w:rsidR="00D0274D" w:rsidRPr="003D7246">
        <w:rPr>
          <w:rFonts w:ascii="Times New Roman" w:hAnsi="Times New Roman"/>
          <w:spacing w:val="-2"/>
          <w:sz w:val="14"/>
          <w:szCs w:val="14"/>
        </w:rPr>
        <w:t xml:space="preserve"> </w:t>
      </w:r>
      <w:r w:rsidR="00CF412C">
        <w:rPr>
          <w:rFonts w:ascii="Times New Roman" w:hAnsi="Times New Roman"/>
          <w:spacing w:val="-2"/>
          <w:sz w:val="14"/>
          <w:szCs w:val="14"/>
        </w:rPr>
        <w:t>4</w:t>
      </w:r>
      <w:r w:rsidR="00D0274D" w:rsidRPr="003D7246">
        <w:rPr>
          <w:rFonts w:ascii="Times New Roman" w:hAnsi="Times New Roman"/>
          <w:spacing w:val="-2"/>
          <w:sz w:val="14"/>
          <w:szCs w:val="14"/>
        </w:rPr>
        <w:t>. Auflage 20</w:t>
      </w:r>
      <w:r w:rsidR="000C6D8E">
        <w:rPr>
          <w:rFonts w:ascii="Times New Roman" w:hAnsi="Times New Roman"/>
          <w:spacing w:val="-2"/>
          <w:sz w:val="14"/>
          <w:szCs w:val="14"/>
        </w:rPr>
        <w:t>2</w:t>
      </w:r>
      <w:r w:rsidR="00CF412C">
        <w:rPr>
          <w:rFonts w:ascii="Times New Roman" w:hAnsi="Times New Roman"/>
          <w:spacing w:val="-2"/>
          <w:sz w:val="14"/>
          <w:szCs w:val="14"/>
        </w:rPr>
        <w:t>3</w:t>
      </w:r>
      <w:r w:rsidR="00D0274D" w:rsidRPr="003D7246">
        <w:rPr>
          <w:rFonts w:ascii="Times New Roman" w:hAnsi="Times New Roman"/>
          <w:spacing w:val="-2"/>
          <w:sz w:val="14"/>
          <w:szCs w:val="14"/>
        </w:rPr>
        <w:t>,</w:t>
      </w:r>
      <w:r w:rsidR="00307416" w:rsidRPr="003D7246">
        <w:rPr>
          <w:rFonts w:ascii="Times New Roman" w:hAnsi="Times New Roman"/>
          <w:spacing w:val="-2"/>
          <w:sz w:val="14"/>
          <w:szCs w:val="14"/>
        </w:rPr>
        <w:t xml:space="preserve"> Problem</w:t>
      </w:r>
      <w:r w:rsidR="00E05C0E">
        <w:rPr>
          <w:rFonts w:ascii="Times New Roman" w:hAnsi="Times New Roman"/>
          <w:spacing w:val="-2"/>
          <w:sz w:val="14"/>
          <w:szCs w:val="14"/>
        </w:rPr>
        <w:t> </w:t>
      </w:r>
      <w:r w:rsidR="00307416" w:rsidRPr="003D7246">
        <w:rPr>
          <w:rFonts w:ascii="Times New Roman" w:hAnsi="Times New Roman"/>
          <w:spacing w:val="-2"/>
          <w:sz w:val="14"/>
          <w:szCs w:val="14"/>
        </w:rPr>
        <w:t>8.</w:t>
      </w:r>
    </w:p>
    <w:p w14:paraId="5228669A" w14:textId="77777777" w:rsidR="00E0094E" w:rsidRPr="003D7246" w:rsidRDefault="00E0094E" w:rsidP="00A106FA">
      <w:pPr>
        <w:widowControl/>
        <w:tabs>
          <w:tab w:val="left" w:pos="-720"/>
          <w:tab w:val="left" w:pos="288"/>
          <w:tab w:val="left" w:pos="567"/>
          <w:tab w:val="left" w:pos="864"/>
          <w:tab w:val="left" w:pos="1116"/>
          <w:tab w:val="left" w:pos="1404"/>
          <w:tab w:val="left" w:pos="1701"/>
          <w:tab w:val="left" w:pos="2268"/>
          <w:tab w:val="left" w:pos="2880"/>
        </w:tabs>
        <w:ind w:left="1418" w:hanging="1418"/>
        <w:jc w:val="both"/>
        <w:rPr>
          <w:rFonts w:ascii="Times New Roman" w:hAnsi="Times New Roman"/>
          <w:spacing w:val="-2"/>
          <w:sz w:val="14"/>
          <w:szCs w:val="14"/>
        </w:rPr>
      </w:pPr>
      <w:r w:rsidRPr="003D7246">
        <w:rPr>
          <w:rFonts w:ascii="Times New Roman" w:hAnsi="Times New Roman"/>
          <w:b/>
          <w:spacing w:val="-2"/>
          <w:sz w:val="14"/>
          <w:szCs w:val="14"/>
        </w:rPr>
        <w:t>Literatur/Aufsätze:</w:t>
      </w:r>
      <w:r w:rsidRPr="003D7246">
        <w:rPr>
          <w:rFonts w:ascii="Times New Roman" w:hAnsi="Times New Roman"/>
          <w:b/>
          <w:spacing w:val="-2"/>
          <w:sz w:val="14"/>
          <w:szCs w:val="14"/>
        </w:rPr>
        <w:tab/>
      </w:r>
      <w:r w:rsidR="0049482E" w:rsidRPr="003D7246">
        <w:rPr>
          <w:rFonts w:ascii="Times New Roman" w:hAnsi="Times New Roman"/>
          <w:b/>
          <w:spacing w:val="-2"/>
          <w:sz w:val="14"/>
          <w:szCs w:val="14"/>
        </w:rPr>
        <w:tab/>
      </w:r>
      <w:proofErr w:type="spellStart"/>
      <w:r w:rsidR="00B4618A" w:rsidRPr="00B40492">
        <w:rPr>
          <w:rFonts w:ascii="Times New Roman" w:hAnsi="Times New Roman"/>
          <w:i/>
          <w:spacing w:val="-2"/>
          <w:sz w:val="14"/>
          <w:szCs w:val="14"/>
        </w:rPr>
        <w:t>Beining</w:t>
      </w:r>
      <w:proofErr w:type="spellEnd"/>
      <w:r w:rsidR="00B4618A" w:rsidRPr="003D7246">
        <w:rPr>
          <w:rFonts w:ascii="Times New Roman" w:hAnsi="Times New Roman"/>
          <w:spacing w:val="-2"/>
          <w:sz w:val="14"/>
          <w:szCs w:val="14"/>
        </w:rPr>
        <w:t xml:space="preserve">, Die Weisung an den Staatsanwalt, ZJS 2015, 546; </w:t>
      </w:r>
      <w:r w:rsidRPr="003D7246">
        <w:rPr>
          <w:rFonts w:ascii="Times New Roman" w:hAnsi="Times New Roman"/>
          <w:i/>
          <w:spacing w:val="-2"/>
          <w:sz w:val="14"/>
          <w:szCs w:val="14"/>
        </w:rPr>
        <w:t>Helm</w:t>
      </w:r>
      <w:r w:rsidRPr="003D7246">
        <w:rPr>
          <w:rFonts w:ascii="Times New Roman" w:hAnsi="Times New Roman"/>
          <w:spacing w:val="-2"/>
          <w:sz w:val="14"/>
          <w:szCs w:val="14"/>
        </w:rPr>
        <w:t>, Die Schöffen im Strafprozess, JA 2006, 302</w:t>
      </w:r>
      <w:r w:rsidR="008967C9" w:rsidRPr="003D7246">
        <w:rPr>
          <w:rFonts w:ascii="Times New Roman" w:hAnsi="Times New Roman"/>
          <w:spacing w:val="-2"/>
          <w:sz w:val="14"/>
          <w:szCs w:val="14"/>
        </w:rPr>
        <w:t xml:space="preserve">; </w:t>
      </w:r>
      <w:proofErr w:type="spellStart"/>
      <w:r w:rsidR="005347E3" w:rsidRPr="00653613">
        <w:rPr>
          <w:rFonts w:ascii="Times New Roman" w:hAnsi="Times New Roman"/>
          <w:i/>
          <w:spacing w:val="-2"/>
          <w:sz w:val="14"/>
          <w:szCs w:val="14"/>
        </w:rPr>
        <w:t>Hütwohl</w:t>
      </w:r>
      <w:proofErr w:type="spellEnd"/>
      <w:r w:rsidR="005347E3">
        <w:rPr>
          <w:rFonts w:ascii="Times New Roman" w:hAnsi="Times New Roman"/>
          <w:spacing w:val="-2"/>
          <w:sz w:val="14"/>
          <w:szCs w:val="14"/>
        </w:rPr>
        <w:t xml:space="preserve">, Was ist eigentlich … eine Ermittlungsperson der Staatsanwaltschaft?, </w:t>
      </w:r>
      <w:proofErr w:type="spellStart"/>
      <w:r w:rsidR="005347E3">
        <w:rPr>
          <w:rFonts w:ascii="Times New Roman" w:hAnsi="Times New Roman"/>
          <w:spacing w:val="-2"/>
          <w:sz w:val="14"/>
          <w:szCs w:val="14"/>
        </w:rPr>
        <w:t>JuS</w:t>
      </w:r>
      <w:proofErr w:type="spellEnd"/>
      <w:r w:rsidR="005347E3">
        <w:rPr>
          <w:rFonts w:ascii="Times New Roman" w:hAnsi="Times New Roman"/>
          <w:spacing w:val="-2"/>
          <w:sz w:val="14"/>
          <w:szCs w:val="14"/>
        </w:rPr>
        <w:t xml:space="preserve"> 2022, 495; </w:t>
      </w:r>
      <w:proofErr w:type="spellStart"/>
      <w:r w:rsidR="008967C9" w:rsidRPr="003D7246">
        <w:rPr>
          <w:rFonts w:ascii="Times New Roman" w:hAnsi="Times New Roman"/>
          <w:i/>
          <w:spacing w:val="-2"/>
          <w:sz w:val="14"/>
          <w:szCs w:val="14"/>
        </w:rPr>
        <w:t>Kelker</w:t>
      </w:r>
      <w:proofErr w:type="spellEnd"/>
      <w:r w:rsidR="008967C9" w:rsidRPr="003D7246">
        <w:rPr>
          <w:rFonts w:ascii="Times New Roman" w:hAnsi="Times New Roman"/>
          <w:spacing w:val="-2"/>
          <w:sz w:val="14"/>
          <w:szCs w:val="14"/>
        </w:rPr>
        <w:t xml:space="preserve">, Die Rolle der Staatsanwaltschaft im Strafverfahren: Objektives Organ der Rechtspflege oder doch „parteiischer“ Anwalt des Staates?, </w:t>
      </w:r>
      <w:proofErr w:type="spellStart"/>
      <w:r w:rsidR="008967C9" w:rsidRPr="003D7246">
        <w:rPr>
          <w:rFonts w:ascii="Times New Roman" w:hAnsi="Times New Roman"/>
          <w:spacing w:val="-2"/>
          <w:sz w:val="14"/>
          <w:szCs w:val="14"/>
        </w:rPr>
        <w:t>ZStW</w:t>
      </w:r>
      <w:proofErr w:type="spellEnd"/>
      <w:r w:rsidR="008967C9" w:rsidRPr="003D7246">
        <w:rPr>
          <w:rFonts w:ascii="Times New Roman" w:hAnsi="Times New Roman"/>
          <w:spacing w:val="-2"/>
          <w:sz w:val="14"/>
          <w:szCs w:val="14"/>
        </w:rPr>
        <w:t xml:space="preserve"> 118 (2006), 389; </w:t>
      </w:r>
      <w:r w:rsidR="008967C9" w:rsidRPr="003D7246">
        <w:rPr>
          <w:rFonts w:ascii="Times New Roman" w:hAnsi="Times New Roman"/>
          <w:i/>
          <w:spacing w:val="-2"/>
          <w:sz w:val="14"/>
          <w:szCs w:val="14"/>
        </w:rPr>
        <w:t>Kretschmer</w:t>
      </w:r>
      <w:r w:rsidR="008967C9" w:rsidRPr="003D7246">
        <w:rPr>
          <w:rFonts w:ascii="Times New Roman" w:hAnsi="Times New Roman"/>
          <w:spacing w:val="-2"/>
          <w:sz w:val="14"/>
          <w:szCs w:val="14"/>
        </w:rPr>
        <w:t>, Die Staatsanwaltschaft, JURA 2004, 452</w:t>
      </w:r>
      <w:r w:rsidR="00C07599" w:rsidRPr="003D7246">
        <w:rPr>
          <w:rFonts w:ascii="Times New Roman" w:hAnsi="Times New Roman"/>
          <w:spacing w:val="-2"/>
          <w:sz w:val="14"/>
          <w:szCs w:val="14"/>
        </w:rPr>
        <w:t xml:space="preserve">; </w:t>
      </w:r>
      <w:r w:rsidR="00B4618A" w:rsidRPr="003D7246">
        <w:rPr>
          <w:rFonts w:ascii="Times New Roman" w:hAnsi="Times New Roman"/>
          <w:i/>
          <w:spacing w:val="-2"/>
          <w:sz w:val="14"/>
          <w:szCs w:val="14"/>
        </w:rPr>
        <w:t>Metz</w:t>
      </w:r>
      <w:r w:rsidR="00B4618A" w:rsidRPr="003D7246">
        <w:rPr>
          <w:rFonts w:ascii="Times New Roman" w:hAnsi="Times New Roman"/>
          <w:spacing w:val="-2"/>
          <w:sz w:val="14"/>
          <w:szCs w:val="14"/>
        </w:rPr>
        <w:t xml:space="preserve">, Rangverhältnis der Staatsanwaltschaft zu ihren Ermittlungspersonen bei Gefahr im Verzug, NStZ 2012, 242; </w:t>
      </w:r>
      <w:r w:rsidR="00B4618A" w:rsidRPr="003D7246">
        <w:rPr>
          <w:rFonts w:ascii="Times New Roman" w:hAnsi="Times New Roman"/>
          <w:bCs/>
          <w:i/>
          <w:spacing w:val="-2"/>
          <w:sz w:val="14"/>
          <w:szCs w:val="14"/>
        </w:rPr>
        <w:t>Satzger</w:t>
      </w:r>
      <w:r w:rsidR="00B4618A" w:rsidRPr="003D7246">
        <w:rPr>
          <w:rFonts w:ascii="Times New Roman" w:hAnsi="Times New Roman"/>
          <w:bCs/>
          <w:spacing w:val="-2"/>
          <w:sz w:val="14"/>
          <w:szCs w:val="14"/>
        </w:rPr>
        <w:t xml:space="preserve">, Die Schöffen im Strafprozess, JURA 2011, 518; </w:t>
      </w:r>
      <w:r w:rsidR="00C36154" w:rsidRPr="003D7246">
        <w:rPr>
          <w:rFonts w:ascii="Times New Roman" w:hAnsi="Times New Roman"/>
          <w:i/>
          <w:spacing w:val="-2"/>
          <w:sz w:val="14"/>
          <w:szCs w:val="14"/>
        </w:rPr>
        <w:t>Schenke</w:t>
      </w:r>
      <w:r w:rsidR="00C36154" w:rsidRPr="003D7246">
        <w:rPr>
          <w:rFonts w:ascii="Times New Roman" w:hAnsi="Times New Roman"/>
          <w:spacing w:val="-2"/>
          <w:sz w:val="14"/>
          <w:szCs w:val="14"/>
        </w:rPr>
        <w:t>, Rechtsschutz gegen doppelfunktionale Maßnahmen der Polizei, NJW 20</w:t>
      </w:r>
      <w:r w:rsidR="000D3C4B" w:rsidRPr="003D7246">
        <w:rPr>
          <w:rFonts w:ascii="Times New Roman" w:hAnsi="Times New Roman"/>
          <w:spacing w:val="-2"/>
          <w:sz w:val="14"/>
          <w:szCs w:val="14"/>
        </w:rPr>
        <w:t>1</w:t>
      </w:r>
      <w:r w:rsidR="00C36154" w:rsidRPr="003D7246">
        <w:rPr>
          <w:rFonts w:ascii="Times New Roman" w:hAnsi="Times New Roman"/>
          <w:spacing w:val="-2"/>
          <w:sz w:val="14"/>
          <w:szCs w:val="14"/>
        </w:rPr>
        <w:t>1, 2838</w:t>
      </w:r>
      <w:r w:rsidR="005347E3">
        <w:rPr>
          <w:rFonts w:ascii="Times New Roman" w:hAnsi="Times New Roman"/>
          <w:spacing w:val="-2"/>
          <w:sz w:val="14"/>
          <w:szCs w:val="14"/>
        </w:rPr>
        <w:t>.</w:t>
      </w:r>
    </w:p>
    <w:p w14:paraId="72F4FE8E" w14:textId="70DB8E9A" w:rsidR="00E0094E" w:rsidRPr="003D7246" w:rsidRDefault="00E0094E" w:rsidP="00A106FA">
      <w:pPr>
        <w:widowControl/>
        <w:tabs>
          <w:tab w:val="left" w:pos="-720"/>
          <w:tab w:val="left" w:pos="288"/>
          <w:tab w:val="left" w:pos="567"/>
          <w:tab w:val="left" w:pos="864"/>
          <w:tab w:val="left" w:pos="1116"/>
          <w:tab w:val="left" w:pos="1418"/>
          <w:tab w:val="left" w:pos="2268"/>
          <w:tab w:val="left" w:pos="2880"/>
        </w:tabs>
        <w:ind w:left="1418" w:hanging="1418"/>
        <w:jc w:val="both"/>
        <w:rPr>
          <w:rFonts w:ascii="Times New Roman" w:hAnsi="Times New Roman"/>
          <w:spacing w:val="-2"/>
          <w:sz w:val="14"/>
          <w:szCs w:val="14"/>
        </w:rPr>
      </w:pPr>
      <w:r w:rsidRPr="003D7246">
        <w:rPr>
          <w:rFonts w:ascii="Times New Roman" w:hAnsi="Times New Roman"/>
          <w:b/>
          <w:spacing w:val="-2"/>
          <w:sz w:val="14"/>
          <w:szCs w:val="14"/>
        </w:rPr>
        <w:t xml:space="preserve">Rechtsprechung: </w:t>
      </w:r>
      <w:r w:rsidRPr="003D7246">
        <w:rPr>
          <w:rFonts w:ascii="Times New Roman" w:hAnsi="Times New Roman"/>
          <w:b/>
          <w:spacing w:val="-2"/>
          <w:sz w:val="14"/>
          <w:szCs w:val="14"/>
        </w:rPr>
        <w:tab/>
      </w:r>
      <w:r w:rsidR="008967C9" w:rsidRPr="003D7246">
        <w:rPr>
          <w:rFonts w:ascii="Times New Roman" w:hAnsi="Times New Roman"/>
          <w:b/>
          <w:spacing w:val="-2"/>
          <w:sz w:val="14"/>
          <w:szCs w:val="14"/>
        </w:rPr>
        <w:tab/>
      </w:r>
      <w:r w:rsidRPr="003D7246">
        <w:rPr>
          <w:rFonts w:ascii="Times New Roman" w:hAnsi="Times New Roman"/>
          <w:b/>
          <w:spacing w:val="-2"/>
          <w:sz w:val="14"/>
          <w:szCs w:val="14"/>
        </w:rPr>
        <w:t xml:space="preserve">BVerfGE 103, 142 – </w:t>
      </w:r>
      <w:r w:rsidRPr="003D7246">
        <w:rPr>
          <w:rFonts w:ascii="Times New Roman" w:hAnsi="Times New Roman"/>
          <w:spacing w:val="-2"/>
          <w:sz w:val="14"/>
          <w:szCs w:val="14"/>
        </w:rPr>
        <w:t xml:space="preserve">Durchsuchung (strenge Voraussetzungen für Gefahr im Verzug); </w:t>
      </w:r>
      <w:r w:rsidR="00C07599" w:rsidRPr="003D7246">
        <w:rPr>
          <w:rFonts w:ascii="Times New Roman" w:hAnsi="Times New Roman"/>
          <w:b/>
          <w:spacing w:val="-2"/>
          <w:sz w:val="14"/>
          <w:szCs w:val="14"/>
        </w:rPr>
        <w:t>BVerfG NJW 2015, 2787</w:t>
      </w:r>
      <w:r w:rsidR="00C07599" w:rsidRPr="003D7246">
        <w:rPr>
          <w:rFonts w:ascii="Times New Roman" w:hAnsi="Times New Roman"/>
          <w:spacing w:val="-2"/>
          <w:sz w:val="14"/>
          <w:szCs w:val="14"/>
        </w:rPr>
        <w:t xml:space="preserve"> – Verfassungsbeschwerden (Ende der Eilzuständigkeit der Ermittlungsbehörden für Durchsuchungsanordnungen); </w:t>
      </w:r>
      <w:r w:rsidRPr="003D7246">
        <w:rPr>
          <w:rFonts w:ascii="Times New Roman" w:hAnsi="Times New Roman"/>
          <w:b/>
          <w:spacing w:val="-2"/>
          <w:sz w:val="14"/>
          <w:szCs w:val="14"/>
        </w:rPr>
        <w:t>BGH NStZ-RR 2007, 242</w:t>
      </w:r>
      <w:r w:rsidR="008967C9" w:rsidRPr="003D7246">
        <w:rPr>
          <w:rFonts w:ascii="Times New Roman" w:hAnsi="Times New Roman"/>
          <w:spacing w:val="-2"/>
          <w:sz w:val="14"/>
          <w:szCs w:val="14"/>
        </w:rPr>
        <w:t xml:space="preserve"> – Betäubungsmittel </w:t>
      </w:r>
      <w:r w:rsidRPr="003D7246">
        <w:rPr>
          <w:rFonts w:ascii="Times New Roman" w:hAnsi="Times New Roman"/>
          <w:spacing w:val="-2"/>
          <w:sz w:val="14"/>
          <w:szCs w:val="14"/>
        </w:rPr>
        <w:t>(Richterlicher Bereitschaftsdienst und Folgen dessen Ausbleiben)</w:t>
      </w:r>
      <w:r w:rsidR="00107E7E" w:rsidRPr="003D7246">
        <w:rPr>
          <w:rFonts w:ascii="Times New Roman" w:hAnsi="Times New Roman"/>
          <w:spacing w:val="-2"/>
          <w:sz w:val="14"/>
          <w:szCs w:val="14"/>
        </w:rPr>
        <w:t>;</w:t>
      </w:r>
      <w:r w:rsidR="008967C9" w:rsidRPr="003D7246">
        <w:rPr>
          <w:rFonts w:ascii="Times New Roman" w:hAnsi="Times New Roman"/>
          <w:spacing w:val="-2"/>
          <w:sz w:val="14"/>
          <w:szCs w:val="14"/>
        </w:rPr>
        <w:t xml:space="preserve"> </w:t>
      </w:r>
      <w:r w:rsidR="00107E7E" w:rsidRPr="003D7246">
        <w:rPr>
          <w:rFonts w:ascii="Times New Roman" w:hAnsi="Times New Roman"/>
          <w:b/>
          <w:spacing w:val="-2"/>
          <w:sz w:val="14"/>
          <w:szCs w:val="14"/>
        </w:rPr>
        <w:t>BGH NStZ-RR 2011, 526</w:t>
      </w:r>
      <w:r w:rsidR="00107E7E" w:rsidRPr="003D7246">
        <w:rPr>
          <w:rFonts w:ascii="Times New Roman" w:hAnsi="Times New Roman"/>
          <w:spacing w:val="-2"/>
          <w:sz w:val="14"/>
          <w:szCs w:val="14"/>
        </w:rPr>
        <w:t xml:space="preserve"> – Sprachunkundige Schöffen (vorschriftsmäßige Besetzung der Gerichte)</w:t>
      </w:r>
      <w:r w:rsidR="00B4618A" w:rsidRPr="003D7246">
        <w:rPr>
          <w:rFonts w:ascii="Times New Roman" w:hAnsi="Times New Roman"/>
          <w:spacing w:val="-2"/>
          <w:sz w:val="14"/>
          <w:szCs w:val="14"/>
        </w:rPr>
        <w:t>;</w:t>
      </w:r>
      <w:r w:rsidR="00B4618A" w:rsidRPr="003D7246">
        <w:rPr>
          <w:rFonts w:ascii="Times New Roman" w:hAnsi="Times New Roman"/>
          <w:b/>
          <w:spacing w:val="-2"/>
          <w:sz w:val="14"/>
          <w:szCs w:val="14"/>
        </w:rPr>
        <w:t xml:space="preserve"> </w:t>
      </w:r>
      <w:r w:rsidR="00525CFA" w:rsidRPr="003D7246">
        <w:rPr>
          <w:rFonts w:ascii="Times New Roman" w:hAnsi="Times New Roman"/>
          <w:b/>
          <w:spacing w:val="-2"/>
          <w:sz w:val="14"/>
          <w:szCs w:val="14"/>
        </w:rPr>
        <w:t xml:space="preserve">BGH StV 2017, </w:t>
      </w:r>
      <w:r w:rsidR="0049482E" w:rsidRPr="003D7246">
        <w:rPr>
          <w:rFonts w:ascii="Times New Roman" w:hAnsi="Times New Roman"/>
          <w:b/>
          <w:spacing w:val="-2"/>
          <w:sz w:val="14"/>
          <w:szCs w:val="14"/>
        </w:rPr>
        <w:t xml:space="preserve">642 – </w:t>
      </w:r>
      <w:proofErr w:type="spellStart"/>
      <w:r w:rsidR="0049482E" w:rsidRPr="003D7246">
        <w:rPr>
          <w:rFonts w:ascii="Times New Roman" w:hAnsi="Times New Roman"/>
          <w:spacing w:val="-2"/>
          <w:sz w:val="14"/>
          <w:szCs w:val="14"/>
        </w:rPr>
        <w:t>Legendierte</w:t>
      </w:r>
      <w:proofErr w:type="spellEnd"/>
      <w:r w:rsidR="0049482E" w:rsidRPr="003D7246">
        <w:rPr>
          <w:rFonts w:ascii="Times New Roman" w:hAnsi="Times New Roman"/>
          <w:spacing w:val="-2"/>
          <w:sz w:val="14"/>
          <w:szCs w:val="14"/>
        </w:rPr>
        <w:t xml:space="preserve"> Polizeikontrolle</w:t>
      </w:r>
      <w:r w:rsidR="0049482E" w:rsidRPr="00B40492">
        <w:rPr>
          <w:rFonts w:ascii="Times New Roman" w:hAnsi="Times New Roman"/>
          <w:b/>
          <w:spacing w:val="-2"/>
          <w:sz w:val="14"/>
          <w:szCs w:val="14"/>
        </w:rPr>
        <w:t xml:space="preserve"> (</w:t>
      </w:r>
      <w:r w:rsidR="0049482E" w:rsidRPr="003D7246">
        <w:rPr>
          <w:rFonts w:ascii="Times New Roman" w:hAnsi="Times New Roman"/>
          <w:spacing w:val="-2"/>
          <w:sz w:val="14"/>
          <w:szCs w:val="14"/>
        </w:rPr>
        <w:t>Zulässigkeit gefahrenabwehrrechtlicher Maßnahmen bei bereits laufendem Ermittlungsverfahren)</w:t>
      </w:r>
      <w:r w:rsidR="00885A2F">
        <w:rPr>
          <w:rFonts w:ascii="Times New Roman" w:hAnsi="Times New Roman"/>
          <w:spacing w:val="-2"/>
          <w:sz w:val="14"/>
          <w:szCs w:val="14"/>
        </w:rPr>
        <w:t xml:space="preserve">, vgl. </w:t>
      </w:r>
      <w:r w:rsidR="00AC17DE" w:rsidRPr="00FF2793">
        <w:rPr>
          <w:rFonts w:ascii="Times New Roman" w:hAnsi="Times New Roman"/>
          <w:i/>
          <w:iCs/>
          <w:spacing w:val="-2"/>
          <w:sz w:val="14"/>
          <w:szCs w:val="14"/>
        </w:rPr>
        <w:t>Coenen/</w:t>
      </w:r>
      <w:proofErr w:type="spellStart"/>
      <w:r w:rsidR="00AC17DE" w:rsidRPr="00FF2793">
        <w:rPr>
          <w:rFonts w:ascii="Times New Roman" w:hAnsi="Times New Roman"/>
          <w:i/>
          <w:iCs/>
          <w:spacing w:val="-2"/>
          <w:sz w:val="14"/>
          <w:szCs w:val="14"/>
        </w:rPr>
        <w:t>Hambel</w:t>
      </w:r>
      <w:proofErr w:type="spellEnd"/>
      <w:r w:rsidR="00AC17DE">
        <w:rPr>
          <w:rFonts w:ascii="Times New Roman" w:hAnsi="Times New Roman"/>
          <w:spacing w:val="-2"/>
          <w:sz w:val="14"/>
          <w:szCs w:val="14"/>
        </w:rPr>
        <w:t xml:space="preserve">, </w:t>
      </w:r>
      <w:r w:rsidR="00885A2F">
        <w:rPr>
          <w:rFonts w:ascii="Times New Roman" w:hAnsi="Times New Roman"/>
          <w:spacing w:val="-2"/>
          <w:sz w:val="14"/>
          <w:szCs w:val="14"/>
        </w:rPr>
        <w:t>famos 09/</w:t>
      </w:r>
      <w:r w:rsidR="003F518E">
        <w:rPr>
          <w:rFonts w:ascii="Times New Roman" w:hAnsi="Times New Roman"/>
          <w:spacing w:val="-2"/>
          <w:sz w:val="14"/>
          <w:szCs w:val="14"/>
        </w:rPr>
        <w:t>20</w:t>
      </w:r>
      <w:r w:rsidR="00885A2F">
        <w:rPr>
          <w:rFonts w:ascii="Times New Roman" w:hAnsi="Times New Roman"/>
          <w:spacing w:val="-2"/>
          <w:sz w:val="14"/>
          <w:szCs w:val="14"/>
        </w:rPr>
        <w:t>17</w:t>
      </w:r>
      <w:r w:rsidR="0049482E" w:rsidRPr="003D7246">
        <w:rPr>
          <w:rFonts w:ascii="Times New Roman" w:hAnsi="Times New Roman"/>
          <w:spacing w:val="-2"/>
          <w:sz w:val="14"/>
          <w:szCs w:val="14"/>
        </w:rPr>
        <w:t>;</w:t>
      </w:r>
      <w:r w:rsidR="0049482E" w:rsidRPr="00B40492">
        <w:rPr>
          <w:rFonts w:ascii="Times New Roman" w:hAnsi="Times New Roman"/>
          <w:b/>
          <w:spacing w:val="-2"/>
          <w:sz w:val="14"/>
          <w:szCs w:val="14"/>
        </w:rPr>
        <w:t xml:space="preserve"> </w:t>
      </w:r>
      <w:r w:rsidR="006A1D05">
        <w:rPr>
          <w:rFonts w:ascii="Times New Roman" w:hAnsi="Times New Roman"/>
          <w:b/>
          <w:spacing w:val="-2"/>
          <w:sz w:val="14"/>
          <w:szCs w:val="14"/>
        </w:rPr>
        <w:t xml:space="preserve">BGH NStZ 2024, 307 </w:t>
      </w:r>
      <w:r w:rsidR="006A1D05">
        <w:rPr>
          <w:rFonts w:ascii="Times New Roman" w:hAnsi="Times New Roman"/>
          <w:bCs/>
          <w:spacing w:val="-2"/>
          <w:sz w:val="14"/>
          <w:szCs w:val="14"/>
        </w:rPr>
        <w:t xml:space="preserve">– Wohnungsdurchsuchung (Anordnungskompetenz der </w:t>
      </w:r>
      <w:proofErr w:type="spellStart"/>
      <w:r w:rsidR="006A1D05">
        <w:rPr>
          <w:rFonts w:ascii="Times New Roman" w:hAnsi="Times New Roman"/>
          <w:bCs/>
          <w:spacing w:val="-2"/>
          <w:sz w:val="14"/>
          <w:szCs w:val="14"/>
        </w:rPr>
        <w:t>StA</w:t>
      </w:r>
      <w:proofErr w:type="spellEnd"/>
      <w:r w:rsidR="006A1D05">
        <w:rPr>
          <w:rFonts w:ascii="Times New Roman" w:hAnsi="Times New Roman"/>
          <w:bCs/>
          <w:spacing w:val="-2"/>
          <w:sz w:val="14"/>
          <w:szCs w:val="14"/>
        </w:rPr>
        <w:t xml:space="preserve"> bei Gefahr in Verzug eng auszulegen); </w:t>
      </w:r>
      <w:r w:rsidR="00B4618A" w:rsidRPr="003D7246">
        <w:rPr>
          <w:rFonts w:ascii="Times New Roman" w:hAnsi="Times New Roman"/>
          <w:b/>
          <w:spacing w:val="-2"/>
          <w:sz w:val="14"/>
          <w:szCs w:val="14"/>
        </w:rPr>
        <w:t>OLG</w:t>
      </w:r>
      <w:r w:rsidR="003F518E">
        <w:rPr>
          <w:rFonts w:ascii="Times New Roman" w:hAnsi="Times New Roman"/>
          <w:b/>
          <w:spacing w:val="-2"/>
          <w:sz w:val="14"/>
          <w:szCs w:val="14"/>
        </w:rPr>
        <w:t> </w:t>
      </w:r>
      <w:r w:rsidR="00B4618A" w:rsidRPr="003D7246">
        <w:rPr>
          <w:rFonts w:ascii="Times New Roman" w:hAnsi="Times New Roman"/>
          <w:b/>
          <w:spacing w:val="-2"/>
          <w:sz w:val="14"/>
          <w:szCs w:val="14"/>
        </w:rPr>
        <w:t>Zweibrücken NStZ 2007, 420</w:t>
      </w:r>
      <w:r w:rsidR="00B4618A" w:rsidRPr="003D7246">
        <w:rPr>
          <w:rFonts w:ascii="Times New Roman" w:hAnsi="Times New Roman"/>
          <w:spacing w:val="-2"/>
          <w:sz w:val="14"/>
          <w:szCs w:val="14"/>
        </w:rPr>
        <w:t xml:space="preserve"> – Anklageerhebung (Bindung der </w:t>
      </w:r>
      <w:proofErr w:type="spellStart"/>
      <w:r w:rsidR="00B4618A" w:rsidRPr="003D7246">
        <w:rPr>
          <w:rFonts w:ascii="Times New Roman" w:hAnsi="Times New Roman"/>
          <w:spacing w:val="-2"/>
          <w:sz w:val="14"/>
          <w:szCs w:val="14"/>
        </w:rPr>
        <w:t>StA</w:t>
      </w:r>
      <w:proofErr w:type="spellEnd"/>
      <w:r w:rsidR="00B4618A" w:rsidRPr="003D7246">
        <w:rPr>
          <w:rFonts w:ascii="Times New Roman" w:hAnsi="Times New Roman"/>
          <w:spacing w:val="-2"/>
          <w:sz w:val="14"/>
          <w:szCs w:val="14"/>
        </w:rPr>
        <w:t xml:space="preserve"> an die höchstrichterliche Rechtsprechung)</w:t>
      </w:r>
      <w:r w:rsidR="00AC17DE">
        <w:rPr>
          <w:rFonts w:ascii="Times New Roman" w:hAnsi="Times New Roman"/>
          <w:spacing w:val="-2"/>
          <w:sz w:val="14"/>
          <w:szCs w:val="14"/>
        </w:rPr>
        <w:t xml:space="preserve">, vgl. </w:t>
      </w:r>
      <w:r w:rsidR="00AC17DE" w:rsidRPr="00FF2793">
        <w:rPr>
          <w:rFonts w:ascii="Times New Roman" w:hAnsi="Times New Roman"/>
          <w:i/>
          <w:iCs/>
          <w:spacing w:val="-2"/>
          <w:sz w:val="14"/>
          <w:szCs w:val="14"/>
        </w:rPr>
        <w:t>Marxen/Stauß</w:t>
      </w:r>
      <w:r w:rsidR="00AC17DE">
        <w:rPr>
          <w:rFonts w:ascii="Times New Roman" w:hAnsi="Times New Roman"/>
          <w:spacing w:val="-2"/>
          <w:sz w:val="14"/>
          <w:szCs w:val="14"/>
        </w:rPr>
        <w:t>, famos 07/2007</w:t>
      </w:r>
      <w:r w:rsidRPr="003D7246">
        <w:rPr>
          <w:rFonts w:ascii="Times New Roman" w:hAnsi="Times New Roman"/>
          <w:spacing w:val="-2"/>
          <w:sz w:val="14"/>
          <w:szCs w:val="14"/>
        </w:rPr>
        <w:t>.</w:t>
      </w:r>
    </w:p>
    <w:sectPr w:rsidR="00E0094E" w:rsidRPr="003D7246" w:rsidSect="00E0094E">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B6CC5" w14:textId="77777777" w:rsidR="007171C6" w:rsidRDefault="007171C6">
      <w:r>
        <w:separator/>
      </w:r>
    </w:p>
  </w:endnote>
  <w:endnote w:type="continuationSeparator" w:id="0">
    <w:p w14:paraId="58CA14D4" w14:textId="77777777" w:rsidR="007171C6" w:rsidRDefault="0071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7D584" w14:textId="77777777" w:rsidR="007171C6" w:rsidRDefault="007171C6">
      <w:r>
        <w:separator/>
      </w:r>
    </w:p>
  </w:footnote>
  <w:footnote w:type="continuationSeparator" w:id="0">
    <w:p w14:paraId="258B41E9" w14:textId="77777777" w:rsidR="007171C6" w:rsidRDefault="00717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A8EB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2"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723987333">
    <w:abstractNumId w:val="4"/>
  </w:num>
  <w:num w:numId="2" w16cid:durableId="1357388703">
    <w:abstractNumId w:val="3"/>
  </w:num>
  <w:num w:numId="3" w16cid:durableId="948857052">
    <w:abstractNumId w:val="1"/>
  </w:num>
  <w:num w:numId="4" w16cid:durableId="1723750398">
    <w:abstractNumId w:val="6"/>
  </w:num>
  <w:num w:numId="5" w16cid:durableId="1168595837">
    <w:abstractNumId w:val="2"/>
  </w:num>
  <w:num w:numId="6" w16cid:durableId="1663047390">
    <w:abstractNumId w:val="5"/>
  </w:num>
  <w:num w:numId="7" w16cid:durableId="158040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activeWritingStyle w:appName="MSWord" w:lang="de-DE" w:vendorID="6" w:dllVersion="2" w:checkStyle="1"/>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6F64"/>
    <w:rsid w:val="0002640A"/>
    <w:rsid w:val="00052AFA"/>
    <w:rsid w:val="0006480F"/>
    <w:rsid w:val="000837B1"/>
    <w:rsid w:val="00083FF7"/>
    <w:rsid w:val="000B1C26"/>
    <w:rsid w:val="000C656F"/>
    <w:rsid w:val="000C6D8E"/>
    <w:rsid w:val="000D3C4B"/>
    <w:rsid w:val="000F26EA"/>
    <w:rsid w:val="000F416E"/>
    <w:rsid w:val="00104F2F"/>
    <w:rsid w:val="00107E7E"/>
    <w:rsid w:val="00133CA1"/>
    <w:rsid w:val="00194F22"/>
    <w:rsid w:val="001C327C"/>
    <w:rsid w:val="001C7B8B"/>
    <w:rsid w:val="001F7D17"/>
    <w:rsid w:val="002032AA"/>
    <w:rsid w:val="00206713"/>
    <w:rsid w:val="00247C71"/>
    <w:rsid w:val="00280AE1"/>
    <w:rsid w:val="00280EE7"/>
    <w:rsid w:val="002A1CBC"/>
    <w:rsid w:val="002A2FD8"/>
    <w:rsid w:val="002A305F"/>
    <w:rsid w:val="002A4276"/>
    <w:rsid w:val="00307416"/>
    <w:rsid w:val="00307A1E"/>
    <w:rsid w:val="00333863"/>
    <w:rsid w:val="00352A1F"/>
    <w:rsid w:val="003541FE"/>
    <w:rsid w:val="003665CA"/>
    <w:rsid w:val="00381BBF"/>
    <w:rsid w:val="003B39CF"/>
    <w:rsid w:val="003C6822"/>
    <w:rsid w:val="003C7AA8"/>
    <w:rsid w:val="003D023C"/>
    <w:rsid w:val="003D7246"/>
    <w:rsid w:val="003F2898"/>
    <w:rsid w:val="003F518E"/>
    <w:rsid w:val="004067C5"/>
    <w:rsid w:val="00413B6B"/>
    <w:rsid w:val="004277EF"/>
    <w:rsid w:val="00455969"/>
    <w:rsid w:val="00487247"/>
    <w:rsid w:val="0049482E"/>
    <w:rsid w:val="004C257B"/>
    <w:rsid w:val="004F2E5B"/>
    <w:rsid w:val="00525CFA"/>
    <w:rsid w:val="005347E3"/>
    <w:rsid w:val="00580430"/>
    <w:rsid w:val="00596C2E"/>
    <w:rsid w:val="005C4B93"/>
    <w:rsid w:val="005E15C9"/>
    <w:rsid w:val="005F1F62"/>
    <w:rsid w:val="00604216"/>
    <w:rsid w:val="006452CD"/>
    <w:rsid w:val="00646E71"/>
    <w:rsid w:val="00662132"/>
    <w:rsid w:val="00687322"/>
    <w:rsid w:val="00690743"/>
    <w:rsid w:val="006A1D05"/>
    <w:rsid w:val="006F1FD5"/>
    <w:rsid w:val="006F4EB3"/>
    <w:rsid w:val="00700D5B"/>
    <w:rsid w:val="00706E85"/>
    <w:rsid w:val="007171C6"/>
    <w:rsid w:val="0077033F"/>
    <w:rsid w:val="007740D8"/>
    <w:rsid w:val="007B78CE"/>
    <w:rsid w:val="007C08C3"/>
    <w:rsid w:val="007D780A"/>
    <w:rsid w:val="007E33D1"/>
    <w:rsid w:val="007E3D67"/>
    <w:rsid w:val="007F60C0"/>
    <w:rsid w:val="00874144"/>
    <w:rsid w:val="00885A2F"/>
    <w:rsid w:val="008967C9"/>
    <w:rsid w:val="008A36DE"/>
    <w:rsid w:val="008D1900"/>
    <w:rsid w:val="008D23E3"/>
    <w:rsid w:val="00975F32"/>
    <w:rsid w:val="00983708"/>
    <w:rsid w:val="009F1792"/>
    <w:rsid w:val="00A106FA"/>
    <w:rsid w:val="00A20A25"/>
    <w:rsid w:val="00A4575D"/>
    <w:rsid w:val="00A45CE8"/>
    <w:rsid w:val="00A54CDC"/>
    <w:rsid w:val="00A939FF"/>
    <w:rsid w:val="00A973AB"/>
    <w:rsid w:val="00AA237E"/>
    <w:rsid w:val="00AC163C"/>
    <w:rsid w:val="00AC17DE"/>
    <w:rsid w:val="00AF118C"/>
    <w:rsid w:val="00B01E85"/>
    <w:rsid w:val="00B03237"/>
    <w:rsid w:val="00B40492"/>
    <w:rsid w:val="00B4618A"/>
    <w:rsid w:val="00B5054D"/>
    <w:rsid w:val="00BB097A"/>
    <w:rsid w:val="00BD316A"/>
    <w:rsid w:val="00BE4F29"/>
    <w:rsid w:val="00C07599"/>
    <w:rsid w:val="00C14B53"/>
    <w:rsid w:val="00C26998"/>
    <w:rsid w:val="00C36154"/>
    <w:rsid w:val="00C56CAA"/>
    <w:rsid w:val="00C67E9F"/>
    <w:rsid w:val="00C80CB4"/>
    <w:rsid w:val="00CC1DC1"/>
    <w:rsid w:val="00CE5649"/>
    <w:rsid w:val="00CF21F3"/>
    <w:rsid w:val="00CF24C7"/>
    <w:rsid w:val="00CF412C"/>
    <w:rsid w:val="00CF57DB"/>
    <w:rsid w:val="00D0274D"/>
    <w:rsid w:val="00D030B6"/>
    <w:rsid w:val="00D17F81"/>
    <w:rsid w:val="00D33C7C"/>
    <w:rsid w:val="00DA2177"/>
    <w:rsid w:val="00DA3E2E"/>
    <w:rsid w:val="00DC48E7"/>
    <w:rsid w:val="00E0094E"/>
    <w:rsid w:val="00E01324"/>
    <w:rsid w:val="00E05C0E"/>
    <w:rsid w:val="00E57363"/>
    <w:rsid w:val="00EC6271"/>
    <w:rsid w:val="00EE4D78"/>
    <w:rsid w:val="00F054DD"/>
    <w:rsid w:val="00F4023D"/>
    <w:rsid w:val="00F63EC9"/>
    <w:rsid w:val="00F67D25"/>
    <w:rsid w:val="00F9584B"/>
    <w:rsid w:val="00FF2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7A5F9E"/>
  <w15:chartTrackingRefBased/>
  <w15:docId w15:val="{32F9286F-DF3B-4519-9467-9341B9E2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Sprechblasentext">
    <w:name w:val="Balloon Text"/>
    <w:basedOn w:val="Standard"/>
    <w:semiHidden/>
    <w:rsid w:val="003D3149"/>
    <w:rPr>
      <w:rFonts w:ascii="Tahoma" w:hAnsi="Tahoma" w:cs="Tahoma"/>
      <w:sz w:val="16"/>
      <w:szCs w:val="16"/>
    </w:rPr>
  </w:style>
  <w:style w:type="character" w:styleId="Kommentarzeichen">
    <w:name w:val="annotation reference"/>
    <w:uiPriority w:val="99"/>
    <w:semiHidden/>
    <w:unhideWhenUsed/>
    <w:rsid w:val="007E33D1"/>
    <w:rPr>
      <w:sz w:val="18"/>
      <w:szCs w:val="18"/>
    </w:rPr>
  </w:style>
  <w:style w:type="paragraph" w:styleId="Kommentartext">
    <w:name w:val="annotation text"/>
    <w:basedOn w:val="Standard"/>
    <w:link w:val="KommentartextZchn"/>
    <w:uiPriority w:val="99"/>
    <w:semiHidden/>
    <w:unhideWhenUsed/>
    <w:rsid w:val="007E33D1"/>
  </w:style>
  <w:style w:type="character" w:customStyle="1" w:styleId="KommentartextZchn">
    <w:name w:val="Kommentartext Zchn"/>
    <w:link w:val="Kommentartext"/>
    <w:uiPriority w:val="99"/>
    <w:semiHidden/>
    <w:rsid w:val="007E33D1"/>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7E33D1"/>
    <w:rPr>
      <w:b/>
      <w:bCs/>
      <w:sz w:val="20"/>
      <w:szCs w:val="20"/>
    </w:rPr>
  </w:style>
  <w:style w:type="character" w:customStyle="1" w:styleId="KommentarthemaZchn">
    <w:name w:val="Kommentarthema Zchn"/>
    <w:link w:val="Kommentarthema"/>
    <w:uiPriority w:val="99"/>
    <w:semiHidden/>
    <w:rsid w:val="007E33D1"/>
    <w:rPr>
      <w:rFonts w:ascii="Dutch Roman 12pt" w:hAnsi="Dutch Roman 12pt" w:cs="Arial Narrow"/>
      <w:b/>
      <w:bCs/>
      <w:sz w:val="24"/>
      <w:szCs w:val="24"/>
    </w:rPr>
  </w:style>
  <w:style w:type="paragraph" w:customStyle="1" w:styleId="DunkleListe-Akzent31">
    <w:name w:val="Dunkle Liste - Akzent 31"/>
    <w:hidden/>
    <w:uiPriority w:val="71"/>
    <w:rsid w:val="002A1CBC"/>
    <w:rPr>
      <w:rFonts w:ascii="Dutch Roman 12pt" w:hAnsi="Dutch Roman 12pt" w:cs="Arial Narrow"/>
      <w:sz w:val="24"/>
      <w:szCs w:val="24"/>
    </w:rPr>
  </w:style>
  <w:style w:type="paragraph" w:styleId="berarbeitung">
    <w:name w:val="Revision"/>
    <w:hidden/>
    <w:uiPriority w:val="71"/>
    <w:rsid w:val="00662132"/>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68044C-ED2B-4B31-845E-C51774A3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8089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Tobias Reinbacher</cp:lastModifiedBy>
  <cp:revision>4</cp:revision>
  <cp:lastPrinted>2020-10-16T11:52:00Z</cp:lastPrinted>
  <dcterms:created xsi:type="dcterms:W3CDTF">2024-10-09T11:09:00Z</dcterms:created>
  <dcterms:modified xsi:type="dcterms:W3CDTF">2024-10-14T10:12:00Z</dcterms:modified>
</cp:coreProperties>
</file>