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421F" w14:textId="172D52C2" w:rsidR="00001A77" w:rsidRPr="00522D57" w:rsidRDefault="00001A77" w:rsidP="00522D57">
      <w:pPr>
        <w:tabs>
          <w:tab w:val="right" w:pos="10065"/>
        </w:tabs>
        <w:jc w:val="both"/>
        <w:rPr>
          <w:b/>
          <w:spacing w:val="-3"/>
        </w:rPr>
      </w:pPr>
      <w:r>
        <w:rPr>
          <w:b/>
          <w:spacing w:val="-3"/>
        </w:rPr>
        <w:t xml:space="preserve">Prof. Dr. </w:t>
      </w:r>
      <w:r w:rsidR="00F64D5B">
        <w:rPr>
          <w:b/>
          <w:spacing w:val="-3"/>
        </w:rPr>
        <w:t xml:space="preserve">Dr. h.c. </w:t>
      </w:r>
      <w:r>
        <w:rPr>
          <w:b/>
          <w:spacing w:val="-3"/>
        </w:rPr>
        <w:t>Bernd Heinrich/</w:t>
      </w:r>
      <w:r w:rsidR="00D34E7B">
        <w:rPr>
          <w:b/>
          <w:spacing w:val="-3"/>
        </w:rPr>
        <w:t>Pr</w:t>
      </w:r>
      <w:r w:rsidR="00AB6C34">
        <w:rPr>
          <w:b/>
          <w:spacing w:val="-3"/>
        </w:rPr>
        <w:t>of</w:t>
      </w:r>
      <w:r w:rsidR="00D34E7B">
        <w:rPr>
          <w:b/>
          <w:spacing w:val="-3"/>
        </w:rPr>
        <w:t xml:space="preserve">. </w:t>
      </w:r>
      <w:r>
        <w:rPr>
          <w:b/>
          <w:spacing w:val="-3"/>
        </w:rPr>
        <w:t>Dr. Tobias Reinbacher</w:t>
      </w:r>
      <w:r>
        <w:rPr>
          <w:b/>
          <w:spacing w:val="-3"/>
        </w:rPr>
        <w:tab/>
        <w:t xml:space="preserve">Stand: 1. </w:t>
      </w:r>
      <w:r w:rsidR="005908A0">
        <w:rPr>
          <w:b/>
          <w:spacing w:val="-3"/>
        </w:rPr>
        <w:t>Oktober</w:t>
      </w:r>
      <w:r w:rsidR="00101F88">
        <w:rPr>
          <w:b/>
          <w:spacing w:val="-3"/>
        </w:rPr>
        <w:t xml:space="preserve"> </w:t>
      </w:r>
      <w:r w:rsidR="00031CFD">
        <w:rPr>
          <w:b/>
          <w:spacing w:val="-3"/>
        </w:rPr>
        <w:t>202</w:t>
      </w:r>
      <w:r w:rsidR="0008556D">
        <w:rPr>
          <w:b/>
          <w:spacing w:val="-3"/>
        </w:rPr>
        <w:t>4</w:t>
      </w:r>
    </w:p>
    <w:p w14:paraId="69045A61" w14:textId="078A2521" w:rsidR="00001A77" w:rsidRDefault="00001A77" w:rsidP="00001A77">
      <w:pPr>
        <w:framePr w:w="9572" w:h="1417" w:hSpace="240" w:vSpace="120" w:wrap="auto" w:vAnchor="text" w:hAnchor="margin" w:x="241" w:y="122"/>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08556D">
        <w:rPr>
          <w:b/>
          <w:spacing w:val="-3"/>
        </w:rPr>
        <w:t> </w:t>
      </w:r>
      <w:r>
        <w:rPr>
          <w:b/>
          <w:spacing w:val="-3"/>
        </w:rPr>
        <w:t>9</w:t>
      </w:r>
    </w:p>
    <w:p w14:paraId="670C2124" w14:textId="77777777" w:rsidR="00001A77" w:rsidRPr="00CA4CE4" w:rsidRDefault="00001A77" w:rsidP="00001A77">
      <w:pPr>
        <w:framePr w:w="9572" w:h="1417" w:hSpace="240" w:vSpace="120" w:wrap="auto" w:vAnchor="text" w:hAnchor="margin" w:x="241" w:y="122"/>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52"/>
          <w:szCs w:val="52"/>
        </w:rPr>
      </w:pPr>
      <w:r w:rsidRPr="00CA4CE4">
        <w:rPr>
          <w:b/>
          <w:spacing w:val="-7"/>
          <w:sz w:val="52"/>
          <w:szCs w:val="52"/>
        </w:rPr>
        <w:t>Verfahrensbeteiligte II –</w:t>
      </w:r>
    </w:p>
    <w:p w14:paraId="57603D1D" w14:textId="77777777" w:rsidR="00001A77" w:rsidRPr="00CA4CE4" w:rsidRDefault="00001A77" w:rsidP="00001A77">
      <w:pPr>
        <w:framePr w:w="9572" w:h="1417" w:hSpace="240" w:vSpace="120" w:wrap="auto" w:vAnchor="text" w:hAnchor="margin" w:x="241" w:y="122"/>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CA4CE4">
        <w:rPr>
          <w:b/>
          <w:spacing w:val="-7"/>
          <w:sz w:val="52"/>
          <w:szCs w:val="52"/>
        </w:rPr>
        <w:t>Sonstige Beteiligte</w:t>
      </w:r>
    </w:p>
    <w:p w14:paraId="221575FA" w14:textId="77777777" w:rsidR="00001A77" w:rsidRPr="00CA4CE4" w:rsidRDefault="00001A77" w:rsidP="00001A77">
      <w:pPr>
        <w:pStyle w:val="Beschriftung"/>
        <w:framePr w:w="9572" w:h="1417" w:hSpace="240" w:vSpace="120" w:wrap="auto" w:vAnchor="text" w:hAnchor="margin" w:x="241" w:y="122"/>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52"/>
          <w:szCs w:val="52"/>
        </w:rPr>
      </w:pPr>
      <w:r w:rsidRPr="00CA4CE4">
        <w:rPr>
          <w:rFonts w:ascii="Times New Roman" w:hAnsi="Times New Roman"/>
          <w:vanish/>
          <w:spacing w:val="-7"/>
          <w:sz w:val="52"/>
          <w:szCs w:val="52"/>
        </w:rPr>
        <w:fldChar w:fldCharType="begin"/>
      </w:r>
      <w:r w:rsidR="008D5EF6">
        <w:rPr>
          <w:rFonts w:ascii="Times New Roman" w:hAnsi="Times New Roman"/>
          <w:vanish/>
          <w:spacing w:val="-7"/>
          <w:sz w:val="52"/>
          <w:szCs w:val="52"/>
        </w:rPr>
        <w:instrText>SEQ</w:instrText>
      </w:r>
      <w:r w:rsidRPr="00CA4CE4">
        <w:rPr>
          <w:rFonts w:ascii="Times New Roman" w:hAnsi="Times New Roman"/>
          <w:vanish/>
          <w:spacing w:val="-7"/>
          <w:sz w:val="52"/>
          <w:szCs w:val="52"/>
        </w:rPr>
        <w:instrText xml:space="preserve"> Text_Box  \* ARABIC</w:instrText>
      </w:r>
      <w:r w:rsidRPr="00CA4CE4">
        <w:rPr>
          <w:rFonts w:ascii="Times New Roman" w:hAnsi="Times New Roman"/>
          <w:vanish/>
          <w:spacing w:val="-7"/>
          <w:sz w:val="52"/>
          <w:szCs w:val="52"/>
        </w:rPr>
        <w:fldChar w:fldCharType="separate"/>
      </w:r>
      <w:r w:rsidR="00632F98">
        <w:rPr>
          <w:rFonts w:ascii="Times New Roman" w:hAnsi="Times New Roman"/>
          <w:noProof/>
          <w:vanish/>
          <w:spacing w:val="-7"/>
          <w:sz w:val="52"/>
          <w:szCs w:val="52"/>
        </w:rPr>
        <w:t>1</w:t>
      </w:r>
      <w:r w:rsidRPr="00CA4CE4">
        <w:rPr>
          <w:rFonts w:ascii="Times New Roman" w:hAnsi="Times New Roman"/>
          <w:vanish/>
          <w:spacing w:val="-7"/>
          <w:sz w:val="52"/>
          <w:szCs w:val="52"/>
        </w:rPr>
        <w:fldChar w:fldCharType="end"/>
      </w:r>
    </w:p>
    <w:p w14:paraId="2C5BB5A3" w14:textId="77777777" w:rsidR="00001A77" w:rsidRPr="00522D57" w:rsidRDefault="00001A77" w:rsidP="00001A77">
      <w:pPr>
        <w:widowControl/>
        <w:tabs>
          <w:tab w:val="left" w:pos="-720"/>
          <w:tab w:val="left" w:pos="0"/>
          <w:tab w:val="left" w:pos="576"/>
          <w:tab w:val="left" w:pos="864"/>
          <w:tab w:val="left" w:pos="1116"/>
          <w:tab w:val="left" w:pos="1404"/>
          <w:tab w:val="left" w:pos="1692"/>
          <w:tab w:val="left" w:pos="1980"/>
          <w:tab w:val="left" w:pos="2268"/>
          <w:tab w:val="left" w:pos="2880"/>
        </w:tabs>
        <w:jc w:val="both"/>
        <w:rPr>
          <w:rFonts w:ascii="Times New Roman" w:hAnsi="Times New Roman"/>
          <w:b/>
          <w:spacing w:val="-2"/>
          <w:sz w:val="16"/>
          <w:szCs w:val="16"/>
        </w:rPr>
      </w:pPr>
    </w:p>
    <w:p w14:paraId="5554026F" w14:textId="20BAF5AE" w:rsidR="00001A77" w:rsidRPr="00876507" w:rsidRDefault="00001A77" w:rsidP="003650FE">
      <w:pPr>
        <w:widowControl/>
        <w:tabs>
          <w:tab w:val="left" w:pos="-720"/>
          <w:tab w:val="left" w:pos="284"/>
          <w:tab w:val="left" w:pos="864"/>
          <w:tab w:val="left" w:pos="1116"/>
          <w:tab w:val="left" w:pos="1404"/>
          <w:tab w:val="left" w:pos="1692"/>
          <w:tab w:val="left" w:pos="1980"/>
          <w:tab w:val="left" w:pos="2268"/>
          <w:tab w:val="left" w:pos="2880"/>
        </w:tabs>
        <w:spacing w:line="235" w:lineRule="auto"/>
        <w:ind w:left="284" w:hanging="284"/>
        <w:jc w:val="both"/>
        <w:rPr>
          <w:sz w:val="16"/>
          <w:szCs w:val="16"/>
        </w:rPr>
      </w:pPr>
      <w:r w:rsidRPr="00876507">
        <w:rPr>
          <w:rFonts w:ascii="Times New Roman" w:hAnsi="Times New Roman"/>
          <w:spacing w:val="-2"/>
          <w:sz w:val="16"/>
          <w:szCs w:val="16"/>
          <w:u w:val="single"/>
        </w:rPr>
        <w:t xml:space="preserve">1. </w:t>
      </w:r>
      <w:r w:rsidRPr="00876507">
        <w:rPr>
          <w:rFonts w:ascii="Times New Roman" w:hAnsi="Times New Roman"/>
          <w:spacing w:val="-2"/>
          <w:sz w:val="16"/>
          <w:szCs w:val="16"/>
          <w:u w:val="single"/>
        </w:rPr>
        <w:tab/>
        <w:t>Der Beschuldigte/Angeschuldigte/Angeklagte:</w:t>
      </w:r>
      <w:r w:rsidRPr="00876507">
        <w:rPr>
          <w:rFonts w:ascii="Times New Roman" w:hAnsi="Times New Roman"/>
          <w:spacing w:val="-2"/>
          <w:sz w:val="16"/>
          <w:szCs w:val="16"/>
        </w:rPr>
        <w:t xml:space="preserve"> Die Ermittlungstätigkeit im Vorverfahren</w:t>
      </w:r>
      <w:r w:rsidR="0018008E" w:rsidRPr="00876507">
        <w:rPr>
          <w:rFonts w:ascii="Times New Roman" w:hAnsi="Times New Roman"/>
          <w:spacing w:val="-2"/>
          <w:sz w:val="16"/>
          <w:szCs w:val="16"/>
        </w:rPr>
        <w:t xml:space="preserve"> richtet sich gegen den Beschul</w:t>
      </w:r>
      <w:r w:rsidRPr="00876507">
        <w:rPr>
          <w:rFonts w:ascii="Times New Roman" w:hAnsi="Times New Roman"/>
          <w:spacing w:val="-2"/>
          <w:sz w:val="16"/>
          <w:szCs w:val="16"/>
        </w:rPr>
        <w:t xml:space="preserve">digten. </w:t>
      </w:r>
      <w:r w:rsidR="004B1FCA" w:rsidRPr="00D0311D">
        <w:rPr>
          <w:rFonts w:ascii="Times New Roman" w:hAnsi="Times New Roman"/>
          <w:spacing w:val="-2"/>
          <w:sz w:val="16"/>
          <w:szCs w:val="16"/>
        </w:rPr>
        <w:t xml:space="preserve">Mit der Beschuldigtenstellung sind entscheidende Rechtspositionen, aber auch erhebliche Pflichten verbunden, sodass der Zeitpunkt der Begründung der Beschuldigteneigenschaft </w:t>
      </w:r>
      <w:r w:rsidR="00334A3B" w:rsidRPr="00D0311D">
        <w:rPr>
          <w:rFonts w:ascii="Times New Roman" w:hAnsi="Times New Roman"/>
          <w:spacing w:val="-2"/>
          <w:sz w:val="16"/>
          <w:szCs w:val="16"/>
        </w:rPr>
        <w:t xml:space="preserve">eine </w:t>
      </w:r>
      <w:r w:rsidR="0018008E" w:rsidRPr="00D0311D">
        <w:rPr>
          <w:rFonts w:ascii="Times New Roman" w:hAnsi="Times New Roman"/>
          <w:spacing w:val="-2"/>
          <w:sz w:val="16"/>
          <w:szCs w:val="16"/>
        </w:rPr>
        <w:t>wichtige</w:t>
      </w:r>
      <w:r w:rsidR="00334A3B" w:rsidRPr="00D0311D">
        <w:rPr>
          <w:rFonts w:ascii="Times New Roman" w:hAnsi="Times New Roman"/>
          <w:spacing w:val="-2"/>
          <w:sz w:val="16"/>
          <w:szCs w:val="16"/>
        </w:rPr>
        <w:t xml:space="preserve"> Rolle spielt.</w:t>
      </w:r>
      <w:r w:rsidR="00D34E7B" w:rsidRPr="00D0311D">
        <w:rPr>
          <w:rFonts w:ascii="Times New Roman" w:hAnsi="Times New Roman"/>
          <w:spacing w:val="-2"/>
          <w:sz w:val="16"/>
          <w:szCs w:val="16"/>
        </w:rPr>
        <w:t xml:space="preserve"> Den Strafverfolgungsbehörden kommt ein Beurteilungsspielraum zu, sie dürfen die Beschuldigtenstellung jedoch </w:t>
      </w:r>
      <w:r w:rsidR="005B4B84" w:rsidRPr="00D0311D">
        <w:rPr>
          <w:rFonts w:ascii="Times New Roman" w:hAnsi="Times New Roman"/>
          <w:spacing w:val="-2"/>
          <w:sz w:val="16"/>
          <w:szCs w:val="16"/>
        </w:rPr>
        <w:t xml:space="preserve">wegen der damit verbundenen Rechte </w:t>
      </w:r>
      <w:r w:rsidR="00D34E7B" w:rsidRPr="00D0311D">
        <w:rPr>
          <w:rFonts w:ascii="Times New Roman" w:hAnsi="Times New Roman"/>
          <w:spacing w:val="-2"/>
          <w:sz w:val="16"/>
          <w:szCs w:val="16"/>
        </w:rPr>
        <w:t xml:space="preserve">nicht willkürlich vorenthalten. </w:t>
      </w:r>
      <w:r w:rsidR="004B1FCA" w:rsidRPr="00D0311D">
        <w:rPr>
          <w:rFonts w:ascii="Times New Roman" w:hAnsi="Times New Roman"/>
          <w:spacing w:val="-2"/>
          <w:sz w:val="16"/>
          <w:szCs w:val="16"/>
        </w:rPr>
        <w:t xml:space="preserve">Zur Begründung der </w:t>
      </w:r>
      <w:r w:rsidR="004B1FCA" w:rsidRPr="00D0311D">
        <w:rPr>
          <w:rFonts w:ascii="Times New Roman" w:hAnsi="Times New Roman"/>
          <w:b/>
          <w:spacing w:val="-2"/>
          <w:sz w:val="16"/>
          <w:szCs w:val="16"/>
        </w:rPr>
        <w:t>Beschuldigteneigenschaft</w:t>
      </w:r>
      <w:r w:rsidR="004B1FCA" w:rsidRPr="00D0311D">
        <w:rPr>
          <w:rFonts w:ascii="Times New Roman" w:hAnsi="Times New Roman"/>
          <w:spacing w:val="-2"/>
          <w:sz w:val="16"/>
          <w:szCs w:val="16"/>
        </w:rPr>
        <w:t xml:space="preserve"> bedarf es (1) eines Willensaktes der </w:t>
      </w:r>
      <w:proofErr w:type="spellStart"/>
      <w:r w:rsidR="004B1FCA" w:rsidRPr="00D0311D">
        <w:rPr>
          <w:rFonts w:ascii="Times New Roman" w:hAnsi="Times New Roman"/>
          <w:spacing w:val="-2"/>
          <w:sz w:val="16"/>
          <w:szCs w:val="16"/>
        </w:rPr>
        <w:t>StA</w:t>
      </w:r>
      <w:proofErr w:type="spellEnd"/>
      <w:r w:rsidR="004B1FCA" w:rsidRPr="00D0311D">
        <w:rPr>
          <w:rFonts w:ascii="Times New Roman" w:hAnsi="Times New Roman"/>
          <w:spacing w:val="-2"/>
          <w:sz w:val="16"/>
          <w:szCs w:val="16"/>
        </w:rPr>
        <w:t>, der nach außen erkennbar (also objektiviert und überprüfbar) sein muss, sowie (2) eines objektiven Anfangsverdachts.</w:t>
      </w:r>
      <w:r w:rsidR="00334A3B" w:rsidRPr="00D0311D">
        <w:rPr>
          <w:rFonts w:ascii="Times New Roman" w:hAnsi="Times New Roman"/>
          <w:spacing w:val="-2"/>
          <w:sz w:val="16"/>
          <w:szCs w:val="16"/>
        </w:rPr>
        <w:t xml:space="preserve"> Dies kann auch durch eine konkludente Erklärung seitens der </w:t>
      </w:r>
      <w:proofErr w:type="spellStart"/>
      <w:r w:rsidR="00334A3B" w:rsidRPr="00D0311D">
        <w:rPr>
          <w:rFonts w:ascii="Times New Roman" w:hAnsi="Times New Roman"/>
          <w:spacing w:val="-2"/>
          <w:sz w:val="16"/>
          <w:szCs w:val="16"/>
        </w:rPr>
        <w:t>StA</w:t>
      </w:r>
      <w:proofErr w:type="spellEnd"/>
      <w:r w:rsidR="00334A3B" w:rsidRPr="00D0311D">
        <w:rPr>
          <w:rFonts w:ascii="Times New Roman" w:hAnsi="Times New Roman"/>
          <w:spacing w:val="-2"/>
          <w:sz w:val="16"/>
          <w:szCs w:val="16"/>
        </w:rPr>
        <w:t xml:space="preserve"> geschehen. Ein Verdächtigter wird zum Beschuldigten, wenn die Strafverfolgungsbehörde faktische Maßnahmen ergreift, die erkennbar darauf abzielen, gegen ihn wegen einer Straftat vorzugehen.</w:t>
      </w:r>
      <w:r w:rsidR="00334A3B" w:rsidRPr="00D0311D">
        <w:rPr>
          <w:sz w:val="16"/>
          <w:szCs w:val="16"/>
        </w:rPr>
        <w:t xml:space="preserve"> </w:t>
      </w:r>
      <w:r w:rsidRPr="00D0311D">
        <w:rPr>
          <w:rFonts w:ascii="Times New Roman" w:hAnsi="Times New Roman"/>
          <w:spacing w:val="-2"/>
          <w:sz w:val="16"/>
          <w:szCs w:val="16"/>
        </w:rPr>
        <w:t xml:space="preserve">Dies ist z.B. noch nicht der Fall bei einer rein </w:t>
      </w:r>
      <w:r w:rsidRPr="00D0311D">
        <w:rPr>
          <w:rFonts w:ascii="Times New Roman" w:hAnsi="Times New Roman"/>
          <w:b/>
          <w:spacing w:val="-2"/>
          <w:sz w:val="16"/>
          <w:szCs w:val="16"/>
        </w:rPr>
        <w:t>informatorischen</w:t>
      </w:r>
      <w:r w:rsidRPr="00876507">
        <w:rPr>
          <w:rFonts w:ascii="Times New Roman" w:hAnsi="Times New Roman"/>
          <w:b/>
          <w:spacing w:val="-2"/>
          <w:sz w:val="16"/>
          <w:szCs w:val="16"/>
        </w:rPr>
        <w:t xml:space="preserve"> Befragung</w:t>
      </w:r>
      <w:r w:rsidR="00606049" w:rsidRPr="00876507">
        <w:rPr>
          <w:rFonts w:ascii="Times New Roman" w:hAnsi="Times New Roman"/>
          <w:spacing w:val="-2"/>
          <w:sz w:val="16"/>
          <w:szCs w:val="16"/>
        </w:rPr>
        <w:t xml:space="preserve">, bei </w:t>
      </w:r>
      <w:r w:rsidR="0008556D">
        <w:rPr>
          <w:rFonts w:ascii="Times New Roman" w:hAnsi="Times New Roman"/>
          <w:spacing w:val="-2"/>
          <w:sz w:val="16"/>
          <w:szCs w:val="16"/>
        </w:rPr>
        <w:t>der</w:t>
      </w:r>
      <w:r w:rsidR="0008556D" w:rsidRPr="00876507">
        <w:rPr>
          <w:rFonts w:ascii="Times New Roman" w:hAnsi="Times New Roman"/>
          <w:spacing w:val="-2"/>
          <w:sz w:val="16"/>
          <w:szCs w:val="16"/>
        </w:rPr>
        <w:t xml:space="preserve"> </w:t>
      </w:r>
      <w:r w:rsidR="00606049" w:rsidRPr="00876507">
        <w:rPr>
          <w:rFonts w:ascii="Times New Roman" w:hAnsi="Times New Roman"/>
          <w:spacing w:val="-2"/>
          <w:sz w:val="16"/>
          <w:szCs w:val="16"/>
        </w:rPr>
        <w:t>erst allgemeine Informationen zum Geschehen gesammelt werden sollen</w:t>
      </w:r>
      <w:r w:rsidR="00D34E7B" w:rsidRPr="00876507">
        <w:rPr>
          <w:rFonts w:ascii="Times New Roman" w:hAnsi="Times New Roman"/>
          <w:spacing w:val="-2"/>
          <w:sz w:val="16"/>
          <w:szCs w:val="16"/>
        </w:rPr>
        <w:t>.</w:t>
      </w:r>
      <w:r w:rsidRPr="00876507">
        <w:rPr>
          <w:rFonts w:ascii="Times New Roman" w:hAnsi="Times New Roman"/>
          <w:spacing w:val="-2"/>
          <w:sz w:val="16"/>
          <w:szCs w:val="16"/>
        </w:rPr>
        <w:t xml:space="preserve"> Sobald die Befragung in die Vernehmung eines Verdächtigen umschlägt, d.h. </w:t>
      </w:r>
      <w:proofErr w:type="gramStart"/>
      <w:r w:rsidRPr="00876507">
        <w:rPr>
          <w:rFonts w:ascii="Times New Roman" w:hAnsi="Times New Roman"/>
          <w:spacing w:val="-2"/>
          <w:sz w:val="16"/>
          <w:szCs w:val="16"/>
        </w:rPr>
        <w:t>sobald</w:t>
      </w:r>
      <w:proofErr w:type="gramEnd"/>
      <w:r w:rsidRPr="00876507">
        <w:rPr>
          <w:rFonts w:ascii="Times New Roman" w:hAnsi="Times New Roman"/>
          <w:spacing w:val="-2"/>
          <w:sz w:val="16"/>
          <w:szCs w:val="16"/>
        </w:rPr>
        <w:t xml:space="preserve"> der gerade Vernommene materiell-verdächtig erscheint, </w:t>
      </w:r>
      <w:r w:rsidR="00D34E7B" w:rsidRPr="00876507">
        <w:rPr>
          <w:rFonts w:ascii="Times New Roman" w:hAnsi="Times New Roman"/>
          <w:spacing w:val="-2"/>
          <w:sz w:val="16"/>
          <w:szCs w:val="16"/>
        </w:rPr>
        <w:t>ist er als</w:t>
      </w:r>
      <w:r w:rsidRPr="00876507">
        <w:rPr>
          <w:rFonts w:ascii="Times New Roman" w:hAnsi="Times New Roman"/>
          <w:spacing w:val="-2"/>
          <w:sz w:val="16"/>
          <w:szCs w:val="16"/>
        </w:rPr>
        <w:t xml:space="preserve"> </w:t>
      </w:r>
      <w:r w:rsidR="00D34E7B" w:rsidRPr="00876507">
        <w:rPr>
          <w:rFonts w:ascii="Times New Roman" w:hAnsi="Times New Roman"/>
          <w:spacing w:val="-2"/>
          <w:sz w:val="16"/>
          <w:szCs w:val="16"/>
        </w:rPr>
        <w:t>Beschuldigter zu behandeln</w:t>
      </w:r>
      <w:r w:rsidRPr="00876507">
        <w:rPr>
          <w:rFonts w:ascii="Times New Roman" w:hAnsi="Times New Roman"/>
          <w:spacing w:val="-2"/>
          <w:sz w:val="16"/>
          <w:szCs w:val="16"/>
        </w:rPr>
        <w:t xml:space="preserve">. </w:t>
      </w:r>
      <w:r w:rsidR="00D34E7B" w:rsidRPr="00876507">
        <w:rPr>
          <w:rFonts w:ascii="Times New Roman" w:hAnsi="Times New Roman"/>
          <w:spacing w:val="-2"/>
          <w:sz w:val="16"/>
          <w:szCs w:val="16"/>
        </w:rPr>
        <w:t>Er muss</w:t>
      </w:r>
      <w:r w:rsidRPr="00876507">
        <w:rPr>
          <w:rFonts w:ascii="Times New Roman" w:hAnsi="Times New Roman"/>
          <w:spacing w:val="-2"/>
          <w:sz w:val="16"/>
          <w:szCs w:val="16"/>
        </w:rPr>
        <w:t xml:space="preserve"> sofort über seine Rechte belehrt werden, </w:t>
      </w:r>
      <w:r w:rsidRPr="00876507">
        <w:rPr>
          <w:rFonts w:ascii="Times New Roman" w:hAnsi="Times New Roman"/>
          <w:b/>
          <w:spacing w:val="-2"/>
          <w:sz w:val="16"/>
          <w:szCs w:val="16"/>
        </w:rPr>
        <w:t>§ 136 StPO</w:t>
      </w:r>
      <w:r w:rsidRPr="00876507">
        <w:rPr>
          <w:rFonts w:ascii="Times New Roman" w:hAnsi="Times New Roman"/>
          <w:spacing w:val="-2"/>
          <w:sz w:val="16"/>
          <w:szCs w:val="16"/>
        </w:rPr>
        <w:t>. Dazu gehört u.a. das Recht zu schweigen und in jeder Phase des Verfahrens einen Verteidiger hinzuzuziehen, § 136 I 2 StPO. Der Beschuldigte ist nicht verpflichtet, an seiner Überführung aktiv mitzuwirken (</w:t>
      </w:r>
      <w:proofErr w:type="spellStart"/>
      <w:r w:rsidRPr="00876507">
        <w:rPr>
          <w:rFonts w:ascii="Times New Roman" w:hAnsi="Times New Roman"/>
          <w:i/>
          <w:spacing w:val="-2"/>
          <w:sz w:val="16"/>
          <w:szCs w:val="16"/>
        </w:rPr>
        <w:t>nemo</w:t>
      </w:r>
      <w:proofErr w:type="spellEnd"/>
      <w:r w:rsidRPr="00876507">
        <w:rPr>
          <w:rFonts w:ascii="Times New Roman" w:hAnsi="Times New Roman"/>
          <w:i/>
          <w:spacing w:val="-2"/>
          <w:sz w:val="16"/>
          <w:szCs w:val="16"/>
        </w:rPr>
        <w:t xml:space="preserve"> tenetur se </w:t>
      </w:r>
      <w:proofErr w:type="spellStart"/>
      <w:r w:rsidRPr="00876507">
        <w:rPr>
          <w:rFonts w:ascii="Times New Roman" w:hAnsi="Times New Roman"/>
          <w:i/>
          <w:spacing w:val="-2"/>
          <w:sz w:val="16"/>
          <w:szCs w:val="16"/>
        </w:rPr>
        <w:t>ipsum</w:t>
      </w:r>
      <w:proofErr w:type="spellEnd"/>
      <w:r w:rsidRPr="00876507">
        <w:rPr>
          <w:rFonts w:ascii="Times New Roman" w:hAnsi="Times New Roman"/>
          <w:i/>
          <w:spacing w:val="-2"/>
          <w:sz w:val="16"/>
          <w:szCs w:val="16"/>
        </w:rPr>
        <w:t xml:space="preserve"> </w:t>
      </w:r>
      <w:proofErr w:type="spellStart"/>
      <w:r w:rsidRPr="00876507">
        <w:rPr>
          <w:rFonts w:ascii="Times New Roman" w:hAnsi="Times New Roman"/>
          <w:i/>
          <w:spacing w:val="-2"/>
          <w:sz w:val="16"/>
          <w:szCs w:val="16"/>
        </w:rPr>
        <w:t>accusare</w:t>
      </w:r>
      <w:proofErr w:type="spellEnd"/>
      <w:r w:rsidRPr="00876507">
        <w:rPr>
          <w:rFonts w:ascii="Times New Roman" w:hAnsi="Times New Roman"/>
          <w:spacing w:val="-2"/>
          <w:sz w:val="16"/>
          <w:szCs w:val="16"/>
        </w:rPr>
        <w:t>; siehe zur Vernehmung des Beschuldigten auch Arbeitsblatt Nr. 24). Wurde der Beschuldigte zunächst zu Unrecht als Zeuge vernommen, obgleich tatsächlich bereits ein hinreichender Tatverdacht vorlag, so ist eine „</w:t>
      </w:r>
      <w:r w:rsidRPr="00876507">
        <w:rPr>
          <w:rFonts w:ascii="Times New Roman" w:hAnsi="Times New Roman"/>
          <w:b/>
          <w:spacing w:val="-2"/>
          <w:sz w:val="16"/>
          <w:szCs w:val="16"/>
        </w:rPr>
        <w:t>qualifizierte Belehrung</w:t>
      </w:r>
      <w:r w:rsidRPr="00876507">
        <w:rPr>
          <w:rFonts w:ascii="Times New Roman" w:hAnsi="Times New Roman"/>
          <w:spacing w:val="-2"/>
          <w:sz w:val="16"/>
          <w:szCs w:val="16"/>
        </w:rPr>
        <w:t>“ dahingehend vorzunehmen, dass seine früheren</w:t>
      </w:r>
      <w:r w:rsidR="00606049" w:rsidRPr="00876507">
        <w:rPr>
          <w:rFonts w:ascii="Times New Roman" w:hAnsi="Times New Roman"/>
          <w:spacing w:val="-2"/>
          <w:sz w:val="16"/>
          <w:szCs w:val="16"/>
        </w:rPr>
        <w:t xml:space="preserve"> (ohne Belehrung getätigten)</w:t>
      </w:r>
      <w:r w:rsidRPr="00876507">
        <w:rPr>
          <w:rFonts w:ascii="Times New Roman" w:hAnsi="Times New Roman"/>
          <w:spacing w:val="-2"/>
          <w:sz w:val="16"/>
          <w:szCs w:val="16"/>
        </w:rPr>
        <w:t xml:space="preserve"> Aussagen nicht verwertbar sind. Im Zwischenverfahren trägt der Verdächtige den Namen Angeschuldigter, § 157 StPO. Hier steht es ihm z.B. zu, Beweisanträge zu stellen und Einwendungen vorzubringen. Im Hauptverfahren wird er als Angeklagter bezeichnet, § 157 StPO. Auch hier bleibt das Recht zu schweigen bestehen. Aufgrund des </w:t>
      </w:r>
      <w:r w:rsidRPr="00876507">
        <w:rPr>
          <w:rFonts w:ascii="Times New Roman" w:hAnsi="Times New Roman"/>
          <w:b/>
          <w:spacing w:val="-2"/>
          <w:sz w:val="16"/>
          <w:szCs w:val="16"/>
        </w:rPr>
        <w:t>Nemo-tenetur-Grundsatzes</w:t>
      </w:r>
      <w:r w:rsidRPr="00876507">
        <w:rPr>
          <w:rFonts w:ascii="Times New Roman" w:hAnsi="Times New Roman"/>
          <w:spacing w:val="-2"/>
          <w:sz w:val="16"/>
          <w:szCs w:val="16"/>
        </w:rPr>
        <w:t xml:space="preserve"> dürfen aus dem Schweigen des Angeklagten auch keinerlei negative Schlüsse gezogen werden. </w:t>
      </w:r>
      <w:r w:rsidR="00DF4848" w:rsidRPr="00DF4848">
        <w:rPr>
          <w:rFonts w:ascii="Times New Roman" w:hAnsi="Times New Roman"/>
          <w:spacing w:val="-2"/>
          <w:sz w:val="16"/>
          <w:szCs w:val="16"/>
        </w:rPr>
        <w:t xml:space="preserve">Eine Pflicht zum Erscheinen hat der Verdächtige nur vor der </w:t>
      </w:r>
      <w:proofErr w:type="spellStart"/>
      <w:r w:rsidR="00DF4848" w:rsidRPr="00DF4848">
        <w:rPr>
          <w:rFonts w:ascii="Times New Roman" w:hAnsi="Times New Roman"/>
          <w:spacing w:val="-2"/>
          <w:sz w:val="16"/>
          <w:szCs w:val="16"/>
        </w:rPr>
        <w:t>StA</w:t>
      </w:r>
      <w:proofErr w:type="spellEnd"/>
      <w:r w:rsidR="00DF4848" w:rsidRPr="00DF4848">
        <w:rPr>
          <w:rFonts w:ascii="Times New Roman" w:hAnsi="Times New Roman"/>
          <w:spacing w:val="-2"/>
          <w:sz w:val="16"/>
          <w:szCs w:val="16"/>
        </w:rPr>
        <w:t xml:space="preserve"> oder dem Gericht (</w:t>
      </w:r>
      <w:proofErr w:type="spellStart"/>
      <w:r w:rsidR="00DF4848" w:rsidRPr="00DF4848">
        <w:rPr>
          <w:rFonts w:ascii="Times New Roman" w:hAnsi="Times New Roman"/>
          <w:spacing w:val="-2"/>
          <w:sz w:val="16"/>
          <w:szCs w:val="16"/>
        </w:rPr>
        <w:t>grds</w:t>
      </w:r>
      <w:proofErr w:type="spellEnd"/>
      <w:r w:rsidR="00DF4848" w:rsidRPr="00DF4848">
        <w:rPr>
          <w:rFonts w:ascii="Times New Roman" w:hAnsi="Times New Roman"/>
          <w:spacing w:val="-2"/>
          <w:sz w:val="16"/>
          <w:szCs w:val="16"/>
        </w:rPr>
        <w:t>. nicht aber vor der Polizei, vgl. aber nunmehr §</w:t>
      </w:r>
      <w:r w:rsidR="00BB2EE6">
        <w:rPr>
          <w:rFonts w:ascii="Times New Roman" w:hAnsi="Times New Roman"/>
          <w:spacing w:val="-2"/>
          <w:sz w:val="16"/>
          <w:szCs w:val="16"/>
        </w:rPr>
        <w:t> </w:t>
      </w:r>
      <w:r w:rsidR="00DF4848" w:rsidRPr="00DF4848">
        <w:rPr>
          <w:rFonts w:ascii="Times New Roman" w:hAnsi="Times New Roman"/>
          <w:spacing w:val="-2"/>
          <w:sz w:val="16"/>
          <w:szCs w:val="16"/>
        </w:rPr>
        <w:t xml:space="preserve">163 </w:t>
      </w:r>
      <w:r w:rsidR="00BB2EE6">
        <w:rPr>
          <w:rFonts w:ascii="Times New Roman" w:hAnsi="Times New Roman"/>
          <w:spacing w:val="-2"/>
          <w:sz w:val="16"/>
          <w:szCs w:val="16"/>
        </w:rPr>
        <w:t>III</w:t>
      </w:r>
      <w:r w:rsidR="00DF4848" w:rsidRPr="00DF4848">
        <w:rPr>
          <w:rFonts w:ascii="Times New Roman" w:hAnsi="Times New Roman"/>
          <w:spacing w:val="-2"/>
          <w:sz w:val="16"/>
          <w:szCs w:val="16"/>
        </w:rPr>
        <w:t xml:space="preserve"> 1 </w:t>
      </w:r>
      <w:r w:rsidR="00EB16AC">
        <w:rPr>
          <w:rFonts w:ascii="Times New Roman" w:hAnsi="Times New Roman"/>
          <w:spacing w:val="-2"/>
          <w:sz w:val="16"/>
          <w:szCs w:val="16"/>
        </w:rPr>
        <w:t>StPO für Zeugen</w:t>
      </w:r>
      <w:r w:rsidR="00DF4848" w:rsidRPr="00DF4848">
        <w:rPr>
          <w:rFonts w:ascii="Times New Roman" w:hAnsi="Times New Roman"/>
          <w:spacing w:val="-2"/>
          <w:sz w:val="16"/>
          <w:szCs w:val="16"/>
        </w:rPr>
        <w:t xml:space="preserve">!). </w:t>
      </w:r>
      <w:r w:rsidRPr="00876507">
        <w:rPr>
          <w:rFonts w:ascii="Times New Roman" w:hAnsi="Times New Roman"/>
          <w:spacing w:val="-2"/>
          <w:sz w:val="16"/>
          <w:szCs w:val="16"/>
        </w:rPr>
        <w:t>Leistet er nicht Folge, kann er auch zwangsweise vorgeführt werden, §§ 133 ff. StPO.</w:t>
      </w:r>
    </w:p>
    <w:p w14:paraId="12EE3C76" w14:textId="54648607" w:rsidR="00001A77" w:rsidRPr="00876507" w:rsidRDefault="00001A77" w:rsidP="003650FE">
      <w:pPr>
        <w:widowControl/>
        <w:tabs>
          <w:tab w:val="left" w:pos="-720"/>
          <w:tab w:val="left" w:pos="284"/>
          <w:tab w:val="left" w:pos="864"/>
          <w:tab w:val="left" w:pos="1116"/>
          <w:tab w:val="left" w:pos="1404"/>
          <w:tab w:val="left" w:pos="1692"/>
          <w:tab w:val="left" w:pos="1980"/>
          <w:tab w:val="left" w:pos="2268"/>
          <w:tab w:val="left" w:pos="2880"/>
        </w:tabs>
        <w:spacing w:before="120" w:line="235" w:lineRule="auto"/>
        <w:ind w:left="284" w:hanging="284"/>
        <w:jc w:val="both"/>
        <w:rPr>
          <w:rFonts w:ascii="Times New Roman" w:hAnsi="Times New Roman"/>
          <w:spacing w:val="-2"/>
          <w:sz w:val="16"/>
          <w:szCs w:val="16"/>
        </w:rPr>
      </w:pPr>
      <w:r w:rsidRPr="00876507">
        <w:rPr>
          <w:rFonts w:ascii="Times New Roman" w:hAnsi="Times New Roman"/>
          <w:spacing w:val="-2"/>
          <w:sz w:val="16"/>
          <w:szCs w:val="16"/>
          <w:u w:val="single"/>
        </w:rPr>
        <w:t xml:space="preserve">2. </w:t>
      </w:r>
      <w:r w:rsidRPr="00876507">
        <w:rPr>
          <w:rFonts w:ascii="Times New Roman" w:hAnsi="Times New Roman"/>
          <w:spacing w:val="-2"/>
          <w:sz w:val="16"/>
          <w:szCs w:val="16"/>
          <w:u w:val="single"/>
        </w:rPr>
        <w:tab/>
        <w:t>Die Verteidigung:</w:t>
      </w:r>
      <w:r w:rsidRPr="00876507">
        <w:rPr>
          <w:rFonts w:ascii="Times New Roman" w:hAnsi="Times New Roman"/>
          <w:spacing w:val="-2"/>
          <w:sz w:val="16"/>
          <w:szCs w:val="16"/>
        </w:rPr>
        <w:t xml:space="preserve"> Der Verteidiger</w:t>
      </w:r>
      <w:r w:rsidR="005B4B84" w:rsidRPr="00876507">
        <w:rPr>
          <w:rFonts w:ascii="Times New Roman" w:hAnsi="Times New Roman"/>
          <w:spacing w:val="-2"/>
          <w:sz w:val="16"/>
          <w:szCs w:val="16"/>
        </w:rPr>
        <w:t xml:space="preserve"> ist (ent</w:t>
      </w:r>
      <w:r w:rsidR="00D34E7B" w:rsidRPr="00876507">
        <w:rPr>
          <w:rFonts w:ascii="Times New Roman" w:hAnsi="Times New Roman"/>
          <w:spacing w:val="-2"/>
          <w:sz w:val="16"/>
          <w:szCs w:val="16"/>
        </w:rPr>
        <w:t xml:space="preserve">gegen </w:t>
      </w:r>
      <w:r w:rsidR="005B4B84" w:rsidRPr="00876507">
        <w:rPr>
          <w:rFonts w:ascii="Times New Roman" w:hAnsi="Times New Roman"/>
          <w:spacing w:val="-2"/>
          <w:sz w:val="16"/>
          <w:szCs w:val="16"/>
        </w:rPr>
        <w:t xml:space="preserve">der </w:t>
      </w:r>
      <w:r w:rsidR="00D34E7B" w:rsidRPr="00876507">
        <w:rPr>
          <w:rFonts w:ascii="Times New Roman" w:hAnsi="Times New Roman"/>
          <w:spacing w:val="-2"/>
          <w:sz w:val="16"/>
          <w:szCs w:val="16"/>
        </w:rPr>
        <w:t>sog. Parteiinteressenvertretertheorie</w:t>
      </w:r>
      <w:r w:rsidR="005B4B84" w:rsidRPr="00876507">
        <w:rPr>
          <w:rFonts w:ascii="Times New Roman" w:hAnsi="Times New Roman"/>
          <w:spacing w:val="-2"/>
          <w:sz w:val="16"/>
          <w:szCs w:val="16"/>
        </w:rPr>
        <w:t>)</w:t>
      </w:r>
      <w:r w:rsidR="00D34E7B" w:rsidRPr="00876507">
        <w:rPr>
          <w:rFonts w:ascii="Times New Roman" w:hAnsi="Times New Roman"/>
          <w:spacing w:val="-2"/>
          <w:sz w:val="16"/>
          <w:szCs w:val="16"/>
        </w:rPr>
        <w:t xml:space="preserve"> </w:t>
      </w:r>
      <w:r w:rsidRPr="00876507">
        <w:rPr>
          <w:rFonts w:ascii="Times New Roman" w:hAnsi="Times New Roman"/>
          <w:spacing w:val="-2"/>
          <w:sz w:val="16"/>
          <w:szCs w:val="16"/>
        </w:rPr>
        <w:t xml:space="preserve">nicht nur einseitiger Vertreter des Verdächtigen, sondern ein </w:t>
      </w:r>
      <w:r w:rsidR="00D34E7B" w:rsidRPr="00876507">
        <w:rPr>
          <w:rFonts w:ascii="Times New Roman" w:hAnsi="Times New Roman"/>
          <w:spacing w:val="-2"/>
          <w:sz w:val="16"/>
          <w:szCs w:val="16"/>
        </w:rPr>
        <w:t xml:space="preserve">unabhängiges </w:t>
      </w:r>
      <w:r w:rsidRPr="00876507">
        <w:rPr>
          <w:rFonts w:ascii="Times New Roman" w:hAnsi="Times New Roman"/>
          <w:spacing w:val="-2"/>
          <w:sz w:val="16"/>
          <w:szCs w:val="16"/>
        </w:rPr>
        <w:t>Organ der Rechtspflege</w:t>
      </w:r>
      <w:r w:rsidR="00D34E7B" w:rsidRPr="00876507">
        <w:rPr>
          <w:rFonts w:ascii="Times New Roman" w:hAnsi="Times New Roman"/>
          <w:spacing w:val="-2"/>
          <w:sz w:val="16"/>
          <w:szCs w:val="16"/>
        </w:rPr>
        <w:t xml:space="preserve"> (vgl. § 1 BRAO; sog. Organtheorie)</w:t>
      </w:r>
      <w:r w:rsidRPr="00876507">
        <w:rPr>
          <w:rFonts w:ascii="Times New Roman" w:hAnsi="Times New Roman"/>
          <w:spacing w:val="-2"/>
          <w:sz w:val="16"/>
          <w:szCs w:val="16"/>
        </w:rPr>
        <w:t xml:space="preserve">, welches ebenso der Wahrheitsfindung verpflichtet ist. Hieraus ergibt sich ein besonderes Spannungsverhältnis, denn </w:t>
      </w:r>
      <w:proofErr w:type="spellStart"/>
      <w:r w:rsidRPr="00876507">
        <w:rPr>
          <w:rFonts w:ascii="Times New Roman" w:hAnsi="Times New Roman"/>
          <w:spacing w:val="-2"/>
          <w:sz w:val="16"/>
          <w:szCs w:val="16"/>
        </w:rPr>
        <w:t>grds</w:t>
      </w:r>
      <w:proofErr w:type="spellEnd"/>
      <w:r w:rsidRPr="00876507">
        <w:rPr>
          <w:rFonts w:ascii="Times New Roman" w:hAnsi="Times New Roman"/>
          <w:spacing w:val="-2"/>
          <w:sz w:val="16"/>
          <w:szCs w:val="16"/>
        </w:rPr>
        <w:t xml:space="preserve">. steht er – als Gegenpart zur </w:t>
      </w:r>
      <w:proofErr w:type="spellStart"/>
      <w:r w:rsidRPr="00876507">
        <w:rPr>
          <w:rFonts w:ascii="Times New Roman" w:hAnsi="Times New Roman"/>
          <w:spacing w:val="-2"/>
          <w:sz w:val="16"/>
          <w:szCs w:val="16"/>
        </w:rPr>
        <w:t>StA</w:t>
      </w:r>
      <w:proofErr w:type="spellEnd"/>
      <w:r w:rsidRPr="00876507">
        <w:rPr>
          <w:rFonts w:ascii="Times New Roman" w:hAnsi="Times New Roman"/>
          <w:spacing w:val="-2"/>
          <w:sz w:val="16"/>
          <w:szCs w:val="16"/>
        </w:rPr>
        <w:t xml:space="preserve"> – auf der Seite des </w:t>
      </w:r>
      <w:r w:rsidR="00A86A7F">
        <w:rPr>
          <w:rFonts w:ascii="Times New Roman" w:hAnsi="Times New Roman"/>
          <w:spacing w:val="-2"/>
          <w:sz w:val="16"/>
          <w:szCs w:val="16"/>
        </w:rPr>
        <w:t>Beschuldigten</w:t>
      </w:r>
      <w:r w:rsidRPr="00876507">
        <w:rPr>
          <w:rFonts w:ascii="Times New Roman" w:hAnsi="Times New Roman"/>
          <w:spacing w:val="-2"/>
          <w:sz w:val="16"/>
          <w:szCs w:val="16"/>
        </w:rPr>
        <w:t xml:space="preserve">. Interessant ist in diesem Zusammenhang auch die Frage nach einer möglichen Strafbarkeit des Verteidigers wegen einer Strafvereitelung, § 258 StGB. Eine solche kommt aber nur in Betracht, wenn der Verteidiger prozessual unzulässige Maßnahmen ergreift. Eine ihm bekannte Schuld des Verdächtigen muss er nicht offenbaren. </w:t>
      </w:r>
      <w:proofErr w:type="spellStart"/>
      <w:r w:rsidRPr="00876507">
        <w:rPr>
          <w:rFonts w:ascii="Times New Roman" w:hAnsi="Times New Roman"/>
          <w:spacing w:val="-2"/>
          <w:sz w:val="16"/>
          <w:szCs w:val="16"/>
        </w:rPr>
        <w:t>Grds</w:t>
      </w:r>
      <w:proofErr w:type="spellEnd"/>
      <w:r w:rsidRPr="00876507">
        <w:rPr>
          <w:rFonts w:ascii="Times New Roman" w:hAnsi="Times New Roman"/>
          <w:spacing w:val="-2"/>
          <w:sz w:val="16"/>
          <w:szCs w:val="16"/>
        </w:rPr>
        <w:t xml:space="preserve">. steht es dem Beschuldigten frei, sich zu jedem Zeitpunkt des Verfahrens eines Verteidigers zu bedienen. Unter den Voraussetzungen des </w:t>
      </w:r>
      <w:r w:rsidRPr="00876507">
        <w:rPr>
          <w:rFonts w:ascii="Times New Roman" w:hAnsi="Times New Roman"/>
          <w:b/>
          <w:spacing w:val="-2"/>
          <w:sz w:val="16"/>
          <w:szCs w:val="16"/>
        </w:rPr>
        <w:t>§ 140 StPO</w:t>
      </w:r>
      <w:r w:rsidRPr="00876507">
        <w:rPr>
          <w:rFonts w:ascii="Times New Roman" w:hAnsi="Times New Roman"/>
          <w:spacing w:val="-2"/>
          <w:sz w:val="16"/>
          <w:szCs w:val="16"/>
        </w:rPr>
        <w:t xml:space="preserve"> (insb. bei Vorwurf eines Verbrechens oder Ausschluss des bisherigen Verteidigers) ist ein (Pflicht-)Verteidiger zwingend vorgeschrieben und dem Betreffenden zu bestellen, sofern er noch keinen Wahlverteidiger hat. Zu den wichtigsten Rechten der Verteidigung zählt das Recht zur Akteneinsicht</w:t>
      </w:r>
      <w:r w:rsidR="00BB2EE6">
        <w:rPr>
          <w:rFonts w:ascii="Times New Roman" w:hAnsi="Times New Roman"/>
          <w:spacing w:val="-2"/>
          <w:sz w:val="16"/>
          <w:szCs w:val="16"/>
        </w:rPr>
        <w:t xml:space="preserve"> (</w:t>
      </w:r>
      <w:r w:rsidRPr="00876507">
        <w:rPr>
          <w:rFonts w:ascii="Times New Roman" w:hAnsi="Times New Roman"/>
          <w:spacing w:val="-2"/>
          <w:sz w:val="16"/>
          <w:szCs w:val="16"/>
        </w:rPr>
        <w:t>§ 147 StPO</w:t>
      </w:r>
      <w:r w:rsidR="00BB2EE6">
        <w:rPr>
          <w:rFonts w:ascii="Times New Roman" w:hAnsi="Times New Roman"/>
          <w:spacing w:val="-2"/>
          <w:sz w:val="16"/>
          <w:szCs w:val="16"/>
        </w:rPr>
        <w:t>)</w:t>
      </w:r>
      <w:r w:rsidRPr="00876507">
        <w:rPr>
          <w:rFonts w:ascii="Times New Roman" w:hAnsi="Times New Roman"/>
          <w:spacing w:val="-2"/>
          <w:sz w:val="16"/>
          <w:szCs w:val="16"/>
        </w:rPr>
        <w:t>, das Recht zum freien Verkehr mit dem Mandanten</w:t>
      </w:r>
      <w:r w:rsidR="00BB2EE6">
        <w:rPr>
          <w:rFonts w:ascii="Times New Roman" w:hAnsi="Times New Roman"/>
          <w:spacing w:val="-2"/>
          <w:sz w:val="16"/>
          <w:szCs w:val="16"/>
        </w:rPr>
        <w:t xml:space="preserve"> (</w:t>
      </w:r>
      <w:r w:rsidRPr="00876507">
        <w:rPr>
          <w:rFonts w:ascii="Times New Roman" w:hAnsi="Times New Roman"/>
          <w:spacing w:val="-2"/>
          <w:sz w:val="16"/>
          <w:szCs w:val="16"/>
        </w:rPr>
        <w:t>§ 148 StPO</w:t>
      </w:r>
      <w:r w:rsidR="00BB2EE6">
        <w:rPr>
          <w:rFonts w:ascii="Times New Roman" w:hAnsi="Times New Roman"/>
          <w:spacing w:val="-2"/>
          <w:sz w:val="16"/>
          <w:szCs w:val="16"/>
        </w:rPr>
        <w:t>)</w:t>
      </w:r>
      <w:r w:rsidRPr="00876507">
        <w:rPr>
          <w:rFonts w:ascii="Times New Roman" w:hAnsi="Times New Roman"/>
          <w:spacing w:val="-2"/>
          <w:sz w:val="16"/>
          <w:szCs w:val="16"/>
        </w:rPr>
        <w:t>, das Recht zur Anwesenheit in der Hauptverhandlung und bei Vernehmungen des Beschuldigten im Vorverfahren</w:t>
      </w:r>
      <w:r w:rsidR="00BB2EE6">
        <w:rPr>
          <w:rFonts w:ascii="Times New Roman" w:hAnsi="Times New Roman"/>
          <w:spacing w:val="-2"/>
          <w:sz w:val="16"/>
          <w:szCs w:val="16"/>
        </w:rPr>
        <w:t xml:space="preserve"> (§ 168c I 1 StPO ggf. </w:t>
      </w:r>
      <w:proofErr w:type="spellStart"/>
      <w:r w:rsidR="00BB2EE6">
        <w:rPr>
          <w:rFonts w:ascii="Times New Roman" w:hAnsi="Times New Roman"/>
          <w:spacing w:val="-2"/>
          <w:sz w:val="16"/>
          <w:szCs w:val="16"/>
        </w:rPr>
        <w:t>i.V.m</w:t>
      </w:r>
      <w:proofErr w:type="spellEnd"/>
      <w:r w:rsidR="00BB2EE6">
        <w:rPr>
          <w:rFonts w:ascii="Times New Roman" w:hAnsi="Times New Roman"/>
          <w:spacing w:val="-2"/>
          <w:sz w:val="16"/>
          <w:szCs w:val="16"/>
        </w:rPr>
        <w:t>. § 163a III 2 bzw. IV III StPO)</w:t>
      </w:r>
      <w:r w:rsidRPr="00876507">
        <w:rPr>
          <w:rFonts w:ascii="Times New Roman" w:hAnsi="Times New Roman"/>
          <w:spacing w:val="-2"/>
          <w:sz w:val="16"/>
          <w:szCs w:val="16"/>
        </w:rPr>
        <w:t>. Der Verteidiger ist über den Termin der Vernehmung zu informieren, § 168c I</w:t>
      </w:r>
      <w:r w:rsidR="00624439">
        <w:rPr>
          <w:rFonts w:ascii="Times New Roman" w:hAnsi="Times New Roman"/>
          <w:spacing w:val="-2"/>
          <w:sz w:val="16"/>
          <w:szCs w:val="16"/>
        </w:rPr>
        <w:t xml:space="preserve"> 1</w:t>
      </w:r>
      <w:r w:rsidRPr="00876507">
        <w:rPr>
          <w:rFonts w:ascii="Times New Roman" w:hAnsi="Times New Roman"/>
          <w:spacing w:val="-2"/>
          <w:sz w:val="16"/>
          <w:szCs w:val="16"/>
        </w:rPr>
        <w:t>, V </w:t>
      </w:r>
      <w:r w:rsidR="00624439">
        <w:rPr>
          <w:rFonts w:ascii="Times New Roman" w:hAnsi="Times New Roman"/>
          <w:spacing w:val="-2"/>
          <w:sz w:val="16"/>
          <w:szCs w:val="16"/>
        </w:rPr>
        <w:t xml:space="preserve">1 </w:t>
      </w:r>
      <w:r w:rsidRPr="00876507">
        <w:rPr>
          <w:rFonts w:ascii="Times New Roman" w:hAnsi="Times New Roman"/>
          <w:spacing w:val="-2"/>
          <w:sz w:val="16"/>
          <w:szCs w:val="16"/>
        </w:rPr>
        <w:t xml:space="preserve">StPO; ein Verstoß gegen diese Informationspflicht kann ein </w:t>
      </w:r>
      <w:r w:rsidRPr="00876507">
        <w:rPr>
          <w:rFonts w:ascii="Times New Roman" w:hAnsi="Times New Roman"/>
          <w:b/>
          <w:spacing w:val="-2"/>
          <w:sz w:val="16"/>
          <w:szCs w:val="16"/>
        </w:rPr>
        <w:t xml:space="preserve">Verwertungsverbot </w:t>
      </w:r>
      <w:r w:rsidRPr="00876507">
        <w:rPr>
          <w:rFonts w:ascii="Times New Roman" w:hAnsi="Times New Roman"/>
          <w:spacing w:val="-2"/>
          <w:sz w:val="16"/>
          <w:szCs w:val="16"/>
        </w:rPr>
        <w:t>bzgl. der Aussage nach sich ziehen (</w:t>
      </w:r>
      <w:r w:rsidRPr="00876507">
        <w:rPr>
          <w:rFonts w:ascii="Times New Roman" w:hAnsi="Times New Roman"/>
          <w:b/>
          <w:spacing w:val="-2"/>
          <w:sz w:val="16"/>
          <w:szCs w:val="16"/>
        </w:rPr>
        <w:t>BGH NStZ 2003, 671</w:t>
      </w:r>
      <w:r w:rsidRPr="00876507">
        <w:rPr>
          <w:rFonts w:ascii="Times New Roman" w:hAnsi="Times New Roman"/>
          <w:spacing w:val="-2"/>
          <w:sz w:val="16"/>
          <w:szCs w:val="16"/>
        </w:rPr>
        <w:t>), aber wohl nicht, wenn dem Beschuldigten das Recht, einen Verteidiger hinzuzuziehen</w:t>
      </w:r>
      <w:r w:rsidR="00787897">
        <w:rPr>
          <w:rFonts w:ascii="Times New Roman" w:hAnsi="Times New Roman"/>
          <w:spacing w:val="-2"/>
          <w:sz w:val="16"/>
          <w:szCs w:val="16"/>
        </w:rPr>
        <w:t>,</w:t>
      </w:r>
      <w:r w:rsidRPr="00876507">
        <w:rPr>
          <w:rFonts w:ascii="Times New Roman" w:hAnsi="Times New Roman"/>
          <w:spacing w:val="-2"/>
          <w:sz w:val="16"/>
          <w:szCs w:val="16"/>
        </w:rPr>
        <w:t xml:space="preserve"> bekannt war und er dennoch aussagt (</w:t>
      </w:r>
      <w:r w:rsidRPr="00876507">
        <w:rPr>
          <w:rFonts w:ascii="Times New Roman" w:hAnsi="Times New Roman"/>
          <w:b/>
          <w:spacing w:val="-2"/>
          <w:sz w:val="16"/>
          <w:szCs w:val="16"/>
        </w:rPr>
        <w:t>BGHSt 53, 191</w:t>
      </w:r>
      <w:r w:rsidRPr="00876507">
        <w:rPr>
          <w:rFonts w:ascii="Times New Roman" w:hAnsi="Times New Roman"/>
          <w:spacing w:val="-2"/>
          <w:sz w:val="16"/>
          <w:szCs w:val="16"/>
        </w:rPr>
        <w:t>).</w:t>
      </w:r>
    </w:p>
    <w:p w14:paraId="58923011" w14:textId="6848A495" w:rsidR="00001A77" w:rsidRPr="00876507" w:rsidRDefault="00001A77" w:rsidP="003650FE">
      <w:pPr>
        <w:widowControl/>
        <w:tabs>
          <w:tab w:val="left" w:pos="-720"/>
          <w:tab w:val="left" w:pos="288"/>
          <w:tab w:val="left" w:pos="567"/>
          <w:tab w:val="left" w:pos="864"/>
          <w:tab w:val="left" w:pos="1116"/>
          <w:tab w:val="left" w:pos="1404"/>
          <w:tab w:val="left" w:pos="1692"/>
          <w:tab w:val="left" w:pos="1980"/>
          <w:tab w:val="left" w:pos="2268"/>
          <w:tab w:val="left" w:pos="2880"/>
        </w:tabs>
        <w:spacing w:before="120" w:line="235" w:lineRule="auto"/>
        <w:ind w:left="284" w:hanging="284"/>
        <w:jc w:val="both"/>
        <w:rPr>
          <w:rFonts w:ascii="Times New Roman" w:hAnsi="Times New Roman"/>
          <w:spacing w:val="-2"/>
          <w:sz w:val="16"/>
          <w:szCs w:val="16"/>
        </w:rPr>
      </w:pPr>
      <w:r w:rsidRPr="00876507">
        <w:rPr>
          <w:rFonts w:ascii="Times New Roman" w:hAnsi="Times New Roman"/>
          <w:spacing w:val="-2"/>
          <w:sz w:val="16"/>
          <w:szCs w:val="16"/>
          <w:u w:val="single"/>
        </w:rPr>
        <w:t xml:space="preserve">3. </w:t>
      </w:r>
      <w:r w:rsidRPr="00876507">
        <w:rPr>
          <w:rFonts w:ascii="Times New Roman" w:hAnsi="Times New Roman"/>
          <w:spacing w:val="-2"/>
          <w:sz w:val="16"/>
          <w:szCs w:val="16"/>
          <w:u w:val="single"/>
        </w:rPr>
        <w:tab/>
        <w:t>Die Beweispersonen:</w:t>
      </w:r>
      <w:r w:rsidRPr="00876507">
        <w:rPr>
          <w:rFonts w:ascii="Times New Roman" w:hAnsi="Times New Roman"/>
          <w:spacing w:val="-2"/>
          <w:sz w:val="16"/>
          <w:szCs w:val="16"/>
        </w:rPr>
        <w:t xml:space="preserve"> Zu den Beweispersonen gehören Zeugen</w:t>
      </w:r>
      <w:r w:rsidR="00624439">
        <w:rPr>
          <w:rFonts w:ascii="Times New Roman" w:hAnsi="Times New Roman"/>
          <w:spacing w:val="-2"/>
          <w:sz w:val="16"/>
          <w:szCs w:val="16"/>
        </w:rPr>
        <w:t xml:space="preserve"> (</w:t>
      </w:r>
      <w:r w:rsidRPr="00876507">
        <w:rPr>
          <w:rFonts w:ascii="Times New Roman" w:hAnsi="Times New Roman"/>
          <w:spacing w:val="-2"/>
          <w:sz w:val="16"/>
          <w:szCs w:val="16"/>
        </w:rPr>
        <w:t>§§ 48 ff. StPO</w:t>
      </w:r>
      <w:r w:rsidR="00624439">
        <w:rPr>
          <w:rFonts w:ascii="Times New Roman" w:hAnsi="Times New Roman"/>
          <w:spacing w:val="-2"/>
          <w:sz w:val="16"/>
          <w:szCs w:val="16"/>
        </w:rPr>
        <w:t>)</w:t>
      </w:r>
      <w:r w:rsidRPr="00876507">
        <w:rPr>
          <w:rFonts w:ascii="Times New Roman" w:hAnsi="Times New Roman"/>
          <w:spacing w:val="-2"/>
          <w:sz w:val="16"/>
          <w:szCs w:val="16"/>
        </w:rPr>
        <w:t xml:space="preserve"> und Sachverständige</w:t>
      </w:r>
      <w:r w:rsidR="00624439">
        <w:rPr>
          <w:rFonts w:ascii="Times New Roman" w:hAnsi="Times New Roman"/>
          <w:spacing w:val="-2"/>
          <w:sz w:val="16"/>
          <w:szCs w:val="16"/>
        </w:rPr>
        <w:t xml:space="preserve"> (</w:t>
      </w:r>
      <w:r w:rsidRPr="00876507">
        <w:rPr>
          <w:rFonts w:ascii="Times New Roman" w:hAnsi="Times New Roman"/>
          <w:spacing w:val="-2"/>
          <w:sz w:val="16"/>
          <w:szCs w:val="16"/>
        </w:rPr>
        <w:t>§§ 72 ff. StPO</w:t>
      </w:r>
      <w:r w:rsidR="00624439">
        <w:rPr>
          <w:rFonts w:ascii="Times New Roman" w:hAnsi="Times New Roman"/>
          <w:spacing w:val="-2"/>
          <w:sz w:val="16"/>
          <w:szCs w:val="16"/>
        </w:rPr>
        <w:t>)</w:t>
      </w:r>
      <w:r w:rsidRPr="00876507">
        <w:rPr>
          <w:rFonts w:ascii="Times New Roman" w:hAnsi="Times New Roman"/>
          <w:spacing w:val="-2"/>
          <w:sz w:val="16"/>
          <w:szCs w:val="16"/>
        </w:rPr>
        <w:t xml:space="preserve">. Zeugen haben drei Grundpflichten: Sie müssen </w:t>
      </w:r>
      <w:proofErr w:type="spellStart"/>
      <w:r w:rsidRPr="00876507">
        <w:rPr>
          <w:rFonts w:ascii="Times New Roman" w:hAnsi="Times New Roman"/>
          <w:spacing w:val="-2"/>
          <w:sz w:val="16"/>
          <w:szCs w:val="16"/>
        </w:rPr>
        <w:t>grds</w:t>
      </w:r>
      <w:proofErr w:type="spellEnd"/>
      <w:r w:rsidRPr="00876507">
        <w:rPr>
          <w:rFonts w:ascii="Times New Roman" w:hAnsi="Times New Roman"/>
          <w:spacing w:val="-2"/>
          <w:sz w:val="16"/>
          <w:szCs w:val="16"/>
        </w:rPr>
        <w:t xml:space="preserve">. erscheinen, aussagen und, wenn gefordert, ihre Aussage auch beeiden. Die </w:t>
      </w:r>
      <w:r w:rsidRPr="00876507">
        <w:rPr>
          <w:rFonts w:ascii="Times New Roman" w:hAnsi="Times New Roman"/>
          <w:b/>
          <w:spacing w:val="-2"/>
          <w:sz w:val="16"/>
          <w:szCs w:val="16"/>
        </w:rPr>
        <w:t>§§ 52 ff. StPO</w:t>
      </w:r>
      <w:r w:rsidRPr="00876507">
        <w:rPr>
          <w:rFonts w:ascii="Times New Roman" w:hAnsi="Times New Roman"/>
          <w:spacing w:val="-2"/>
          <w:sz w:val="16"/>
          <w:szCs w:val="16"/>
        </w:rPr>
        <w:t xml:space="preserve"> regeln Zeugnisverweigerungsrechte der Zeugen (siehe dazu Arbeitsblatt Nr. 25). Ein solches Recht, gar nicht auszusagen, steht insb</w:t>
      </w:r>
      <w:r w:rsidR="00624439">
        <w:rPr>
          <w:rFonts w:ascii="Times New Roman" w:hAnsi="Times New Roman"/>
          <w:spacing w:val="-2"/>
          <w:sz w:val="16"/>
          <w:szCs w:val="16"/>
        </w:rPr>
        <w:t>.</w:t>
      </w:r>
      <w:r w:rsidRPr="00876507">
        <w:rPr>
          <w:rFonts w:ascii="Times New Roman" w:hAnsi="Times New Roman"/>
          <w:spacing w:val="-2"/>
          <w:sz w:val="16"/>
          <w:szCs w:val="16"/>
        </w:rPr>
        <w:t xml:space="preserve"> den Verlobten, Ehegatten oder Lebenspartnern und Verwandten des Beschuldigten sowie den Berufsgeheimnisträgern zu. Davon zu unterscheiden ist das jedermann betreffende Recht eines Zeugen zur Verweigerung der Aussage bzgl. solcher Fragen, deren Beantwortung den Zeugen selbst oder einen Angehörigen belasten würde, § 55 StPO. Sachverständige werden vom Gericht bestellt. Auch sie haben </w:t>
      </w:r>
      <w:proofErr w:type="spellStart"/>
      <w:r w:rsidRPr="00876507">
        <w:rPr>
          <w:rFonts w:ascii="Times New Roman" w:hAnsi="Times New Roman"/>
          <w:spacing w:val="-2"/>
          <w:sz w:val="16"/>
          <w:szCs w:val="16"/>
        </w:rPr>
        <w:t>grds</w:t>
      </w:r>
      <w:proofErr w:type="spellEnd"/>
      <w:r w:rsidRPr="00876507">
        <w:rPr>
          <w:rFonts w:ascii="Times New Roman" w:hAnsi="Times New Roman"/>
          <w:spacing w:val="-2"/>
          <w:sz w:val="16"/>
          <w:szCs w:val="16"/>
        </w:rPr>
        <w:t>. die Pflicht, ein Gutachten zu erstellen. § 76 StPO verweist bzgl. der Gutachtenverweigerungsrechte auf die Zeugnisverweigerungsrechte gemäß den §§ 52 ff. StPO.</w:t>
      </w:r>
    </w:p>
    <w:p w14:paraId="7B4AD4AA" w14:textId="27FC42D9" w:rsidR="00001A77" w:rsidRPr="00876507" w:rsidRDefault="00001A77" w:rsidP="003650FE">
      <w:pPr>
        <w:spacing w:before="120" w:line="235" w:lineRule="auto"/>
        <w:ind w:left="284" w:hanging="284"/>
        <w:jc w:val="both"/>
        <w:rPr>
          <w:rFonts w:ascii="Times New Roman" w:hAnsi="Times New Roman"/>
          <w:spacing w:val="-2"/>
          <w:sz w:val="16"/>
          <w:szCs w:val="16"/>
        </w:rPr>
      </w:pPr>
      <w:r w:rsidRPr="00876507">
        <w:rPr>
          <w:rFonts w:ascii="Times New Roman" w:hAnsi="Times New Roman"/>
          <w:spacing w:val="-2"/>
          <w:sz w:val="16"/>
          <w:szCs w:val="16"/>
          <w:u w:val="single"/>
        </w:rPr>
        <w:t xml:space="preserve">4. </w:t>
      </w:r>
      <w:r w:rsidRPr="00876507">
        <w:rPr>
          <w:rFonts w:ascii="Times New Roman" w:hAnsi="Times New Roman"/>
          <w:spacing w:val="-2"/>
          <w:sz w:val="16"/>
          <w:szCs w:val="16"/>
          <w:u w:val="single"/>
        </w:rPr>
        <w:tab/>
        <w:t>Die Verletzten:</w:t>
      </w:r>
      <w:r w:rsidRPr="00876507">
        <w:rPr>
          <w:rFonts w:ascii="Times New Roman" w:hAnsi="Times New Roman"/>
          <w:spacing w:val="-2"/>
          <w:sz w:val="16"/>
          <w:szCs w:val="16"/>
        </w:rPr>
        <w:t xml:space="preserve"> Wer durch eine Straftat in seinen Rechten beeinträchtigt wurde, ist im Strafprozess – anders als im Zivilrecht – </w:t>
      </w:r>
      <w:proofErr w:type="spellStart"/>
      <w:r w:rsidRPr="00876507">
        <w:rPr>
          <w:rFonts w:ascii="Times New Roman" w:hAnsi="Times New Roman"/>
          <w:spacing w:val="-2"/>
          <w:sz w:val="16"/>
          <w:szCs w:val="16"/>
        </w:rPr>
        <w:t>grds</w:t>
      </w:r>
      <w:proofErr w:type="spellEnd"/>
      <w:r w:rsidRPr="00876507">
        <w:rPr>
          <w:rFonts w:ascii="Times New Roman" w:hAnsi="Times New Roman"/>
          <w:spacing w:val="-2"/>
          <w:sz w:val="16"/>
          <w:szCs w:val="16"/>
        </w:rPr>
        <w:t xml:space="preserve">. </w:t>
      </w:r>
      <w:r w:rsidR="00500B23">
        <w:rPr>
          <w:rFonts w:ascii="Times New Roman" w:hAnsi="Times New Roman"/>
          <w:spacing w:val="-2"/>
          <w:sz w:val="16"/>
          <w:szCs w:val="16"/>
        </w:rPr>
        <w:t>nicht unmittelbar Verfahrensbeteiligter,</w:t>
      </w:r>
      <w:r w:rsidR="00500B23" w:rsidRPr="00500B23">
        <w:rPr>
          <w:rFonts w:ascii="Times New Roman" w:hAnsi="Times New Roman"/>
          <w:spacing w:val="-2"/>
          <w:sz w:val="16"/>
          <w:szCs w:val="16"/>
        </w:rPr>
        <w:t xml:space="preserve"> </w:t>
      </w:r>
      <w:r w:rsidR="00500B23" w:rsidRPr="00876507">
        <w:rPr>
          <w:rFonts w:ascii="Times New Roman" w:hAnsi="Times New Roman"/>
          <w:spacing w:val="-2"/>
          <w:sz w:val="16"/>
          <w:szCs w:val="16"/>
        </w:rPr>
        <w:t>denn die Strafverfolgung wird von Seiten des Staates betrieben</w:t>
      </w:r>
      <w:r w:rsidR="00500B23">
        <w:rPr>
          <w:rFonts w:ascii="Times New Roman" w:hAnsi="Times New Roman"/>
          <w:spacing w:val="-2"/>
          <w:sz w:val="16"/>
          <w:szCs w:val="16"/>
        </w:rPr>
        <w:t xml:space="preserve"> (Offizialprinzip, § 152 I StPO)</w:t>
      </w:r>
      <w:r w:rsidR="00500B23" w:rsidRPr="00876507">
        <w:rPr>
          <w:rFonts w:ascii="Times New Roman" w:hAnsi="Times New Roman"/>
          <w:spacing w:val="-2"/>
          <w:sz w:val="16"/>
          <w:szCs w:val="16"/>
        </w:rPr>
        <w:t>.</w:t>
      </w:r>
      <w:r w:rsidR="00E03BB1">
        <w:rPr>
          <w:rFonts w:ascii="Times New Roman" w:hAnsi="Times New Roman"/>
          <w:spacing w:val="-2"/>
          <w:sz w:val="16"/>
          <w:szCs w:val="16"/>
        </w:rPr>
        <w:t xml:space="preserve"> </w:t>
      </w:r>
      <w:r w:rsidR="00500B23">
        <w:rPr>
          <w:rFonts w:ascii="Times New Roman" w:hAnsi="Times New Roman"/>
          <w:spacing w:val="-2"/>
          <w:sz w:val="16"/>
          <w:szCs w:val="16"/>
        </w:rPr>
        <w:t>Der Betroffene kann aber dem Verfahren als Beteiligter (z.B. als</w:t>
      </w:r>
      <w:r w:rsidR="00500B23" w:rsidRPr="00876507">
        <w:rPr>
          <w:rFonts w:ascii="Times New Roman" w:hAnsi="Times New Roman"/>
          <w:spacing w:val="-2"/>
          <w:sz w:val="16"/>
          <w:szCs w:val="16"/>
        </w:rPr>
        <w:t xml:space="preserve"> Zeuge</w:t>
      </w:r>
      <w:r w:rsidR="00500B23">
        <w:rPr>
          <w:rFonts w:ascii="Times New Roman" w:hAnsi="Times New Roman"/>
          <w:spacing w:val="-2"/>
          <w:sz w:val="16"/>
          <w:szCs w:val="16"/>
        </w:rPr>
        <w:t>) hinzugezogen werden</w:t>
      </w:r>
      <w:r w:rsidR="00E03BB1">
        <w:rPr>
          <w:rFonts w:ascii="Times New Roman" w:hAnsi="Times New Roman"/>
          <w:spacing w:val="-2"/>
          <w:sz w:val="16"/>
          <w:szCs w:val="16"/>
        </w:rPr>
        <w:t>.</w:t>
      </w:r>
      <w:r w:rsidR="00500B23">
        <w:rPr>
          <w:rFonts w:ascii="Times New Roman" w:hAnsi="Times New Roman"/>
          <w:spacing w:val="-2"/>
          <w:sz w:val="16"/>
          <w:szCs w:val="16"/>
        </w:rPr>
        <w:t xml:space="preserve"> </w:t>
      </w:r>
      <w:r w:rsidR="00624439">
        <w:rPr>
          <w:rFonts w:ascii="Times New Roman" w:hAnsi="Times New Roman"/>
          <w:spacing w:val="-2"/>
          <w:sz w:val="16"/>
          <w:szCs w:val="16"/>
        </w:rPr>
        <w:t>Unabhängig davon</w:t>
      </w:r>
      <w:r w:rsidR="00624439" w:rsidRPr="00876507">
        <w:rPr>
          <w:rFonts w:ascii="Times New Roman" w:hAnsi="Times New Roman"/>
          <w:spacing w:val="-2"/>
          <w:sz w:val="16"/>
          <w:szCs w:val="16"/>
        </w:rPr>
        <w:t xml:space="preserve"> </w:t>
      </w:r>
      <w:r w:rsidRPr="00876507">
        <w:rPr>
          <w:rFonts w:ascii="Times New Roman" w:hAnsi="Times New Roman"/>
          <w:spacing w:val="-2"/>
          <w:sz w:val="16"/>
          <w:szCs w:val="16"/>
        </w:rPr>
        <w:t xml:space="preserve">kommen ihm wichtige Funktionen und Rechte zu. So ist bei Antragsdelikten </w:t>
      </w:r>
      <w:proofErr w:type="spellStart"/>
      <w:r w:rsidRPr="00876507">
        <w:rPr>
          <w:rFonts w:ascii="Times New Roman" w:hAnsi="Times New Roman"/>
          <w:spacing w:val="-2"/>
          <w:sz w:val="16"/>
          <w:szCs w:val="16"/>
        </w:rPr>
        <w:t>i</w:t>
      </w:r>
      <w:r w:rsidR="003B6D18">
        <w:rPr>
          <w:rFonts w:ascii="Times New Roman" w:hAnsi="Times New Roman"/>
          <w:spacing w:val="-2"/>
          <w:sz w:val="16"/>
          <w:szCs w:val="16"/>
        </w:rPr>
        <w:t>.</w:t>
      </w:r>
      <w:r w:rsidRPr="00876507">
        <w:rPr>
          <w:rFonts w:ascii="Times New Roman" w:hAnsi="Times New Roman"/>
          <w:spacing w:val="-2"/>
          <w:sz w:val="16"/>
          <w:szCs w:val="16"/>
        </w:rPr>
        <w:t>S</w:t>
      </w:r>
      <w:r w:rsidR="003B6D18">
        <w:rPr>
          <w:rFonts w:ascii="Times New Roman" w:hAnsi="Times New Roman"/>
          <w:spacing w:val="-2"/>
          <w:sz w:val="16"/>
          <w:szCs w:val="16"/>
        </w:rPr>
        <w:t>.</w:t>
      </w:r>
      <w:r w:rsidRPr="00876507">
        <w:rPr>
          <w:rFonts w:ascii="Times New Roman" w:hAnsi="Times New Roman"/>
          <w:spacing w:val="-2"/>
          <w:sz w:val="16"/>
          <w:szCs w:val="16"/>
        </w:rPr>
        <w:t>d</w:t>
      </w:r>
      <w:proofErr w:type="spellEnd"/>
      <w:r w:rsidR="003B6D18">
        <w:rPr>
          <w:rFonts w:ascii="Times New Roman" w:hAnsi="Times New Roman"/>
          <w:spacing w:val="-2"/>
          <w:sz w:val="16"/>
          <w:szCs w:val="16"/>
        </w:rPr>
        <w:t>.</w:t>
      </w:r>
      <w:r w:rsidRPr="00876507">
        <w:rPr>
          <w:rFonts w:ascii="Times New Roman" w:hAnsi="Times New Roman"/>
          <w:spacing w:val="-2"/>
          <w:sz w:val="16"/>
          <w:szCs w:val="16"/>
        </w:rPr>
        <w:t xml:space="preserve"> § 77 StGB die Strafverfolgung von einem Antrag des Verletzten abhängig, sodass sie oftmals erst auf dessen Betreiben hin in Gang kommt. Neben dem formellen Strafantrag kommen bei sonstigen Delikten die Strafanzeige oder ein Strafantrag im weiteren Sinne, § 158 StPO, durch den Betroffenen in Betracht (vgl. Arbeitsblatt Nr. 2). Bestimmte Delikte können von dem Verletzten im Wege der Privatklage verfolgt werden, § 374 StPO (siehe Arbeitsblatt Nr.</w:t>
      </w:r>
      <w:r w:rsidR="00B66CA7">
        <w:rPr>
          <w:rFonts w:ascii="Times New Roman" w:hAnsi="Times New Roman"/>
          <w:spacing w:val="-2"/>
          <w:sz w:val="16"/>
          <w:szCs w:val="16"/>
        </w:rPr>
        <w:t> </w:t>
      </w:r>
      <w:r w:rsidRPr="00876507">
        <w:rPr>
          <w:rFonts w:ascii="Times New Roman" w:hAnsi="Times New Roman"/>
          <w:spacing w:val="-2"/>
          <w:sz w:val="16"/>
          <w:szCs w:val="16"/>
        </w:rPr>
        <w:t xml:space="preserve"> 48). Des Weiteren kann der Verletzte gemäß den §§ 172 ff. StPO ein Klageerzwingungsverfahren betreiben, wenn die </w:t>
      </w:r>
      <w:proofErr w:type="spellStart"/>
      <w:r w:rsidRPr="00876507">
        <w:rPr>
          <w:rFonts w:ascii="Times New Roman" w:hAnsi="Times New Roman"/>
          <w:spacing w:val="-2"/>
          <w:sz w:val="16"/>
          <w:szCs w:val="16"/>
        </w:rPr>
        <w:t>StA</w:t>
      </w:r>
      <w:proofErr w:type="spellEnd"/>
      <w:r w:rsidRPr="00876507">
        <w:rPr>
          <w:rFonts w:ascii="Times New Roman" w:hAnsi="Times New Roman"/>
          <w:spacing w:val="-2"/>
          <w:sz w:val="16"/>
          <w:szCs w:val="16"/>
        </w:rPr>
        <w:t xml:space="preserve"> das Verfahren eingestellt hat (siehe Arbeitsblatt Nr. 35). Zudem steht ihm bei bestimmten Straftaten das Recht zu, sich der Klage als Nebenkläger anzuschließen, §§ 395 ff. StPO (s</w:t>
      </w:r>
      <w:r w:rsidR="00523F08">
        <w:rPr>
          <w:rFonts w:ascii="Times New Roman" w:hAnsi="Times New Roman"/>
          <w:spacing w:val="-2"/>
          <w:sz w:val="16"/>
          <w:szCs w:val="16"/>
        </w:rPr>
        <w:t>iehe</w:t>
      </w:r>
      <w:r w:rsidRPr="00876507">
        <w:rPr>
          <w:rFonts w:ascii="Times New Roman" w:hAnsi="Times New Roman"/>
          <w:spacing w:val="-2"/>
          <w:sz w:val="16"/>
          <w:szCs w:val="16"/>
        </w:rPr>
        <w:t xml:space="preserve"> Arbeitsblatt Nr. 49). Schließlich bieten die §§ 403 ff. StGB die Möglichkeit, im sog. Adhäsionsverfahren bereits im Strafprozess zivilrechtliche Entschädigungsansprüche geltend zu machen.</w:t>
      </w:r>
    </w:p>
    <w:p w14:paraId="00CD6B75" w14:textId="77777777" w:rsidR="00001A77" w:rsidRPr="00DA0168" w:rsidRDefault="00001A77" w:rsidP="003650FE">
      <w:pPr>
        <w:spacing w:line="235" w:lineRule="auto"/>
        <w:rPr>
          <w:rFonts w:ascii="Times New Roman" w:hAnsi="Times New Roman"/>
          <w:spacing w:val="-4"/>
          <w:sz w:val="14"/>
          <w:szCs w:val="18"/>
        </w:rPr>
      </w:pPr>
    </w:p>
    <w:p w14:paraId="63A017FB" w14:textId="6ACEF439" w:rsidR="00001A77" w:rsidRPr="00624439" w:rsidRDefault="00001A77" w:rsidP="003650FE">
      <w:pPr>
        <w:widowControl/>
        <w:tabs>
          <w:tab w:val="left" w:pos="-720"/>
          <w:tab w:val="left" w:pos="288"/>
          <w:tab w:val="left" w:pos="567"/>
          <w:tab w:val="left" w:pos="864"/>
          <w:tab w:val="left" w:pos="1116"/>
          <w:tab w:val="left" w:pos="1404"/>
          <w:tab w:val="left" w:pos="1692"/>
          <w:tab w:val="left" w:pos="1980"/>
          <w:tab w:val="left" w:pos="2268"/>
          <w:tab w:val="left" w:pos="2880"/>
        </w:tabs>
        <w:spacing w:line="235" w:lineRule="auto"/>
        <w:ind w:left="1980" w:hanging="1980"/>
        <w:jc w:val="both"/>
        <w:rPr>
          <w:rFonts w:ascii="Times New Roman" w:hAnsi="Times New Roman"/>
          <w:spacing w:val="-2"/>
          <w:sz w:val="13"/>
          <w:szCs w:val="13"/>
        </w:rPr>
      </w:pPr>
      <w:r w:rsidRPr="00F44E5A">
        <w:rPr>
          <w:rFonts w:ascii="Times New Roman" w:hAnsi="Times New Roman"/>
          <w:b/>
          <w:spacing w:val="-4"/>
          <w:sz w:val="13"/>
          <w:szCs w:val="13"/>
        </w:rPr>
        <w:t>Literatur/Lehrbücher:</w:t>
      </w:r>
      <w:r w:rsidRPr="00F44E5A">
        <w:rPr>
          <w:rFonts w:ascii="Times New Roman" w:hAnsi="Times New Roman"/>
          <w:b/>
          <w:spacing w:val="-4"/>
          <w:sz w:val="13"/>
          <w:szCs w:val="13"/>
        </w:rPr>
        <w:tab/>
      </w:r>
      <w:r w:rsidR="003A53F1" w:rsidRPr="00F44E5A">
        <w:rPr>
          <w:rFonts w:ascii="Times New Roman" w:hAnsi="Times New Roman"/>
          <w:i/>
          <w:spacing w:val="-4"/>
          <w:sz w:val="13"/>
          <w:szCs w:val="13"/>
        </w:rPr>
        <w:t>Heinrich/Reinbacher</w:t>
      </w:r>
      <w:r w:rsidR="003A53F1" w:rsidRPr="00F44E5A">
        <w:rPr>
          <w:rFonts w:ascii="Times New Roman" w:hAnsi="Times New Roman"/>
          <w:spacing w:val="-4"/>
          <w:sz w:val="13"/>
          <w:szCs w:val="13"/>
        </w:rPr>
        <w:t xml:space="preserve">, Examinatorium </w:t>
      </w:r>
      <w:r w:rsidR="003A53F1" w:rsidRPr="00624439">
        <w:rPr>
          <w:rFonts w:ascii="Times New Roman" w:hAnsi="Times New Roman"/>
          <w:spacing w:val="-4"/>
          <w:sz w:val="13"/>
          <w:szCs w:val="13"/>
        </w:rPr>
        <w:t>Strafprozessrecht,</w:t>
      </w:r>
      <w:r w:rsidR="00B4644E" w:rsidRPr="00624439">
        <w:rPr>
          <w:rFonts w:ascii="Times New Roman" w:hAnsi="Times New Roman"/>
          <w:spacing w:val="-2"/>
          <w:sz w:val="13"/>
          <w:szCs w:val="13"/>
        </w:rPr>
        <w:t xml:space="preserve"> </w:t>
      </w:r>
      <w:r w:rsidR="00500B23" w:rsidRPr="00624439">
        <w:rPr>
          <w:rFonts w:ascii="Times New Roman" w:hAnsi="Times New Roman"/>
          <w:spacing w:val="-2"/>
          <w:sz w:val="13"/>
          <w:szCs w:val="13"/>
        </w:rPr>
        <w:t>4</w:t>
      </w:r>
      <w:r w:rsidR="00B4644E" w:rsidRPr="00624439">
        <w:rPr>
          <w:rFonts w:ascii="Times New Roman" w:hAnsi="Times New Roman"/>
          <w:spacing w:val="-2"/>
          <w:sz w:val="13"/>
          <w:szCs w:val="13"/>
        </w:rPr>
        <w:t>. Auflage 20</w:t>
      </w:r>
      <w:r w:rsidR="00397B6E" w:rsidRPr="00624439">
        <w:rPr>
          <w:rFonts w:ascii="Times New Roman" w:hAnsi="Times New Roman"/>
          <w:spacing w:val="-2"/>
          <w:sz w:val="13"/>
          <w:szCs w:val="13"/>
        </w:rPr>
        <w:t>2</w:t>
      </w:r>
      <w:r w:rsidR="00500B23" w:rsidRPr="00624439">
        <w:rPr>
          <w:rFonts w:ascii="Times New Roman" w:hAnsi="Times New Roman"/>
          <w:spacing w:val="-2"/>
          <w:sz w:val="13"/>
          <w:szCs w:val="13"/>
        </w:rPr>
        <w:t>3</w:t>
      </w:r>
      <w:r w:rsidR="00B4644E" w:rsidRPr="00624439">
        <w:rPr>
          <w:rFonts w:ascii="Times New Roman" w:hAnsi="Times New Roman"/>
          <w:spacing w:val="-2"/>
          <w:sz w:val="13"/>
          <w:szCs w:val="13"/>
        </w:rPr>
        <w:t>,</w:t>
      </w:r>
      <w:r w:rsidR="003A53F1" w:rsidRPr="00624439">
        <w:rPr>
          <w:rFonts w:ascii="Times New Roman" w:hAnsi="Times New Roman"/>
          <w:spacing w:val="-4"/>
          <w:sz w:val="13"/>
          <w:szCs w:val="13"/>
        </w:rPr>
        <w:t xml:space="preserve"> Problem</w:t>
      </w:r>
      <w:r w:rsidR="006A239A">
        <w:rPr>
          <w:rFonts w:ascii="Times New Roman" w:hAnsi="Times New Roman"/>
          <w:spacing w:val="-4"/>
          <w:sz w:val="13"/>
          <w:szCs w:val="13"/>
        </w:rPr>
        <w:t> </w:t>
      </w:r>
      <w:r w:rsidR="003A53F1" w:rsidRPr="00624439">
        <w:rPr>
          <w:rFonts w:ascii="Times New Roman" w:hAnsi="Times New Roman"/>
          <w:spacing w:val="-4"/>
          <w:sz w:val="13"/>
          <w:szCs w:val="13"/>
        </w:rPr>
        <w:t>9</w:t>
      </w:r>
      <w:r w:rsidR="00C804D1" w:rsidRPr="00624439">
        <w:rPr>
          <w:rFonts w:ascii="Times New Roman" w:hAnsi="Times New Roman"/>
          <w:spacing w:val="-4"/>
          <w:sz w:val="13"/>
          <w:szCs w:val="13"/>
        </w:rPr>
        <w:t>.</w:t>
      </w:r>
    </w:p>
    <w:p w14:paraId="0FC4E608" w14:textId="7AE24907" w:rsidR="002041B8" w:rsidRPr="00F44E5A" w:rsidRDefault="00001A77" w:rsidP="003650FE">
      <w:pPr>
        <w:widowControl/>
        <w:tabs>
          <w:tab w:val="left" w:pos="-720"/>
          <w:tab w:val="left" w:pos="288"/>
          <w:tab w:val="left" w:pos="567"/>
          <w:tab w:val="left" w:pos="864"/>
          <w:tab w:val="left" w:pos="1116"/>
          <w:tab w:val="left" w:pos="1404"/>
          <w:tab w:val="left" w:pos="1692"/>
          <w:tab w:val="left" w:pos="2268"/>
          <w:tab w:val="left" w:pos="2880"/>
        </w:tabs>
        <w:spacing w:line="235" w:lineRule="auto"/>
        <w:ind w:left="1418" w:hanging="1418"/>
        <w:jc w:val="both"/>
        <w:rPr>
          <w:rFonts w:ascii="Times New Roman" w:hAnsi="Times New Roman"/>
          <w:spacing w:val="-2"/>
          <w:sz w:val="13"/>
          <w:szCs w:val="13"/>
        </w:rPr>
      </w:pPr>
      <w:r w:rsidRPr="00F44E5A">
        <w:rPr>
          <w:rFonts w:ascii="Times New Roman" w:hAnsi="Times New Roman"/>
          <w:b/>
          <w:spacing w:val="-2"/>
          <w:sz w:val="13"/>
          <w:szCs w:val="13"/>
        </w:rPr>
        <w:t>Literatur/Aufsätze:</w:t>
      </w:r>
      <w:r w:rsidRPr="00F44E5A">
        <w:rPr>
          <w:rFonts w:ascii="Times New Roman" w:hAnsi="Times New Roman"/>
          <w:b/>
          <w:spacing w:val="-2"/>
          <w:sz w:val="13"/>
          <w:szCs w:val="13"/>
        </w:rPr>
        <w:tab/>
      </w:r>
      <w:r w:rsidR="00C804D1" w:rsidRPr="00F44E5A">
        <w:rPr>
          <w:rFonts w:ascii="Times New Roman" w:hAnsi="Times New Roman"/>
          <w:b/>
          <w:spacing w:val="-2"/>
          <w:sz w:val="13"/>
          <w:szCs w:val="13"/>
        </w:rPr>
        <w:tab/>
      </w:r>
      <w:r w:rsidR="002041B8" w:rsidRPr="00F44E5A">
        <w:rPr>
          <w:rFonts w:ascii="Times New Roman" w:hAnsi="Times New Roman"/>
          <w:i/>
          <w:spacing w:val="-2"/>
          <w:sz w:val="13"/>
          <w:szCs w:val="13"/>
        </w:rPr>
        <w:t>Bosch</w:t>
      </w:r>
      <w:r w:rsidR="002041B8" w:rsidRPr="00F44E5A">
        <w:rPr>
          <w:rFonts w:ascii="Times New Roman" w:hAnsi="Times New Roman"/>
          <w:spacing w:val="-2"/>
          <w:sz w:val="13"/>
          <w:szCs w:val="13"/>
        </w:rPr>
        <w:t xml:space="preserve">, Notwendige Verteidigung bei Ergreifung aufgrund eines Haftbefehls, JURA 2015, 423; </w:t>
      </w:r>
      <w:proofErr w:type="spellStart"/>
      <w:r w:rsidRPr="00F44E5A">
        <w:rPr>
          <w:rFonts w:ascii="Times New Roman" w:hAnsi="Times New Roman"/>
          <w:i/>
          <w:spacing w:val="-2"/>
          <w:sz w:val="13"/>
          <w:szCs w:val="13"/>
        </w:rPr>
        <w:t>Gubitz</w:t>
      </w:r>
      <w:proofErr w:type="spellEnd"/>
      <w:r w:rsidRPr="00F44E5A">
        <w:rPr>
          <w:rFonts w:ascii="Times New Roman" w:hAnsi="Times New Roman"/>
          <w:spacing w:val="-2"/>
          <w:sz w:val="13"/>
          <w:szCs w:val="13"/>
        </w:rPr>
        <w:t xml:space="preserve">, Der Anwalt als Strafverteidiger im Ermittlungsverfahren, JA 2007, 210; </w:t>
      </w:r>
      <w:proofErr w:type="spellStart"/>
      <w:r w:rsidRPr="00F44E5A">
        <w:rPr>
          <w:rFonts w:ascii="Times New Roman" w:hAnsi="Times New Roman"/>
          <w:i/>
          <w:spacing w:val="-2"/>
          <w:sz w:val="13"/>
          <w:szCs w:val="13"/>
        </w:rPr>
        <w:t>ders</w:t>
      </w:r>
      <w:proofErr w:type="spellEnd"/>
      <w:r w:rsidRPr="00F44E5A">
        <w:rPr>
          <w:rFonts w:ascii="Times New Roman" w:hAnsi="Times New Roman"/>
          <w:i/>
          <w:spacing w:val="-2"/>
          <w:sz w:val="13"/>
          <w:szCs w:val="13"/>
        </w:rPr>
        <w:t>.</w:t>
      </w:r>
      <w:r w:rsidRPr="00F44E5A">
        <w:rPr>
          <w:rFonts w:ascii="Times New Roman" w:hAnsi="Times New Roman"/>
          <w:spacing w:val="-2"/>
          <w:sz w:val="13"/>
          <w:szCs w:val="13"/>
        </w:rPr>
        <w:t xml:space="preserve">, Der Anwalt als Strafverteidiger im Zwischenverfahren, JA 2007, 369; </w:t>
      </w:r>
      <w:proofErr w:type="spellStart"/>
      <w:r w:rsidRPr="00F44E5A">
        <w:rPr>
          <w:rFonts w:ascii="Times New Roman" w:hAnsi="Times New Roman"/>
          <w:i/>
          <w:spacing w:val="-2"/>
          <w:sz w:val="13"/>
          <w:szCs w:val="13"/>
        </w:rPr>
        <w:t>ders</w:t>
      </w:r>
      <w:proofErr w:type="spellEnd"/>
      <w:r w:rsidRPr="00F44E5A">
        <w:rPr>
          <w:rFonts w:ascii="Times New Roman" w:hAnsi="Times New Roman"/>
          <w:i/>
          <w:spacing w:val="-2"/>
          <w:sz w:val="13"/>
          <w:szCs w:val="13"/>
        </w:rPr>
        <w:t>.</w:t>
      </w:r>
      <w:r w:rsidRPr="00F44E5A">
        <w:rPr>
          <w:rFonts w:ascii="Times New Roman" w:hAnsi="Times New Roman"/>
          <w:spacing w:val="-2"/>
          <w:sz w:val="13"/>
          <w:szCs w:val="13"/>
        </w:rPr>
        <w:t xml:space="preserve">, Der Anwalt als Strafverteidiger, JA 2008, 52; </w:t>
      </w:r>
      <w:r w:rsidRPr="00F44E5A">
        <w:rPr>
          <w:rFonts w:ascii="Times New Roman" w:hAnsi="Times New Roman"/>
          <w:i/>
          <w:spacing w:val="-2"/>
          <w:sz w:val="13"/>
          <w:szCs w:val="13"/>
        </w:rPr>
        <w:t>Heger</w:t>
      </w:r>
      <w:r w:rsidRPr="00F44E5A">
        <w:rPr>
          <w:rFonts w:ascii="Times New Roman" w:hAnsi="Times New Roman"/>
          <w:spacing w:val="-2"/>
          <w:sz w:val="13"/>
          <w:szCs w:val="13"/>
        </w:rPr>
        <w:t xml:space="preserve">, Die Rolle des Opfers im Strafverfahren, JA 2007, 244; </w:t>
      </w:r>
      <w:r w:rsidR="008265CB" w:rsidRPr="00F84316">
        <w:rPr>
          <w:rFonts w:ascii="Times New Roman" w:hAnsi="Times New Roman"/>
          <w:i/>
          <w:iCs/>
          <w:spacing w:val="-2"/>
          <w:sz w:val="13"/>
          <w:szCs w:val="13"/>
        </w:rPr>
        <w:t xml:space="preserve">v. </w:t>
      </w:r>
      <w:proofErr w:type="spellStart"/>
      <w:r w:rsidR="008265CB" w:rsidRPr="00F84316">
        <w:rPr>
          <w:rFonts w:ascii="Times New Roman" w:hAnsi="Times New Roman"/>
          <w:i/>
          <w:iCs/>
          <w:spacing w:val="-2"/>
          <w:sz w:val="13"/>
          <w:szCs w:val="13"/>
        </w:rPr>
        <w:t>Heintschel-</w:t>
      </w:r>
      <w:r w:rsidR="008265CB">
        <w:rPr>
          <w:rFonts w:ascii="Times New Roman" w:hAnsi="Times New Roman"/>
          <w:spacing w:val="-2"/>
          <w:sz w:val="13"/>
          <w:szCs w:val="13"/>
        </w:rPr>
        <w:t>Heinegg</w:t>
      </w:r>
      <w:proofErr w:type="spellEnd"/>
      <w:r w:rsidR="008265CB">
        <w:rPr>
          <w:rFonts w:ascii="Times New Roman" w:hAnsi="Times New Roman"/>
          <w:spacing w:val="-2"/>
          <w:sz w:val="13"/>
          <w:szCs w:val="13"/>
        </w:rPr>
        <w:t xml:space="preserve">, Wann ist vom Zeugen in den Beschuldigtenstatus überzugehen, JA 2015, 393; </w:t>
      </w:r>
      <w:r w:rsidR="00415A8E" w:rsidRPr="00F44E5A">
        <w:rPr>
          <w:rFonts w:ascii="Times New Roman" w:hAnsi="Times New Roman"/>
          <w:i/>
          <w:spacing w:val="-2"/>
          <w:sz w:val="13"/>
          <w:szCs w:val="13"/>
        </w:rPr>
        <w:t>Hoven</w:t>
      </w:r>
      <w:r w:rsidR="00415A8E" w:rsidRPr="00F44E5A">
        <w:rPr>
          <w:rFonts w:ascii="Times New Roman" w:hAnsi="Times New Roman"/>
          <w:spacing w:val="-2"/>
          <w:sz w:val="13"/>
          <w:szCs w:val="13"/>
        </w:rPr>
        <w:t xml:space="preserve">, Die Vernehmung des Beschuldigten – Klausurschwerpunkte in der strafrechtlichen </w:t>
      </w:r>
      <w:proofErr w:type="spellStart"/>
      <w:r w:rsidR="00415A8E" w:rsidRPr="00F44E5A">
        <w:rPr>
          <w:rFonts w:ascii="Times New Roman" w:hAnsi="Times New Roman"/>
          <w:spacing w:val="-2"/>
          <w:sz w:val="13"/>
          <w:szCs w:val="13"/>
        </w:rPr>
        <w:t>Assessorklausur</w:t>
      </w:r>
      <w:proofErr w:type="spellEnd"/>
      <w:r w:rsidR="00415A8E" w:rsidRPr="00F44E5A">
        <w:rPr>
          <w:rFonts w:ascii="Times New Roman" w:hAnsi="Times New Roman"/>
          <w:spacing w:val="-2"/>
          <w:sz w:val="13"/>
          <w:szCs w:val="13"/>
        </w:rPr>
        <w:t>, JA</w:t>
      </w:r>
      <w:r w:rsidR="003B6D18" w:rsidRPr="00F44E5A">
        <w:rPr>
          <w:rFonts w:ascii="Times New Roman" w:hAnsi="Times New Roman"/>
          <w:spacing w:val="-2"/>
          <w:sz w:val="13"/>
          <w:szCs w:val="13"/>
        </w:rPr>
        <w:t> </w:t>
      </w:r>
      <w:r w:rsidR="00415A8E" w:rsidRPr="00F44E5A">
        <w:rPr>
          <w:rFonts w:ascii="Times New Roman" w:hAnsi="Times New Roman"/>
          <w:spacing w:val="-2"/>
          <w:sz w:val="13"/>
          <w:szCs w:val="13"/>
        </w:rPr>
        <w:t>2013, 368;</w:t>
      </w:r>
      <w:r w:rsidR="003B6D18" w:rsidRPr="00F44E5A">
        <w:rPr>
          <w:rFonts w:ascii="Times New Roman" w:hAnsi="Times New Roman"/>
          <w:spacing w:val="-2"/>
          <w:sz w:val="13"/>
          <w:szCs w:val="13"/>
        </w:rPr>
        <w:t xml:space="preserve"> </w:t>
      </w:r>
      <w:r w:rsidRPr="00F44E5A">
        <w:rPr>
          <w:rFonts w:ascii="Times New Roman" w:hAnsi="Times New Roman"/>
          <w:i/>
          <w:spacing w:val="-2"/>
          <w:sz w:val="13"/>
          <w:szCs w:val="13"/>
        </w:rPr>
        <w:t>Huber</w:t>
      </w:r>
      <w:r w:rsidRPr="00F44E5A">
        <w:rPr>
          <w:rFonts w:ascii="Times New Roman" w:hAnsi="Times New Roman"/>
          <w:spacing w:val="-2"/>
          <w:sz w:val="13"/>
          <w:szCs w:val="13"/>
        </w:rPr>
        <w:t xml:space="preserve">, Schweigerecht des Beschuldigten, </w:t>
      </w:r>
      <w:proofErr w:type="spellStart"/>
      <w:r w:rsidRPr="00F44E5A">
        <w:rPr>
          <w:rFonts w:ascii="Times New Roman" w:hAnsi="Times New Roman"/>
          <w:spacing w:val="-2"/>
          <w:sz w:val="13"/>
          <w:szCs w:val="13"/>
        </w:rPr>
        <w:t>JuS</w:t>
      </w:r>
      <w:proofErr w:type="spellEnd"/>
      <w:r w:rsidRPr="00F44E5A">
        <w:rPr>
          <w:rFonts w:ascii="Times New Roman" w:hAnsi="Times New Roman"/>
          <w:spacing w:val="-2"/>
          <w:sz w:val="13"/>
          <w:szCs w:val="13"/>
        </w:rPr>
        <w:t xml:space="preserve"> 2007, 711; </w:t>
      </w:r>
      <w:r w:rsidR="00780DBB" w:rsidRPr="00F44E5A">
        <w:rPr>
          <w:rFonts w:ascii="Times New Roman" w:hAnsi="Times New Roman"/>
          <w:i/>
          <w:spacing w:val="-2"/>
          <w:sz w:val="13"/>
          <w:szCs w:val="13"/>
        </w:rPr>
        <w:t>Klaas</w:t>
      </w:r>
      <w:r w:rsidR="00780DBB" w:rsidRPr="00F44E5A">
        <w:rPr>
          <w:rFonts w:ascii="Times New Roman" w:hAnsi="Times New Roman"/>
          <w:spacing w:val="-2"/>
          <w:sz w:val="13"/>
          <w:szCs w:val="13"/>
        </w:rPr>
        <w:t xml:space="preserve">, Die notwendige und die „Pflichtverteidigung“, JA 2020, 262; </w:t>
      </w:r>
      <w:r w:rsidRPr="00F44E5A">
        <w:rPr>
          <w:rFonts w:ascii="Times New Roman" w:hAnsi="Times New Roman"/>
          <w:i/>
          <w:spacing w:val="-2"/>
          <w:sz w:val="13"/>
          <w:szCs w:val="13"/>
        </w:rPr>
        <w:t>Kropp</w:t>
      </w:r>
      <w:r w:rsidRPr="00F44E5A">
        <w:rPr>
          <w:rFonts w:ascii="Times New Roman" w:hAnsi="Times New Roman"/>
          <w:spacing w:val="-2"/>
          <w:sz w:val="13"/>
          <w:szCs w:val="13"/>
        </w:rPr>
        <w:t xml:space="preserve">, Das Opfer im Strafverfahren, JA 2002, 328; </w:t>
      </w:r>
      <w:r w:rsidRPr="00F44E5A">
        <w:rPr>
          <w:rFonts w:ascii="Times New Roman" w:hAnsi="Times New Roman"/>
          <w:i/>
          <w:spacing w:val="-2"/>
          <w:sz w:val="13"/>
          <w:szCs w:val="13"/>
        </w:rPr>
        <w:t>Kudlich</w:t>
      </w:r>
      <w:r w:rsidRPr="00F44E5A">
        <w:rPr>
          <w:rFonts w:ascii="Times New Roman" w:hAnsi="Times New Roman"/>
          <w:spacing w:val="-2"/>
          <w:sz w:val="13"/>
          <w:szCs w:val="13"/>
        </w:rPr>
        <w:t xml:space="preserve">, Vereidigung eines Zeugen, JA 2006, 494; </w:t>
      </w:r>
      <w:r w:rsidRPr="00F44E5A">
        <w:rPr>
          <w:rFonts w:ascii="Times New Roman" w:hAnsi="Times New Roman"/>
          <w:i/>
          <w:spacing w:val="-2"/>
          <w:sz w:val="13"/>
          <w:szCs w:val="13"/>
        </w:rPr>
        <w:t>Kudlich/Oberhof</w:t>
      </w:r>
      <w:r w:rsidRPr="00F44E5A">
        <w:rPr>
          <w:rFonts w:ascii="Times New Roman" w:hAnsi="Times New Roman"/>
          <w:spacing w:val="-2"/>
          <w:sz w:val="13"/>
          <w:szCs w:val="13"/>
        </w:rPr>
        <w:t xml:space="preserve">, Das Abschlussplädoyer des Strafverteidigers, JA 2006, 463; </w:t>
      </w:r>
      <w:r w:rsidRPr="00F44E5A">
        <w:rPr>
          <w:rFonts w:ascii="Times New Roman" w:hAnsi="Times New Roman"/>
          <w:i/>
          <w:spacing w:val="-2"/>
          <w:sz w:val="13"/>
          <w:szCs w:val="13"/>
        </w:rPr>
        <w:t>Küpper/Mosbacher</w:t>
      </w:r>
      <w:r w:rsidRPr="00F44E5A">
        <w:rPr>
          <w:rFonts w:ascii="Times New Roman" w:hAnsi="Times New Roman"/>
          <w:spacing w:val="-2"/>
          <w:sz w:val="13"/>
          <w:szCs w:val="13"/>
        </w:rPr>
        <w:t xml:space="preserve">, Anwesenheitsrechte bei der richterlichen Vernehmung des Mitbeschuldigten, </w:t>
      </w:r>
      <w:proofErr w:type="spellStart"/>
      <w:r w:rsidRPr="00F44E5A">
        <w:rPr>
          <w:rFonts w:ascii="Times New Roman" w:hAnsi="Times New Roman"/>
          <w:spacing w:val="-2"/>
          <w:sz w:val="13"/>
          <w:szCs w:val="13"/>
        </w:rPr>
        <w:t>JuS</w:t>
      </w:r>
      <w:proofErr w:type="spellEnd"/>
      <w:r w:rsidRPr="00F44E5A">
        <w:rPr>
          <w:rFonts w:ascii="Times New Roman" w:hAnsi="Times New Roman"/>
          <w:spacing w:val="-2"/>
          <w:sz w:val="13"/>
          <w:szCs w:val="13"/>
        </w:rPr>
        <w:t xml:space="preserve"> 1998, 690;</w:t>
      </w:r>
      <w:r w:rsidR="000E0248" w:rsidRPr="00F44E5A">
        <w:rPr>
          <w:rFonts w:ascii="Times New Roman" w:hAnsi="Times New Roman"/>
          <w:spacing w:val="-2"/>
          <w:sz w:val="13"/>
          <w:szCs w:val="13"/>
        </w:rPr>
        <w:t xml:space="preserve"> </w:t>
      </w:r>
      <w:r w:rsidRPr="00F44E5A">
        <w:rPr>
          <w:rFonts w:ascii="Times New Roman" w:hAnsi="Times New Roman"/>
          <w:i/>
          <w:spacing w:val="-2"/>
          <w:sz w:val="13"/>
          <w:szCs w:val="13"/>
        </w:rPr>
        <w:t>Laue</w:t>
      </w:r>
      <w:r w:rsidRPr="00F44E5A">
        <w:rPr>
          <w:rFonts w:ascii="Times New Roman" w:hAnsi="Times New Roman"/>
          <w:spacing w:val="-2"/>
          <w:sz w:val="13"/>
          <w:szCs w:val="13"/>
        </w:rPr>
        <w:t xml:space="preserve">, Die Hauptverhandlung ohne den Angeklagten, JA 2010, 294; </w:t>
      </w:r>
      <w:r w:rsidRPr="00F44E5A">
        <w:rPr>
          <w:rFonts w:ascii="Times New Roman" w:hAnsi="Times New Roman"/>
          <w:i/>
          <w:spacing w:val="-2"/>
          <w:sz w:val="13"/>
          <w:szCs w:val="13"/>
        </w:rPr>
        <w:t>Lehmann</w:t>
      </w:r>
      <w:r w:rsidRPr="00F44E5A">
        <w:rPr>
          <w:rFonts w:ascii="Times New Roman" w:hAnsi="Times New Roman"/>
          <w:spacing w:val="-2"/>
          <w:sz w:val="13"/>
          <w:szCs w:val="13"/>
        </w:rPr>
        <w:t xml:space="preserve">, Die notwendige Verteidigung (§ 140 StPO), </w:t>
      </w:r>
      <w:proofErr w:type="spellStart"/>
      <w:r w:rsidRPr="00F44E5A">
        <w:rPr>
          <w:rFonts w:ascii="Times New Roman" w:hAnsi="Times New Roman"/>
          <w:spacing w:val="-2"/>
          <w:sz w:val="13"/>
          <w:szCs w:val="13"/>
        </w:rPr>
        <w:t>JuS</w:t>
      </w:r>
      <w:proofErr w:type="spellEnd"/>
      <w:r w:rsidRPr="00F44E5A">
        <w:rPr>
          <w:rFonts w:ascii="Times New Roman" w:hAnsi="Times New Roman"/>
          <w:spacing w:val="-2"/>
          <w:sz w:val="13"/>
          <w:szCs w:val="13"/>
        </w:rPr>
        <w:t xml:space="preserve"> 2004, 492; </w:t>
      </w:r>
      <w:proofErr w:type="spellStart"/>
      <w:r w:rsidRPr="00F44E5A">
        <w:rPr>
          <w:rFonts w:ascii="Times New Roman" w:hAnsi="Times New Roman"/>
          <w:i/>
          <w:spacing w:val="-2"/>
          <w:sz w:val="13"/>
          <w:szCs w:val="13"/>
        </w:rPr>
        <w:t>Quentmeier</w:t>
      </w:r>
      <w:proofErr w:type="spellEnd"/>
      <w:r w:rsidRPr="00F44E5A">
        <w:rPr>
          <w:rFonts w:ascii="Times New Roman" w:hAnsi="Times New Roman"/>
          <w:spacing w:val="-2"/>
          <w:sz w:val="13"/>
          <w:szCs w:val="13"/>
        </w:rPr>
        <w:t>, Geständnis, Schweigerecht und Schweigen des Beschuldigten, JA 1996, 215;</w:t>
      </w:r>
      <w:r w:rsidR="00B71F2B" w:rsidRPr="00F44E5A">
        <w:rPr>
          <w:rFonts w:ascii="Times New Roman" w:hAnsi="Times New Roman"/>
          <w:spacing w:val="-2"/>
          <w:sz w:val="13"/>
          <w:szCs w:val="13"/>
        </w:rPr>
        <w:t xml:space="preserve"> </w:t>
      </w:r>
      <w:r w:rsidR="002041B8" w:rsidRPr="00F44E5A">
        <w:rPr>
          <w:rFonts w:ascii="Times New Roman" w:hAnsi="Times New Roman"/>
          <w:i/>
          <w:spacing w:val="-2"/>
          <w:sz w:val="13"/>
          <w:szCs w:val="13"/>
        </w:rPr>
        <w:t>Satzger</w:t>
      </w:r>
      <w:r w:rsidR="002041B8" w:rsidRPr="00F44E5A">
        <w:rPr>
          <w:rFonts w:ascii="Times New Roman" w:hAnsi="Times New Roman"/>
          <w:spacing w:val="-2"/>
          <w:sz w:val="13"/>
          <w:szCs w:val="13"/>
        </w:rPr>
        <w:t xml:space="preserve">, Anwesenheitspflicht des Verteidigers in der Revisionshauptverhandlung, JURA 2015, 541; </w:t>
      </w:r>
      <w:r w:rsidRPr="00F44E5A">
        <w:rPr>
          <w:rFonts w:ascii="Times New Roman" w:hAnsi="Times New Roman"/>
          <w:i/>
          <w:spacing w:val="-2"/>
          <w:sz w:val="13"/>
          <w:szCs w:val="13"/>
        </w:rPr>
        <w:t>Schneider</w:t>
      </w:r>
      <w:r w:rsidRPr="00F44E5A">
        <w:rPr>
          <w:rFonts w:ascii="Times New Roman" w:hAnsi="Times New Roman"/>
          <w:spacing w:val="-2"/>
          <w:sz w:val="13"/>
          <w:szCs w:val="13"/>
        </w:rPr>
        <w:t xml:space="preserve">, Grundprobleme des Rechts der Akteneinsicht des Strafverteidigers, JURA 1995, 337; </w:t>
      </w:r>
      <w:r w:rsidRPr="00F44E5A">
        <w:rPr>
          <w:rFonts w:ascii="Times New Roman" w:hAnsi="Times New Roman"/>
          <w:i/>
          <w:spacing w:val="-2"/>
          <w:sz w:val="13"/>
          <w:szCs w:val="13"/>
        </w:rPr>
        <w:t>Schork</w:t>
      </w:r>
      <w:r w:rsidRPr="00F44E5A">
        <w:rPr>
          <w:rFonts w:ascii="Times New Roman" w:hAnsi="Times New Roman"/>
          <w:spacing w:val="-2"/>
          <w:sz w:val="13"/>
          <w:szCs w:val="13"/>
        </w:rPr>
        <w:t>, Die Stellung des Opfers im Strafverfahren, JURA 2003, 304</w:t>
      </w:r>
      <w:r w:rsidR="00780DBB" w:rsidRPr="00F44E5A">
        <w:rPr>
          <w:rFonts w:ascii="Times New Roman" w:hAnsi="Times New Roman"/>
          <w:spacing w:val="-2"/>
          <w:sz w:val="13"/>
          <w:szCs w:val="13"/>
        </w:rPr>
        <w:t>.</w:t>
      </w:r>
    </w:p>
    <w:p w14:paraId="0FB98ACA" w14:textId="664A1CA8" w:rsidR="00001A77" w:rsidRPr="00F44E5A" w:rsidRDefault="00001A77" w:rsidP="003650FE">
      <w:pPr>
        <w:widowControl/>
        <w:tabs>
          <w:tab w:val="left" w:pos="-720"/>
          <w:tab w:val="left" w:pos="288"/>
          <w:tab w:val="left" w:pos="567"/>
          <w:tab w:val="left" w:pos="864"/>
          <w:tab w:val="left" w:pos="1116"/>
          <w:tab w:val="left" w:pos="1404"/>
          <w:tab w:val="left" w:pos="1692"/>
          <w:tab w:val="left" w:pos="2268"/>
          <w:tab w:val="left" w:pos="2880"/>
        </w:tabs>
        <w:spacing w:line="235" w:lineRule="auto"/>
        <w:ind w:left="1418" w:hanging="1418"/>
        <w:jc w:val="both"/>
        <w:rPr>
          <w:sz w:val="13"/>
          <w:szCs w:val="13"/>
        </w:rPr>
      </w:pPr>
      <w:r w:rsidRPr="00F44E5A">
        <w:rPr>
          <w:rFonts w:ascii="Times New Roman" w:hAnsi="Times New Roman"/>
          <w:b/>
          <w:spacing w:val="-2"/>
          <w:sz w:val="13"/>
          <w:szCs w:val="13"/>
        </w:rPr>
        <w:t xml:space="preserve">Rechtsprechung: </w:t>
      </w:r>
      <w:r w:rsidRPr="00F44E5A">
        <w:rPr>
          <w:rFonts w:ascii="Times New Roman" w:hAnsi="Times New Roman"/>
          <w:b/>
          <w:spacing w:val="-2"/>
          <w:sz w:val="13"/>
          <w:szCs w:val="13"/>
        </w:rPr>
        <w:tab/>
      </w:r>
      <w:r w:rsidRPr="00F44E5A">
        <w:rPr>
          <w:rFonts w:ascii="Times New Roman" w:hAnsi="Times New Roman"/>
          <w:b/>
          <w:spacing w:val="-2"/>
          <w:sz w:val="13"/>
          <w:szCs w:val="13"/>
        </w:rPr>
        <w:tab/>
        <w:t xml:space="preserve">BVerfGE 34, 293 </w:t>
      </w:r>
      <w:r w:rsidRPr="00F44E5A">
        <w:rPr>
          <w:rFonts w:ascii="Times New Roman" w:hAnsi="Times New Roman"/>
          <w:spacing w:val="-2"/>
          <w:sz w:val="13"/>
          <w:szCs w:val="13"/>
        </w:rPr>
        <w:t>– Verteidigerausschluss (Verteidiger als „Organ der Rechtspflege“);</w:t>
      </w:r>
      <w:r w:rsidRPr="00F44E5A">
        <w:rPr>
          <w:rFonts w:ascii="Times New Roman" w:hAnsi="Times New Roman"/>
          <w:b/>
          <w:spacing w:val="-2"/>
          <w:sz w:val="13"/>
          <w:szCs w:val="13"/>
        </w:rPr>
        <w:t xml:space="preserve"> BGHSt 50, 282</w:t>
      </w:r>
      <w:r w:rsidRPr="00F44E5A">
        <w:rPr>
          <w:rFonts w:ascii="Times New Roman" w:hAnsi="Times New Roman"/>
          <w:spacing w:val="-2"/>
          <w:sz w:val="13"/>
          <w:szCs w:val="13"/>
        </w:rPr>
        <w:t xml:space="preserve"> – Vereidigung (Vereidigung eines Zeugen nach der Gesetzesänderung nur auf einen ausdrücklichen Antrag eines Verfahrensbeteiligten); </w:t>
      </w:r>
      <w:r w:rsidR="00415A8E" w:rsidRPr="00F44E5A">
        <w:rPr>
          <w:rFonts w:ascii="Times New Roman" w:hAnsi="Times New Roman"/>
          <w:b/>
          <w:bCs/>
          <w:spacing w:val="-2"/>
          <w:sz w:val="13"/>
          <w:szCs w:val="13"/>
        </w:rPr>
        <w:t>BGHSt 51, 81</w:t>
      </w:r>
      <w:r w:rsidR="00415A8E" w:rsidRPr="00F44E5A">
        <w:rPr>
          <w:rFonts w:ascii="Times New Roman" w:hAnsi="Times New Roman"/>
          <w:bCs/>
          <w:spacing w:val="-2"/>
          <w:sz w:val="13"/>
          <w:szCs w:val="13"/>
        </w:rPr>
        <w:t xml:space="preserve"> – Vereidigung (Anwesenheit des Angeklagten); </w:t>
      </w:r>
      <w:r w:rsidRPr="00F44E5A">
        <w:rPr>
          <w:rFonts w:ascii="Times New Roman" w:hAnsi="Times New Roman"/>
          <w:b/>
          <w:spacing w:val="-2"/>
          <w:sz w:val="13"/>
          <w:szCs w:val="13"/>
        </w:rPr>
        <w:t>BGHSt 53, 112</w:t>
      </w:r>
      <w:r w:rsidRPr="00F44E5A">
        <w:rPr>
          <w:rFonts w:ascii="Times New Roman" w:hAnsi="Times New Roman"/>
          <w:spacing w:val="-2"/>
          <w:sz w:val="13"/>
          <w:szCs w:val="13"/>
        </w:rPr>
        <w:t xml:space="preserve"> – Qualifizierte Belehrung (Verwertbarkeit früherer Aussagen bei unterbliebener qualif</w:t>
      </w:r>
      <w:r w:rsidR="00765479" w:rsidRPr="00F44E5A">
        <w:rPr>
          <w:rFonts w:ascii="Times New Roman" w:hAnsi="Times New Roman"/>
          <w:spacing w:val="-2"/>
          <w:sz w:val="13"/>
          <w:szCs w:val="13"/>
        </w:rPr>
        <w:t>i</w:t>
      </w:r>
      <w:r w:rsidRPr="00F44E5A">
        <w:rPr>
          <w:rFonts w:ascii="Times New Roman" w:hAnsi="Times New Roman"/>
          <w:spacing w:val="-2"/>
          <w:sz w:val="13"/>
          <w:szCs w:val="13"/>
        </w:rPr>
        <w:t xml:space="preserve">zierte Belehrung); </w:t>
      </w:r>
      <w:r w:rsidRPr="00F44E5A">
        <w:rPr>
          <w:rFonts w:ascii="Times New Roman" w:hAnsi="Times New Roman"/>
          <w:b/>
          <w:spacing w:val="-2"/>
          <w:sz w:val="13"/>
          <w:szCs w:val="13"/>
        </w:rPr>
        <w:t>BGHSt 53, 191</w:t>
      </w:r>
      <w:r w:rsidRPr="00F44E5A">
        <w:rPr>
          <w:rFonts w:ascii="Times New Roman" w:hAnsi="Times New Roman"/>
          <w:spacing w:val="-2"/>
          <w:sz w:val="13"/>
          <w:szCs w:val="13"/>
        </w:rPr>
        <w:t xml:space="preserve"> – Vernehmung ohne Verteidiger II (Verwertbarkeit der Aussage bei unterbliebener Benachrichtigung nach § 168c I, V StPO); </w:t>
      </w:r>
      <w:r w:rsidR="00000BCC" w:rsidRPr="00F44E5A">
        <w:rPr>
          <w:rFonts w:ascii="Times New Roman" w:hAnsi="Times New Roman"/>
          <w:b/>
          <w:spacing w:val="-2"/>
          <w:sz w:val="13"/>
          <w:szCs w:val="13"/>
        </w:rPr>
        <w:t>BGHSt 55, 153</w:t>
      </w:r>
      <w:r w:rsidR="00000BCC" w:rsidRPr="00F44E5A">
        <w:rPr>
          <w:rFonts w:ascii="Times New Roman" w:hAnsi="Times New Roman"/>
          <w:spacing w:val="-2"/>
          <w:sz w:val="13"/>
          <w:szCs w:val="13"/>
        </w:rPr>
        <w:t xml:space="preserve"> – Tatopfer als atypischer „Kronzeuge“ in fremder Sache</w:t>
      </w:r>
      <w:r w:rsidR="00B11A4A" w:rsidRPr="00F44E5A">
        <w:rPr>
          <w:rFonts w:ascii="Times New Roman" w:hAnsi="Times New Roman"/>
          <w:spacing w:val="-2"/>
          <w:sz w:val="13"/>
          <w:szCs w:val="13"/>
        </w:rPr>
        <w:t xml:space="preserve"> (§ 46b StPO</w:t>
      </w:r>
      <w:r w:rsidR="00000BCC" w:rsidRPr="00F44E5A">
        <w:rPr>
          <w:rFonts w:ascii="Times New Roman" w:hAnsi="Times New Roman"/>
          <w:spacing w:val="-2"/>
          <w:sz w:val="13"/>
          <w:szCs w:val="13"/>
        </w:rPr>
        <w:t xml:space="preserve">); </w:t>
      </w:r>
      <w:r w:rsidR="00522D57" w:rsidRPr="00F44E5A">
        <w:rPr>
          <w:rFonts w:ascii="Times New Roman" w:hAnsi="Times New Roman"/>
          <w:b/>
          <w:spacing w:val="-2"/>
          <w:sz w:val="13"/>
          <w:szCs w:val="13"/>
        </w:rPr>
        <w:t>BGHSt 59, 187</w:t>
      </w:r>
      <w:r w:rsidR="00522D57" w:rsidRPr="00F44E5A">
        <w:rPr>
          <w:rFonts w:ascii="Times New Roman" w:hAnsi="Times New Roman"/>
          <w:spacing w:val="-2"/>
          <w:sz w:val="13"/>
          <w:szCs w:val="13"/>
        </w:rPr>
        <w:t xml:space="preserve"> – Berufungshauptverhandlung (Abwesenheitsverhandlung gegen einen inhaftierten Angeklagten); </w:t>
      </w:r>
      <w:r w:rsidR="00522D57" w:rsidRPr="00F44E5A">
        <w:rPr>
          <w:rFonts w:ascii="Times New Roman" w:hAnsi="Times New Roman"/>
          <w:b/>
          <w:spacing w:val="-2"/>
          <w:sz w:val="13"/>
          <w:szCs w:val="13"/>
        </w:rPr>
        <w:t>BGHSt 60, 38</w:t>
      </w:r>
      <w:r w:rsidR="00522D57" w:rsidRPr="00F44E5A">
        <w:rPr>
          <w:rFonts w:ascii="Times New Roman" w:hAnsi="Times New Roman"/>
          <w:spacing w:val="-2"/>
          <w:sz w:val="13"/>
          <w:szCs w:val="13"/>
        </w:rPr>
        <w:t xml:space="preserve"> – Pflichtverteidigung im Ermittlungsverfahren wegen Mordverdachts (Notwendige Verteidigung des aufgrund eines Haftbefehls ergriffenen Beschuldigten vor seiner verantwortlichen Vernehmung)</w:t>
      </w:r>
      <w:r w:rsidR="00765479" w:rsidRPr="00F44E5A">
        <w:rPr>
          <w:rFonts w:ascii="Times New Roman" w:hAnsi="Times New Roman"/>
          <w:spacing w:val="-2"/>
          <w:sz w:val="13"/>
          <w:szCs w:val="13"/>
        </w:rPr>
        <w:t>;</w:t>
      </w:r>
      <w:r w:rsidR="00522D57" w:rsidRPr="00F44E5A">
        <w:rPr>
          <w:rFonts w:ascii="Times New Roman" w:hAnsi="Times New Roman"/>
          <w:spacing w:val="-2"/>
          <w:sz w:val="13"/>
          <w:szCs w:val="13"/>
        </w:rPr>
        <w:t xml:space="preserve"> </w:t>
      </w:r>
      <w:r w:rsidR="00E0495B" w:rsidRPr="00F44E5A">
        <w:rPr>
          <w:rFonts w:ascii="Times New Roman" w:hAnsi="Times New Roman"/>
          <w:b/>
          <w:spacing w:val="-2"/>
          <w:sz w:val="13"/>
          <w:szCs w:val="13"/>
        </w:rPr>
        <w:t>BGHSt 65, 129</w:t>
      </w:r>
      <w:r w:rsidR="00E0495B" w:rsidRPr="00F44E5A">
        <w:rPr>
          <w:rFonts w:ascii="Times New Roman" w:hAnsi="Times New Roman"/>
          <w:spacing w:val="-2"/>
          <w:sz w:val="13"/>
          <w:szCs w:val="13"/>
        </w:rPr>
        <w:t xml:space="preserve"> – </w:t>
      </w:r>
      <w:r w:rsidR="00F44E5A">
        <w:rPr>
          <w:rFonts w:ascii="Times New Roman" w:hAnsi="Times New Roman"/>
          <w:spacing w:val="-2"/>
          <w:sz w:val="13"/>
          <w:szCs w:val="13"/>
        </w:rPr>
        <w:t>Versagung</w:t>
      </w:r>
      <w:r w:rsidR="00F44E5A" w:rsidRPr="00F44E5A">
        <w:rPr>
          <w:rFonts w:ascii="Times New Roman" w:hAnsi="Times New Roman"/>
          <w:spacing w:val="-2"/>
          <w:sz w:val="13"/>
          <w:szCs w:val="13"/>
        </w:rPr>
        <w:t xml:space="preserve"> </w:t>
      </w:r>
      <w:r w:rsidR="00E0495B" w:rsidRPr="00F44E5A">
        <w:rPr>
          <w:rFonts w:ascii="Times New Roman" w:hAnsi="Times New Roman"/>
          <w:spacing w:val="-2"/>
          <w:sz w:val="13"/>
          <w:szCs w:val="13"/>
        </w:rPr>
        <w:t xml:space="preserve">eines zweiten Pflichtverteidigers; </w:t>
      </w:r>
      <w:r w:rsidRPr="00F44E5A">
        <w:rPr>
          <w:rFonts w:ascii="Times New Roman" w:hAnsi="Times New Roman"/>
          <w:b/>
          <w:spacing w:val="-2"/>
          <w:sz w:val="13"/>
          <w:szCs w:val="13"/>
        </w:rPr>
        <w:t>BGH NStZ 2003, 671</w:t>
      </w:r>
      <w:r w:rsidRPr="00F44E5A">
        <w:rPr>
          <w:rFonts w:ascii="Times New Roman" w:hAnsi="Times New Roman"/>
          <w:spacing w:val="-2"/>
          <w:sz w:val="13"/>
          <w:szCs w:val="13"/>
        </w:rPr>
        <w:t xml:space="preserve"> – Vernehmung ohne Verteidiger I (Verwertbarkeit der Aussage bei unterbliebener Benachrichtigung nach § 168c I, V StPO); </w:t>
      </w:r>
      <w:r w:rsidRPr="00F44E5A">
        <w:rPr>
          <w:rFonts w:ascii="Times New Roman" w:hAnsi="Times New Roman"/>
          <w:b/>
          <w:spacing w:val="-2"/>
          <w:sz w:val="13"/>
          <w:szCs w:val="13"/>
        </w:rPr>
        <w:t>BGH NStZ 2006, 715</w:t>
      </w:r>
      <w:r w:rsidRPr="00F44E5A">
        <w:rPr>
          <w:rFonts w:ascii="Times New Roman" w:hAnsi="Times New Roman"/>
          <w:spacing w:val="-2"/>
          <w:sz w:val="13"/>
          <w:szCs w:val="13"/>
        </w:rPr>
        <w:t xml:space="preserve"> - Zeugenvereidigung (Vereidigung in Abwesenheit des Angeklagten); </w:t>
      </w:r>
      <w:r w:rsidRPr="00F44E5A">
        <w:rPr>
          <w:rFonts w:ascii="Times New Roman" w:hAnsi="Times New Roman"/>
          <w:b/>
          <w:spacing w:val="-2"/>
          <w:sz w:val="13"/>
          <w:szCs w:val="13"/>
        </w:rPr>
        <w:t>BGH</w:t>
      </w:r>
      <w:r w:rsidRPr="00F44E5A">
        <w:rPr>
          <w:b/>
          <w:sz w:val="13"/>
          <w:szCs w:val="13"/>
        </w:rPr>
        <w:t xml:space="preserve"> </w:t>
      </w:r>
      <w:r w:rsidRPr="00F44E5A">
        <w:rPr>
          <w:rFonts w:ascii="Times New Roman" w:hAnsi="Times New Roman"/>
          <w:b/>
          <w:spacing w:val="-2"/>
          <w:sz w:val="13"/>
          <w:szCs w:val="13"/>
        </w:rPr>
        <w:t>NStZ 2008, 48</w:t>
      </w:r>
      <w:r w:rsidRPr="00F44E5A">
        <w:rPr>
          <w:rFonts w:ascii="Times New Roman" w:hAnsi="Times New Roman"/>
          <w:spacing w:val="-2"/>
          <w:sz w:val="13"/>
          <w:szCs w:val="13"/>
        </w:rPr>
        <w:t xml:space="preserve"> – Beschuldigteneigenschaft (Zur Abgrenzung zwischen einer informatorischen Zeugenbefragung einer und Beschuldigtenvernehmung); </w:t>
      </w:r>
      <w:r w:rsidRPr="00F44E5A">
        <w:rPr>
          <w:rFonts w:ascii="Times New Roman" w:hAnsi="Times New Roman"/>
          <w:b/>
          <w:spacing w:val="-2"/>
          <w:sz w:val="13"/>
          <w:szCs w:val="13"/>
        </w:rPr>
        <w:t>BGH NStZ 2009, 702</w:t>
      </w:r>
      <w:r w:rsidRPr="00F44E5A">
        <w:rPr>
          <w:rFonts w:ascii="Times New Roman" w:hAnsi="Times New Roman"/>
          <w:spacing w:val="-2"/>
          <w:sz w:val="13"/>
          <w:szCs w:val="13"/>
        </w:rPr>
        <w:t xml:space="preserve"> – </w:t>
      </w:r>
      <w:r w:rsidR="00E07BA4">
        <w:rPr>
          <w:rFonts w:ascii="Times New Roman" w:hAnsi="Times New Roman"/>
          <w:spacing w:val="-2"/>
          <w:sz w:val="13"/>
          <w:szCs w:val="13"/>
        </w:rPr>
        <w:t>Spontanäußerung (</w:t>
      </w:r>
      <w:r w:rsidRPr="00F44E5A">
        <w:rPr>
          <w:rFonts w:ascii="Times New Roman" w:hAnsi="Times New Roman"/>
          <w:spacing w:val="-2"/>
          <w:sz w:val="13"/>
          <w:szCs w:val="13"/>
        </w:rPr>
        <w:t>Qualifizierte Belehrung</w:t>
      </w:r>
      <w:r w:rsidR="00E07BA4">
        <w:rPr>
          <w:rFonts w:ascii="Times New Roman" w:hAnsi="Times New Roman"/>
          <w:spacing w:val="-2"/>
          <w:sz w:val="13"/>
          <w:szCs w:val="13"/>
        </w:rPr>
        <w:t>)</w:t>
      </w:r>
      <w:r w:rsidR="00607CAE" w:rsidRPr="00F44E5A">
        <w:rPr>
          <w:rFonts w:ascii="Times New Roman" w:hAnsi="Times New Roman"/>
          <w:spacing w:val="-2"/>
          <w:sz w:val="13"/>
          <w:szCs w:val="13"/>
        </w:rPr>
        <w:t xml:space="preserve">; </w:t>
      </w:r>
      <w:r w:rsidR="00607CAE" w:rsidRPr="00F44E5A">
        <w:rPr>
          <w:rFonts w:ascii="Times New Roman" w:hAnsi="Times New Roman"/>
          <w:b/>
          <w:spacing w:val="-2"/>
          <w:sz w:val="13"/>
          <w:szCs w:val="13"/>
        </w:rPr>
        <w:t>BGH NStZ 2015, 47</w:t>
      </w:r>
      <w:r w:rsidR="00607CAE" w:rsidRPr="00F44E5A">
        <w:rPr>
          <w:rFonts w:ascii="Times New Roman" w:hAnsi="Times New Roman"/>
          <w:spacing w:val="-2"/>
          <w:sz w:val="13"/>
          <w:szCs w:val="13"/>
        </w:rPr>
        <w:t xml:space="preserve"> – Verteidiger in der Revisionshauptverhandlung (Recht des Angeklagten auf Verteidigung aus Art. 6 III</w:t>
      </w:r>
      <w:r w:rsidR="00D21441" w:rsidRPr="00F44E5A">
        <w:rPr>
          <w:rFonts w:ascii="Times New Roman" w:hAnsi="Times New Roman"/>
          <w:spacing w:val="-2"/>
          <w:sz w:val="13"/>
          <w:szCs w:val="13"/>
        </w:rPr>
        <w:t xml:space="preserve"> </w:t>
      </w:r>
      <w:r w:rsidR="00607CAE" w:rsidRPr="00F44E5A">
        <w:rPr>
          <w:rFonts w:ascii="Times New Roman" w:hAnsi="Times New Roman"/>
          <w:spacing w:val="-2"/>
          <w:sz w:val="13"/>
          <w:szCs w:val="13"/>
        </w:rPr>
        <w:t xml:space="preserve">c </w:t>
      </w:r>
      <w:r w:rsidR="00D21441" w:rsidRPr="00F44E5A">
        <w:rPr>
          <w:rFonts w:ascii="Times New Roman" w:hAnsi="Times New Roman"/>
          <w:spacing w:val="-2"/>
          <w:sz w:val="13"/>
          <w:szCs w:val="13"/>
        </w:rPr>
        <w:t>E</w:t>
      </w:r>
      <w:r w:rsidR="00607CAE" w:rsidRPr="00F44E5A">
        <w:rPr>
          <w:rFonts w:ascii="Times New Roman" w:hAnsi="Times New Roman"/>
          <w:spacing w:val="-2"/>
          <w:sz w:val="13"/>
          <w:szCs w:val="13"/>
        </w:rPr>
        <w:t>MRK)</w:t>
      </w:r>
      <w:r w:rsidR="00415A8E" w:rsidRPr="00F44E5A">
        <w:rPr>
          <w:rFonts w:ascii="Times New Roman" w:hAnsi="Times New Roman"/>
          <w:spacing w:val="-2"/>
          <w:sz w:val="13"/>
          <w:szCs w:val="13"/>
        </w:rPr>
        <w:t>, vgl.</w:t>
      </w:r>
      <w:r w:rsidR="000A1A6A" w:rsidRPr="00F44E5A">
        <w:rPr>
          <w:rFonts w:ascii="Times New Roman" w:hAnsi="Times New Roman"/>
          <w:spacing w:val="-2"/>
          <w:sz w:val="13"/>
          <w:szCs w:val="13"/>
        </w:rPr>
        <w:t xml:space="preserve"> </w:t>
      </w:r>
      <w:r w:rsidR="007869CF" w:rsidRPr="00F44E5A">
        <w:rPr>
          <w:rFonts w:ascii="Times New Roman" w:hAnsi="Times New Roman"/>
          <w:i/>
          <w:spacing w:val="-2"/>
          <w:sz w:val="13"/>
          <w:szCs w:val="13"/>
        </w:rPr>
        <w:t xml:space="preserve">Buttler/de la </w:t>
      </w:r>
      <w:proofErr w:type="spellStart"/>
      <w:r w:rsidR="007869CF" w:rsidRPr="00F44E5A">
        <w:rPr>
          <w:rFonts w:ascii="Times New Roman" w:hAnsi="Times New Roman"/>
          <w:i/>
          <w:spacing w:val="-2"/>
          <w:sz w:val="13"/>
          <w:szCs w:val="13"/>
        </w:rPr>
        <w:t>Chevallerie</w:t>
      </w:r>
      <w:proofErr w:type="spellEnd"/>
      <w:r w:rsidR="007869CF" w:rsidRPr="00F44E5A">
        <w:rPr>
          <w:rFonts w:ascii="Times New Roman" w:hAnsi="Times New Roman"/>
          <w:spacing w:val="-2"/>
          <w:sz w:val="13"/>
          <w:szCs w:val="13"/>
        </w:rPr>
        <w:t xml:space="preserve">, </w:t>
      </w:r>
      <w:r w:rsidR="000A1A6A" w:rsidRPr="00F44E5A">
        <w:rPr>
          <w:rFonts w:ascii="Times New Roman" w:hAnsi="Times New Roman"/>
          <w:spacing w:val="-2"/>
          <w:sz w:val="13"/>
          <w:szCs w:val="13"/>
        </w:rPr>
        <w:t>famos 12/</w:t>
      </w:r>
      <w:r w:rsidR="00D96D67" w:rsidRPr="00F44E5A">
        <w:rPr>
          <w:rFonts w:ascii="Times New Roman" w:hAnsi="Times New Roman"/>
          <w:spacing w:val="-2"/>
          <w:sz w:val="13"/>
          <w:szCs w:val="13"/>
        </w:rPr>
        <w:t>20</w:t>
      </w:r>
      <w:r w:rsidR="000A1A6A" w:rsidRPr="00F44E5A">
        <w:rPr>
          <w:rFonts w:ascii="Times New Roman" w:hAnsi="Times New Roman"/>
          <w:spacing w:val="-2"/>
          <w:sz w:val="13"/>
          <w:szCs w:val="13"/>
        </w:rPr>
        <w:t>14</w:t>
      </w:r>
      <w:r w:rsidR="00607CAE" w:rsidRPr="00F44E5A">
        <w:rPr>
          <w:rFonts w:ascii="Times New Roman" w:hAnsi="Times New Roman"/>
          <w:spacing w:val="-2"/>
          <w:sz w:val="13"/>
          <w:szCs w:val="13"/>
        </w:rPr>
        <w:t xml:space="preserve">; </w:t>
      </w:r>
      <w:r w:rsidR="001D4E87" w:rsidRPr="00F44E5A">
        <w:rPr>
          <w:rFonts w:ascii="Times New Roman" w:hAnsi="Times New Roman"/>
          <w:b/>
          <w:spacing w:val="-2"/>
          <w:sz w:val="13"/>
          <w:szCs w:val="13"/>
        </w:rPr>
        <w:t xml:space="preserve">BGH NStZ 2015, 291 </w:t>
      </w:r>
      <w:r w:rsidR="001D4E87" w:rsidRPr="00F44E5A">
        <w:rPr>
          <w:rFonts w:ascii="Times New Roman" w:hAnsi="Times New Roman"/>
          <w:spacing w:val="-2"/>
          <w:sz w:val="13"/>
          <w:szCs w:val="13"/>
        </w:rPr>
        <w:t>– Begründung der Beschuldigteneigenschaft (</w:t>
      </w:r>
      <w:r w:rsidR="0036323B" w:rsidRPr="00F44E5A">
        <w:rPr>
          <w:rFonts w:ascii="Times New Roman" w:hAnsi="Times New Roman"/>
          <w:spacing w:val="-2"/>
          <w:sz w:val="13"/>
          <w:szCs w:val="13"/>
        </w:rPr>
        <w:t xml:space="preserve">Maßnahmen </w:t>
      </w:r>
      <w:r w:rsidR="002A06A4" w:rsidRPr="00F44E5A">
        <w:rPr>
          <w:rFonts w:ascii="Times New Roman" w:hAnsi="Times New Roman"/>
          <w:spacing w:val="-2"/>
          <w:sz w:val="13"/>
          <w:szCs w:val="13"/>
        </w:rPr>
        <w:t xml:space="preserve">der Strafverfolgungsbehörde </w:t>
      </w:r>
      <w:r w:rsidR="0036323B" w:rsidRPr="00F44E5A">
        <w:rPr>
          <w:rFonts w:ascii="Times New Roman" w:hAnsi="Times New Roman"/>
          <w:spacing w:val="-2"/>
          <w:sz w:val="13"/>
          <w:szCs w:val="13"/>
        </w:rPr>
        <w:t>zur Vertiefung einer bestehenden Verdachtshypothese)</w:t>
      </w:r>
      <w:r w:rsidR="000A5E66" w:rsidRPr="00F44E5A">
        <w:rPr>
          <w:rFonts w:ascii="Times New Roman" w:hAnsi="Times New Roman"/>
          <w:spacing w:val="-2"/>
          <w:sz w:val="13"/>
          <w:szCs w:val="13"/>
        </w:rPr>
        <w:t xml:space="preserve">; </w:t>
      </w:r>
      <w:r w:rsidR="000A5E66" w:rsidRPr="00F44E5A">
        <w:rPr>
          <w:rFonts w:ascii="Times New Roman" w:hAnsi="Times New Roman"/>
          <w:b/>
          <w:spacing w:val="-2"/>
          <w:sz w:val="13"/>
          <w:szCs w:val="13"/>
        </w:rPr>
        <w:t>BGH</w:t>
      </w:r>
      <w:r w:rsidR="003C3DAD" w:rsidRPr="00F44E5A">
        <w:rPr>
          <w:rFonts w:ascii="Times New Roman" w:hAnsi="Times New Roman"/>
          <w:b/>
          <w:spacing w:val="-2"/>
          <w:sz w:val="13"/>
          <w:szCs w:val="13"/>
        </w:rPr>
        <w:t> </w:t>
      </w:r>
      <w:r w:rsidR="000A5E66" w:rsidRPr="00F44E5A">
        <w:rPr>
          <w:rFonts w:ascii="Times New Roman" w:hAnsi="Times New Roman"/>
          <w:b/>
          <w:spacing w:val="-2"/>
          <w:sz w:val="13"/>
          <w:szCs w:val="13"/>
        </w:rPr>
        <w:t>NStZ</w:t>
      </w:r>
      <w:r w:rsidR="003C3DAD" w:rsidRPr="00F44E5A">
        <w:rPr>
          <w:rFonts w:ascii="Times New Roman" w:hAnsi="Times New Roman"/>
          <w:b/>
          <w:spacing w:val="-2"/>
          <w:sz w:val="13"/>
          <w:szCs w:val="13"/>
        </w:rPr>
        <w:t> </w:t>
      </w:r>
      <w:r w:rsidR="000A5E66" w:rsidRPr="00F44E5A">
        <w:rPr>
          <w:rFonts w:ascii="Times New Roman" w:hAnsi="Times New Roman"/>
          <w:b/>
          <w:spacing w:val="-2"/>
          <w:sz w:val="13"/>
          <w:szCs w:val="13"/>
        </w:rPr>
        <w:t>2019, 227</w:t>
      </w:r>
      <w:r w:rsidR="000A5E66" w:rsidRPr="00F44E5A">
        <w:rPr>
          <w:rFonts w:ascii="Times New Roman" w:hAnsi="Times New Roman"/>
          <w:spacing w:val="-2"/>
          <w:sz w:val="13"/>
          <w:szCs w:val="13"/>
        </w:rPr>
        <w:t xml:space="preserve"> – Verwertbarkeit von im Zusammenhang mit einer rechtsfehlerhaften Durchsuchung erlangten Beweisen (qualifizierte Belehrung)</w:t>
      </w:r>
      <w:r w:rsidR="003C3DAD" w:rsidRPr="00F44E5A">
        <w:rPr>
          <w:rFonts w:ascii="Times New Roman" w:hAnsi="Times New Roman"/>
          <w:spacing w:val="-2"/>
          <w:sz w:val="13"/>
          <w:szCs w:val="13"/>
        </w:rPr>
        <w:t xml:space="preserve">; </w:t>
      </w:r>
      <w:r w:rsidR="003C3DAD" w:rsidRPr="00F44E5A">
        <w:rPr>
          <w:rFonts w:ascii="Times New Roman" w:hAnsi="Times New Roman"/>
          <w:b/>
          <w:bCs/>
          <w:spacing w:val="-2"/>
          <w:sz w:val="13"/>
          <w:szCs w:val="13"/>
        </w:rPr>
        <w:t>BGH</w:t>
      </w:r>
      <w:r w:rsidR="003C3DAD" w:rsidRPr="00F44E5A">
        <w:rPr>
          <w:rFonts w:ascii="Times New Roman" w:hAnsi="Times New Roman"/>
          <w:spacing w:val="-2"/>
          <w:sz w:val="13"/>
          <w:szCs w:val="13"/>
        </w:rPr>
        <w:t> </w:t>
      </w:r>
      <w:r w:rsidR="003C3DAD" w:rsidRPr="00F44E5A">
        <w:rPr>
          <w:rFonts w:ascii="Times New Roman" w:hAnsi="Times New Roman"/>
          <w:b/>
          <w:bCs/>
          <w:spacing w:val="-2"/>
          <w:sz w:val="13"/>
          <w:szCs w:val="13"/>
        </w:rPr>
        <w:t>NStZ 2019, 539</w:t>
      </w:r>
      <w:r w:rsidR="003C3DAD" w:rsidRPr="00F44E5A">
        <w:rPr>
          <w:rFonts w:ascii="Times New Roman" w:hAnsi="Times New Roman"/>
          <w:spacing w:val="-2"/>
          <w:sz w:val="13"/>
          <w:szCs w:val="13"/>
        </w:rPr>
        <w:t xml:space="preserve"> – </w:t>
      </w:r>
      <w:r w:rsidR="00E07BA4">
        <w:rPr>
          <w:rFonts w:ascii="Times New Roman" w:hAnsi="Times New Roman"/>
          <w:spacing w:val="-2"/>
          <w:sz w:val="13"/>
          <w:szCs w:val="13"/>
        </w:rPr>
        <w:t>Beschuldigter (</w:t>
      </w:r>
      <w:r w:rsidR="003C3DAD" w:rsidRPr="00F44E5A">
        <w:rPr>
          <w:rFonts w:ascii="Times New Roman" w:hAnsi="Times New Roman"/>
          <w:spacing w:val="-2"/>
          <w:sz w:val="13"/>
          <w:szCs w:val="13"/>
        </w:rPr>
        <w:t>Pflicht zur Begründung der Beschuldigteneigenschaft</w:t>
      </w:r>
      <w:r w:rsidR="00E07BA4">
        <w:rPr>
          <w:rFonts w:ascii="Times New Roman" w:hAnsi="Times New Roman"/>
          <w:spacing w:val="-2"/>
          <w:sz w:val="13"/>
          <w:szCs w:val="13"/>
        </w:rPr>
        <w:t>)</w:t>
      </w:r>
      <w:r w:rsidR="003C3DAD" w:rsidRPr="00F44E5A">
        <w:rPr>
          <w:rFonts w:ascii="Times New Roman" w:hAnsi="Times New Roman"/>
          <w:spacing w:val="-2"/>
          <w:sz w:val="13"/>
          <w:szCs w:val="13"/>
        </w:rPr>
        <w:t xml:space="preserve">, vgl. </w:t>
      </w:r>
      <w:proofErr w:type="spellStart"/>
      <w:r w:rsidR="00205056" w:rsidRPr="00F44E5A">
        <w:rPr>
          <w:rFonts w:ascii="Times New Roman" w:hAnsi="Times New Roman"/>
          <w:i/>
          <w:spacing w:val="-2"/>
          <w:sz w:val="13"/>
          <w:szCs w:val="13"/>
        </w:rPr>
        <w:t>Hassis</w:t>
      </w:r>
      <w:proofErr w:type="spellEnd"/>
      <w:r w:rsidR="00205056" w:rsidRPr="00F44E5A">
        <w:rPr>
          <w:rFonts w:ascii="Times New Roman" w:hAnsi="Times New Roman"/>
          <w:i/>
          <w:spacing w:val="-2"/>
          <w:sz w:val="13"/>
          <w:szCs w:val="13"/>
        </w:rPr>
        <w:t>/</w:t>
      </w:r>
      <w:proofErr w:type="spellStart"/>
      <w:r w:rsidR="00205056" w:rsidRPr="00F44E5A">
        <w:rPr>
          <w:rFonts w:ascii="Times New Roman" w:hAnsi="Times New Roman"/>
          <w:i/>
          <w:spacing w:val="-2"/>
          <w:sz w:val="13"/>
          <w:szCs w:val="13"/>
        </w:rPr>
        <w:t>Wernado</w:t>
      </w:r>
      <w:proofErr w:type="spellEnd"/>
      <w:r w:rsidR="00205056" w:rsidRPr="00F44E5A">
        <w:rPr>
          <w:rFonts w:ascii="Times New Roman" w:hAnsi="Times New Roman"/>
          <w:spacing w:val="-2"/>
          <w:sz w:val="13"/>
          <w:szCs w:val="13"/>
        </w:rPr>
        <w:t xml:space="preserve">, </w:t>
      </w:r>
      <w:r w:rsidR="003C3DAD" w:rsidRPr="00F44E5A">
        <w:rPr>
          <w:rFonts w:ascii="Times New Roman" w:hAnsi="Times New Roman"/>
          <w:spacing w:val="-2"/>
          <w:sz w:val="13"/>
          <w:szCs w:val="13"/>
        </w:rPr>
        <w:t>famos 09/</w:t>
      </w:r>
      <w:r w:rsidR="00D96D67" w:rsidRPr="00F44E5A">
        <w:rPr>
          <w:rFonts w:ascii="Times New Roman" w:hAnsi="Times New Roman"/>
          <w:spacing w:val="-2"/>
          <w:sz w:val="13"/>
          <w:szCs w:val="13"/>
        </w:rPr>
        <w:t>20</w:t>
      </w:r>
      <w:r w:rsidR="003C3DAD" w:rsidRPr="00F44E5A">
        <w:rPr>
          <w:rFonts w:ascii="Times New Roman" w:hAnsi="Times New Roman"/>
          <w:spacing w:val="-2"/>
          <w:sz w:val="13"/>
          <w:szCs w:val="13"/>
        </w:rPr>
        <w:t>19</w:t>
      </w:r>
      <w:r w:rsidR="00A60544" w:rsidRPr="00F44E5A">
        <w:rPr>
          <w:rFonts w:ascii="Times New Roman" w:hAnsi="Times New Roman"/>
          <w:spacing w:val="-2"/>
          <w:sz w:val="13"/>
          <w:szCs w:val="13"/>
        </w:rPr>
        <w:t>;</w:t>
      </w:r>
      <w:r w:rsidR="00991F9B" w:rsidRPr="00F44E5A">
        <w:rPr>
          <w:rFonts w:ascii="Times New Roman" w:hAnsi="Times New Roman"/>
          <w:spacing w:val="-2"/>
          <w:sz w:val="13"/>
          <w:szCs w:val="13"/>
        </w:rPr>
        <w:t xml:space="preserve"> </w:t>
      </w:r>
      <w:r w:rsidR="00991F9B" w:rsidRPr="00F44E5A">
        <w:rPr>
          <w:rFonts w:ascii="Times New Roman" w:hAnsi="Times New Roman" w:cs="Times New Roman"/>
          <w:b/>
          <w:sz w:val="13"/>
          <w:szCs w:val="13"/>
        </w:rPr>
        <w:t>BGH NJW 2022, 2126</w:t>
      </w:r>
      <w:r w:rsidR="00991F9B" w:rsidRPr="00F44E5A">
        <w:rPr>
          <w:rFonts w:ascii="Times New Roman" w:hAnsi="Times New Roman" w:cs="Times New Roman"/>
          <w:sz w:val="13"/>
          <w:szCs w:val="13"/>
        </w:rPr>
        <w:t xml:space="preserve"> – Notwendige Verteidigung und unterbliebene Pflichtverteidigerbestellung (keine </w:t>
      </w:r>
      <w:proofErr w:type="spellStart"/>
      <w:r w:rsidR="00F44E5A">
        <w:rPr>
          <w:rFonts w:ascii="Times New Roman" w:hAnsi="Times New Roman" w:cs="Times New Roman"/>
          <w:sz w:val="13"/>
          <w:szCs w:val="13"/>
        </w:rPr>
        <w:t>grds</w:t>
      </w:r>
      <w:proofErr w:type="spellEnd"/>
      <w:r w:rsidR="00F44E5A">
        <w:rPr>
          <w:rFonts w:ascii="Times New Roman" w:hAnsi="Times New Roman" w:cs="Times New Roman"/>
          <w:sz w:val="13"/>
          <w:szCs w:val="13"/>
        </w:rPr>
        <w:t xml:space="preserve">. </w:t>
      </w:r>
      <w:r w:rsidR="00991F9B" w:rsidRPr="00F44E5A">
        <w:rPr>
          <w:rFonts w:ascii="Times New Roman" w:hAnsi="Times New Roman" w:cs="Times New Roman"/>
          <w:sz w:val="13"/>
          <w:szCs w:val="13"/>
        </w:rPr>
        <w:t>Unverwertbarkeit der Beschuldigtenvernehmung)</w:t>
      </w:r>
      <w:r w:rsidR="00F44E5A">
        <w:rPr>
          <w:rFonts w:ascii="Times New Roman" w:hAnsi="Times New Roman"/>
          <w:spacing w:val="-2"/>
          <w:sz w:val="13"/>
          <w:szCs w:val="13"/>
        </w:rPr>
        <w:t xml:space="preserve">; </w:t>
      </w:r>
      <w:r w:rsidR="00F44E5A" w:rsidRPr="0096734D">
        <w:rPr>
          <w:rFonts w:ascii="Times New Roman" w:hAnsi="Times New Roman"/>
          <w:b/>
          <w:bCs/>
          <w:spacing w:val="-2"/>
          <w:sz w:val="13"/>
          <w:szCs w:val="13"/>
        </w:rPr>
        <w:t>BGH NStZ-RR 2022, 316</w:t>
      </w:r>
      <w:r w:rsidR="00F44E5A">
        <w:rPr>
          <w:rFonts w:ascii="Times New Roman" w:hAnsi="Times New Roman"/>
          <w:spacing w:val="-2"/>
          <w:sz w:val="13"/>
          <w:szCs w:val="13"/>
        </w:rPr>
        <w:t xml:space="preserve"> – Zur Bestellung eines Pflichtverteidigers (im Zusammenhang mit einem Adhäsionsverfahren).</w:t>
      </w:r>
    </w:p>
    <w:sectPr w:rsidR="00001A77" w:rsidRPr="00F44E5A" w:rsidSect="00001A77">
      <w:pgSz w:w="11900" w:h="16840"/>
      <w:pgMar w:top="567" w:right="737" w:bottom="567" w:left="130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14F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4032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trackRevisions/>
  <w:defaultTabStop w:val="708"/>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CB"/>
    <w:rsid w:val="00000BCC"/>
    <w:rsid w:val="00001A77"/>
    <w:rsid w:val="0003043F"/>
    <w:rsid w:val="00031CFD"/>
    <w:rsid w:val="000322C0"/>
    <w:rsid w:val="00033DDC"/>
    <w:rsid w:val="0008556D"/>
    <w:rsid w:val="000A1A6A"/>
    <w:rsid w:val="000A4087"/>
    <w:rsid w:val="000A5E66"/>
    <w:rsid w:val="000C14A9"/>
    <w:rsid w:val="000E0248"/>
    <w:rsid w:val="000F7969"/>
    <w:rsid w:val="00101F88"/>
    <w:rsid w:val="00133CA1"/>
    <w:rsid w:val="0015543F"/>
    <w:rsid w:val="0018008E"/>
    <w:rsid w:val="00187F57"/>
    <w:rsid w:val="0019657B"/>
    <w:rsid w:val="001B58FB"/>
    <w:rsid w:val="001D4E87"/>
    <w:rsid w:val="001E2F8F"/>
    <w:rsid w:val="002041B8"/>
    <w:rsid w:val="00205056"/>
    <w:rsid w:val="00231726"/>
    <w:rsid w:val="002A06A4"/>
    <w:rsid w:val="002A305F"/>
    <w:rsid w:val="003210E8"/>
    <w:rsid w:val="00323906"/>
    <w:rsid w:val="00334A3B"/>
    <w:rsid w:val="0036323B"/>
    <w:rsid w:val="003650FE"/>
    <w:rsid w:val="00384F0D"/>
    <w:rsid w:val="00397B6E"/>
    <w:rsid w:val="003A53F1"/>
    <w:rsid w:val="003B6D18"/>
    <w:rsid w:val="003C3DAD"/>
    <w:rsid w:val="003D7426"/>
    <w:rsid w:val="00411407"/>
    <w:rsid w:val="00415A8E"/>
    <w:rsid w:val="004612EE"/>
    <w:rsid w:val="004B1FCA"/>
    <w:rsid w:val="004D03C4"/>
    <w:rsid w:val="004D2085"/>
    <w:rsid w:val="00500B23"/>
    <w:rsid w:val="0051413B"/>
    <w:rsid w:val="00522D57"/>
    <w:rsid w:val="00523F08"/>
    <w:rsid w:val="00546719"/>
    <w:rsid w:val="00547206"/>
    <w:rsid w:val="00574EF0"/>
    <w:rsid w:val="005908A0"/>
    <w:rsid w:val="005A0D68"/>
    <w:rsid w:val="005B4B84"/>
    <w:rsid w:val="00606049"/>
    <w:rsid w:val="00607CAE"/>
    <w:rsid w:val="006106CB"/>
    <w:rsid w:val="00624439"/>
    <w:rsid w:val="00632F98"/>
    <w:rsid w:val="00663CD2"/>
    <w:rsid w:val="00664785"/>
    <w:rsid w:val="006958F2"/>
    <w:rsid w:val="006A239A"/>
    <w:rsid w:val="006F69F0"/>
    <w:rsid w:val="00701B60"/>
    <w:rsid w:val="00737E6E"/>
    <w:rsid w:val="00746EF2"/>
    <w:rsid w:val="00765479"/>
    <w:rsid w:val="00780DBB"/>
    <w:rsid w:val="00784045"/>
    <w:rsid w:val="007869CF"/>
    <w:rsid w:val="00787897"/>
    <w:rsid w:val="007C7B8A"/>
    <w:rsid w:val="0080235C"/>
    <w:rsid w:val="008265CB"/>
    <w:rsid w:val="008368DB"/>
    <w:rsid w:val="00836B24"/>
    <w:rsid w:val="00876507"/>
    <w:rsid w:val="008B1F98"/>
    <w:rsid w:val="008D5EF6"/>
    <w:rsid w:val="009248E8"/>
    <w:rsid w:val="00925639"/>
    <w:rsid w:val="0096734D"/>
    <w:rsid w:val="00991F9B"/>
    <w:rsid w:val="00A24AEF"/>
    <w:rsid w:val="00A413C5"/>
    <w:rsid w:val="00A60544"/>
    <w:rsid w:val="00A86A7F"/>
    <w:rsid w:val="00AB6C34"/>
    <w:rsid w:val="00AE1F37"/>
    <w:rsid w:val="00B11A4A"/>
    <w:rsid w:val="00B132BE"/>
    <w:rsid w:val="00B4644E"/>
    <w:rsid w:val="00B66CA7"/>
    <w:rsid w:val="00B71F2B"/>
    <w:rsid w:val="00B73C9D"/>
    <w:rsid w:val="00B75170"/>
    <w:rsid w:val="00B943CD"/>
    <w:rsid w:val="00B9682A"/>
    <w:rsid w:val="00BA6541"/>
    <w:rsid w:val="00BB2EE6"/>
    <w:rsid w:val="00C323DE"/>
    <w:rsid w:val="00C536D3"/>
    <w:rsid w:val="00C804D1"/>
    <w:rsid w:val="00CA4CE4"/>
    <w:rsid w:val="00CB67E8"/>
    <w:rsid w:val="00CE1B49"/>
    <w:rsid w:val="00CF57DB"/>
    <w:rsid w:val="00D0311D"/>
    <w:rsid w:val="00D21441"/>
    <w:rsid w:val="00D34E7B"/>
    <w:rsid w:val="00D80A3E"/>
    <w:rsid w:val="00D80D9D"/>
    <w:rsid w:val="00D96D67"/>
    <w:rsid w:val="00DE1587"/>
    <w:rsid w:val="00DF4848"/>
    <w:rsid w:val="00E03BB1"/>
    <w:rsid w:val="00E0495B"/>
    <w:rsid w:val="00E07BA4"/>
    <w:rsid w:val="00EB16AC"/>
    <w:rsid w:val="00F44E5A"/>
    <w:rsid w:val="00F50A9F"/>
    <w:rsid w:val="00F63EC9"/>
    <w:rsid w:val="00F6430E"/>
    <w:rsid w:val="00F64D5B"/>
    <w:rsid w:val="00F84316"/>
    <w:rsid w:val="00FE5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B8F521"/>
  <w15:chartTrackingRefBased/>
  <w15:docId w15:val="{E755D5FB-33F7-4A30-BF29-C0416107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78B8"/>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3478B8"/>
  </w:style>
  <w:style w:type="paragraph" w:styleId="Sprechblasentext">
    <w:name w:val="Balloon Text"/>
    <w:basedOn w:val="Standard"/>
    <w:semiHidden/>
    <w:rsid w:val="00AD5AEE"/>
    <w:rPr>
      <w:rFonts w:ascii="Tahoma" w:hAnsi="Tahoma" w:cs="Tahoma"/>
      <w:sz w:val="16"/>
      <w:szCs w:val="16"/>
    </w:rPr>
  </w:style>
  <w:style w:type="character" w:styleId="Kommentarzeichen">
    <w:name w:val="annotation reference"/>
    <w:uiPriority w:val="99"/>
    <w:semiHidden/>
    <w:unhideWhenUsed/>
    <w:rsid w:val="0018008E"/>
    <w:rPr>
      <w:sz w:val="18"/>
      <w:szCs w:val="18"/>
    </w:rPr>
  </w:style>
  <w:style w:type="paragraph" w:styleId="Kommentartext">
    <w:name w:val="annotation text"/>
    <w:basedOn w:val="Standard"/>
    <w:link w:val="KommentartextZchn"/>
    <w:uiPriority w:val="99"/>
    <w:unhideWhenUsed/>
    <w:rsid w:val="0018008E"/>
  </w:style>
  <w:style w:type="character" w:customStyle="1" w:styleId="KommentartextZchn">
    <w:name w:val="Kommentartext Zchn"/>
    <w:link w:val="Kommentartext"/>
    <w:uiPriority w:val="99"/>
    <w:rsid w:val="0018008E"/>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18008E"/>
    <w:rPr>
      <w:b/>
      <w:bCs/>
      <w:sz w:val="20"/>
      <w:szCs w:val="20"/>
    </w:rPr>
  </w:style>
  <w:style w:type="character" w:customStyle="1" w:styleId="KommentarthemaZchn">
    <w:name w:val="Kommentarthema Zchn"/>
    <w:link w:val="Kommentarthema"/>
    <w:uiPriority w:val="99"/>
    <w:semiHidden/>
    <w:rsid w:val="0018008E"/>
    <w:rPr>
      <w:rFonts w:ascii="Dutch Roman 12pt" w:hAnsi="Dutch Roman 12pt" w:cs="Arial Narrow"/>
      <w:b/>
      <w:bCs/>
      <w:sz w:val="24"/>
      <w:szCs w:val="24"/>
    </w:rPr>
  </w:style>
  <w:style w:type="paragraph" w:customStyle="1" w:styleId="DunkleListe-Akzent31">
    <w:name w:val="Dunkle Liste - Akzent 31"/>
    <w:hidden/>
    <w:uiPriority w:val="71"/>
    <w:rsid w:val="000322C0"/>
    <w:rPr>
      <w:rFonts w:ascii="Dutch Roman 12pt" w:hAnsi="Dutch Roman 12pt" w:cs="Arial Narrow"/>
      <w:sz w:val="24"/>
      <w:szCs w:val="24"/>
    </w:rPr>
  </w:style>
  <w:style w:type="paragraph" w:styleId="berarbeitung">
    <w:name w:val="Revision"/>
    <w:hidden/>
    <w:uiPriority w:val="71"/>
    <w:rsid w:val="004D03C4"/>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1479</Words>
  <Characters>9319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Prof</vt:lpstr>
    </vt:vector>
  </TitlesOfParts>
  <Company>Humboldt-Universität zu Berlin</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Juristische Fakultät</dc:creator>
  <cp:keywords/>
  <cp:lastModifiedBy>Judith Schult</cp:lastModifiedBy>
  <cp:revision>2</cp:revision>
  <cp:lastPrinted>2020-10-16T11:53:00Z</cp:lastPrinted>
  <dcterms:created xsi:type="dcterms:W3CDTF">2024-10-09T11:28:00Z</dcterms:created>
  <dcterms:modified xsi:type="dcterms:W3CDTF">2024-10-09T11:28:00Z</dcterms:modified>
</cp:coreProperties>
</file>