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DA76" w14:textId="6A9F9BA5" w:rsidR="00370088" w:rsidRPr="004E7C33" w:rsidRDefault="00FC57D4">
      <w:pPr>
        <w:pStyle w:val="berschrift1"/>
        <w:tabs>
          <w:tab w:val="left" w:pos="8007"/>
        </w:tabs>
        <w:spacing w:before="54"/>
        <w:rPr>
          <w:b w:val="0"/>
          <w:bCs w:val="0"/>
          <w:lang w:val="de-DE"/>
        </w:rPr>
      </w:pPr>
      <w:r w:rsidRPr="004E7C33">
        <w:rPr>
          <w:spacing w:val="-3"/>
          <w:lang w:val="de-DE"/>
        </w:rPr>
        <w:t xml:space="preserve">Prof. Dr. </w:t>
      </w:r>
      <w:r w:rsidR="00713DDF">
        <w:rPr>
          <w:spacing w:val="-3"/>
          <w:lang w:val="de-DE"/>
        </w:rPr>
        <w:t xml:space="preserve">Dr. h.c. </w:t>
      </w:r>
      <w:r w:rsidRPr="004E7C33">
        <w:rPr>
          <w:spacing w:val="-3"/>
          <w:lang w:val="de-DE"/>
        </w:rPr>
        <w:t>Bernd Heinrich/</w:t>
      </w:r>
      <w:r w:rsidR="001B27DB">
        <w:rPr>
          <w:spacing w:val="-3"/>
          <w:lang w:val="de-DE"/>
        </w:rPr>
        <w:t>Prof</w:t>
      </w:r>
      <w:r w:rsidR="009777A5">
        <w:rPr>
          <w:spacing w:val="-3"/>
          <w:lang w:val="de-DE"/>
        </w:rPr>
        <w:t xml:space="preserve">. </w:t>
      </w:r>
      <w:r w:rsidRPr="004E7C33">
        <w:rPr>
          <w:spacing w:val="-3"/>
          <w:lang w:val="de-DE"/>
        </w:rPr>
        <w:t xml:space="preserve">Dr. </w:t>
      </w:r>
      <w:r w:rsidRPr="004E7C33">
        <w:rPr>
          <w:lang w:val="de-DE"/>
        </w:rPr>
        <w:t>Tobias</w:t>
      </w:r>
      <w:r w:rsidRPr="004E7C33">
        <w:rPr>
          <w:spacing w:val="23"/>
          <w:lang w:val="de-DE"/>
        </w:rPr>
        <w:t xml:space="preserve"> </w:t>
      </w:r>
      <w:r w:rsidRPr="004E7C33">
        <w:rPr>
          <w:spacing w:val="-3"/>
          <w:lang w:val="de-DE"/>
        </w:rPr>
        <w:t>Reinbacher</w:t>
      </w:r>
      <w:r w:rsidRPr="004E7C33">
        <w:rPr>
          <w:spacing w:val="-3"/>
          <w:lang w:val="de-DE"/>
        </w:rPr>
        <w:tab/>
        <w:t xml:space="preserve">Stand: </w:t>
      </w:r>
      <w:r w:rsidRPr="004E7C33">
        <w:rPr>
          <w:lang w:val="de-DE"/>
        </w:rPr>
        <w:t xml:space="preserve">1. </w:t>
      </w:r>
      <w:r w:rsidR="00D51AC9">
        <w:rPr>
          <w:spacing w:val="-3"/>
          <w:lang w:val="de-DE"/>
        </w:rPr>
        <w:t>Oktober</w:t>
      </w:r>
      <w:r w:rsidRPr="004E7C33">
        <w:rPr>
          <w:spacing w:val="-9"/>
          <w:lang w:val="de-DE"/>
        </w:rPr>
        <w:t xml:space="preserve"> </w:t>
      </w:r>
      <w:r w:rsidR="00896031">
        <w:rPr>
          <w:spacing w:val="-3"/>
          <w:lang w:val="de-DE"/>
        </w:rPr>
        <w:t>202</w:t>
      </w:r>
      <w:r w:rsidR="007538B2">
        <w:rPr>
          <w:spacing w:val="-3"/>
          <w:lang w:val="de-DE"/>
        </w:rPr>
        <w:t>4</w:t>
      </w:r>
    </w:p>
    <w:p w14:paraId="56C79F22" w14:textId="77777777" w:rsidR="00370088" w:rsidRPr="004E7C33" w:rsidRDefault="005D1C75">
      <w:pPr>
        <w:spacing w:before="7"/>
        <w:rPr>
          <w:rFonts w:ascii="Times New Roman" w:eastAsia="Times New Roman" w:hAnsi="Times New Roman"/>
          <w:b/>
          <w:bCs/>
          <w:sz w:val="23"/>
          <w:szCs w:val="23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24B5FF2" wp14:editId="10AC94D3">
                <wp:simplePos x="0" y="0"/>
                <wp:positionH relativeFrom="page">
                  <wp:posOffset>707390</wp:posOffset>
                </wp:positionH>
                <wp:positionV relativeFrom="paragraph">
                  <wp:posOffset>194310</wp:posOffset>
                </wp:positionV>
                <wp:extent cx="6518275" cy="931545"/>
                <wp:effectExtent l="0" t="0" r="0" b="0"/>
                <wp:wrapTopAndBottom/>
                <wp:docPr id="1840144789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8275" cy="9315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D3AF5" w14:textId="77777777" w:rsidR="003132F8" w:rsidRDefault="003132F8">
                            <w:pPr>
                              <w:spacing w:before="6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16EBAE03" w14:textId="3FDAF06A" w:rsidR="003132F8" w:rsidRPr="003B2FE1" w:rsidRDefault="003132F8">
                            <w:pPr>
                              <w:ind w:left="270" w:right="279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B2FE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de-DE"/>
                              </w:rPr>
                              <w:t xml:space="preserve">Examinatorium Strafprozessrecht </w:t>
                            </w:r>
                            <w:r w:rsidRPr="003B2FE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– </w:t>
                            </w:r>
                            <w:r w:rsidRPr="003B2FE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de-DE"/>
                              </w:rPr>
                              <w:t>Arbeitsblatt Nr.</w:t>
                            </w:r>
                            <w:r w:rsidR="007538B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6"/>
                                <w:sz w:val="24"/>
                                <w:szCs w:val="24"/>
                                <w:lang w:val="de-DE"/>
                              </w:rPr>
                              <w:t> </w:t>
                            </w:r>
                            <w:r w:rsidRPr="003B2FE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11</w:t>
                            </w:r>
                          </w:p>
                          <w:p w14:paraId="6A7F56DE" w14:textId="77777777" w:rsidR="003132F8" w:rsidRPr="003B2FE1" w:rsidRDefault="003132F8">
                            <w:pPr>
                              <w:spacing w:before="14"/>
                              <w:ind w:left="270" w:right="285"/>
                              <w:jc w:val="center"/>
                              <w:rPr>
                                <w:rFonts w:ascii="Times New Roman" w:eastAsia="Times New Roman" w:hAnsi="Times New Roman"/>
                                <w:sz w:val="60"/>
                                <w:szCs w:val="60"/>
                                <w:lang w:val="de-DE"/>
                              </w:rPr>
                            </w:pPr>
                            <w:r w:rsidRPr="003B2FE1">
                              <w:rPr>
                                <w:rFonts w:ascii="Times New Roman" w:hAnsi="Times New Roman"/>
                                <w:b/>
                                <w:spacing w:val="-8"/>
                                <w:sz w:val="60"/>
                                <w:lang w:val="de-DE"/>
                              </w:rPr>
                              <w:t xml:space="preserve">Ausschließung </w:t>
                            </w:r>
                            <w:r w:rsidRPr="003B2FE1">
                              <w:rPr>
                                <w:rFonts w:ascii="Times New Roman" w:hAnsi="Times New Roman"/>
                                <w:b/>
                                <w:spacing w:val="-6"/>
                                <w:sz w:val="60"/>
                                <w:lang w:val="de-DE"/>
                              </w:rPr>
                              <w:t>und</w:t>
                            </w:r>
                            <w:r w:rsidRPr="003B2FE1">
                              <w:rPr>
                                <w:rFonts w:ascii="Times New Roman" w:hAnsi="Times New Roman"/>
                                <w:b/>
                                <w:spacing w:val="-11"/>
                                <w:sz w:val="60"/>
                                <w:lang w:val="de-DE"/>
                              </w:rPr>
                              <w:t xml:space="preserve"> </w:t>
                            </w:r>
                            <w:r w:rsidRPr="003B2FE1">
                              <w:rPr>
                                <w:rFonts w:ascii="Times New Roman" w:hAnsi="Times New Roman"/>
                                <w:b/>
                                <w:spacing w:val="-8"/>
                                <w:sz w:val="60"/>
                                <w:lang w:val="de-DE"/>
                              </w:rPr>
                              <w:t>Ablehnungsgründe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B5FF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5.7pt;margin-top:15.3pt;width:513.25pt;height:73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" fillcolor="#e6e6e6" strokeweight="1.44pt">
                <v:path arrowok="t"/>
                <v:textbox inset="0,0,0,0">
                  <w:txbxContent>
                    <w:p w14:paraId="5C9D3AF5" w14:textId="77777777" w:rsidR="003132F8" w:rsidRDefault="003132F8">
                      <w:pPr>
                        <w:spacing w:before="6"/>
                        <w:rPr>
                          <w:rFonts w:ascii="Times New Roman" w:eastAsia="Times New Roman" w:hAnsi="Times New Roman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16EBAE03" w14:textId="3FDAF06A" w:rsidR="003132F8" w:rsidRPr="003B2FE1" w:rsidRDefault="003132F8">
                      <w:pPr>
                        <w:ind w:left="270" w:right="279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de-DE"/>
                        </w:rPr>
                      </w:pPr>
                      <w:r w:rsidRPr="003B2FE1">
                        <w:rPr>
                          <w:rFonts w:ascii="Times New Roman" w:eastAsia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  <w:lang w:val="de-DE"/>
                        </w:rPr>
                        <w:t xml:space="preserve">Examinatorium Strafprozessrecht </w:t>
                      </w:r>
                      <w:r w:rsidRPr="003B2FE1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– </w:t>
                      </w:r>
                      <w:r w:rsidRPr="003B2FE1">
                        <w:rPr>
                          <w:rFonts w:ascii="Times New Roman" w:eastAsia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  <w:lang w:val="de-DE"/>
                        </w:rPr>
                        <w:t>Arbeitsblatt Nr.</w:t>
                      </w:r>
                      <w:r w:rsidR="007538B2">
                        <w:rPr>
                          <w:rFonts w:ascii="Times New Roman" w:eastAsia="Times New Roman" w:hAnsi="Times New Roman"/>
                          <w:b/>
                          <w:bCs/>
                          <w:spacing w:val="-16"/>
                          <w:sz w:val="24"/>
                          <w:szCs w:val="24"/>
                          <w:lang w:val="de-DE"/>
                        </w:rPr>
                        <w:t> </w:t>
                      </w:r>
                      <w:r w:rsidRPr="003B2FE1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11</w:t>
                      </w:r>
                    </w:p>
                    <w:p w14:paraId="6A7F56DE" w14:textId="77777777" w:rsidR="003132F8" w:rsidRPr="003B2FE1" w:rsidRDefault="003132F8">
                      <w:pPr>
                        <w:spacing w:before="14"/>
                        <w:ind w:left="270" w:right="285"/>
                        <w:jc w:val="center"/>
                        <w:rPr>
                          <w:rFonts w:ascii="Times New Roman" w:eastAsia="Times New Roman" w:hAnsi="Times New Roman"/>
                          <w:sz w:val="60"/>
                          <w:szCs w:val="60"/>
                          <w:lang w:val="de-DE"/>
                        </w:rPr>
                      </w:pPr>
                      <w:r w:rsidRPr="003B2FE1">
                        <w:rPr>
                          <w:rFonts w:ascii="Times New Roman" w:hAnsi="Times New Roman"/>
                          <w:b/>
                          <w:spacing w:val="-8"/>
                          <w:sz w:val="60"/>
                          <w:lang w:val="de-DE"/>
                        </w:rPr>
                        <w:t xml:space="preserve">Ausschließung </w:t>
                      </w:r>
                      <w:r w:rsidRPr="003B2FE1">
                        <w:rPr>
                          <w:rFonts w:ascii="Times New Roman" w:hAnsi="Times New Roman"/>
                          <w:b/>
                          <w:spacing w:val="-6"/>
                          <w:sz w:val="60"/>
                          <w:lang w:val="de-DE"/>
                        </w:rPr>
                        <w:t>und</w:t>
                      </w:r>
                      <w:r w:rsidRPr="003B2FE1">
                        <w:rPr>
                          <w:rFonts w:ascii="Times New Roman" w:hAnsi="Times New Roman"/>
                          <w:b/>
                          <w:spacing w:val="-11"/>
                          <w:sz w:val="60"/>
                          <w:lang w:val="de-DE"/>
                        </w:rPr>
                        <w:t xml:space="preserve"> </w:t>
                      </w:r>
                      <w:r w:rsidRPr="003B2FE1">
                        <w:rPr>
                          <w:rFonts w:ascii="Times New Roman" w:hAnsi="Times New Roman"/>
                          <w:b/>
                          <w:spacing w:val="-8"/>
                          <w:sz w:val="60"/>
                          <w:lang w:val="de-DE"/>
                        </w:rPr>
                        <w:t>Ablehnungsgründe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30B305" w14:textId="77777777" w:rsidR="00370088" w:rsidRPr="00976816" w:rsidRDefault="00370088" w:rsidP="003445A2">
      <w:pPr>
        <w:spacing w:before="10" w:line="235" w:lineRule="auto"/>
        <w:rPr>
          <w:rFonts w:ascii="Times New Roman" w:eastAsia="Times New Roman" w:hAnsi="Times New Roman"/>
          <w:b/>
          <w:bCs/>
          <w:sz w:val="16"/>
          <w:szCs w:val="16"/>
          <w:lang w:val="de-DE"/>
        </w:rPr>
      </w:pPr>
    </w:p>
    <w:p w14:paraId="3E508E39" w14:textId="13A45A8D" w:rsidR="00370088" w:rsidRPr="003445A2" w:rsidRDefault="00FC57D4" w:rsidP="003445A2">
      <w:pPr>
        <w:pStyle w:val="HellesRaster-Akzent31"/>
        <w:numPr>
          <w:ilvl w:val="0"/>
          <w:numId w:val="1"/>
        </w:numPr>
        <w:tabs>
          <w:tab w:val="left" w:pos="419"/>
        </w:tabs>
        <w:spacing w:line="235" w:lineRule="auto"/>
        <w:ind w:right="198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3445A2">
        <w:rPr>
          <w:rFonts w:ascii="Times New Roman" w:eastAsia="Times New Roman" w:hAnsi="Times New Roman"/>
          <w:b/>
          <w:bCs/>
          <w:spacing w:val="-3"/>
          <w:sz w:val="16"/>
          <w:szCs w:val="16"/>
          <w:lang w:val="de-DE"/>
        </w:rPr>
        <w:t>Allgemeines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: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 xml:space="preserve">Die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prozessuale </w:t>
      </w:r>
      <w:r w:rsidRPr="003445A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Mitwirkung </w:t>
      </w:r>
      <w:r w:rsidRPr="003445A2">
        <w:rPr>
          <w:rFonts w:ascii="Times New Roman" w:eastAsia="Times New Roman" w:hAnsi="Times New Roman"/>
          <w:spacing w:val="-2"/>
          <w:sz w:val="16"/>
          <w:szCs w:val="16"/>
          <w:lang w:val="de-DE"/>
        </w:rPr>
        <w:t xml:space="preserve">von </w:t>
      </w:r>
      <w:r w:rsidR="00094F2E"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Richtern (mit Abstrichen auch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Staatsanwälten</w:t>
      </w:r>
      <w:r w:rsidR="00997935"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, vgl. unten IV.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),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 xml:space="preserve">die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parteiisch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 xml:space="preserve">oder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sonst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 xml:space="preserve">in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irgendeiner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 xml:space="preserve">Weise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befangen sind, stellt eine Gefahr für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 xml:space="preserve">die </w:t>
      </w:r>
      <w:r w:rsidR="0090385C"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Tatsachenfeststellung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und</w:t>
      </w:r>
      <w:r w:rsidR="0090385C"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damit für die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gerechte Urteilsfindung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 xml:space="preserve">dar. Das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Gesetz sieht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>daher vor, dass</w:t>
      </w:r>
      <w:r w:rsidRPr="003445A2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Personen,</w:t>
      </w:r>
      <w:r w:rsidRPr="003445A2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>bei</w:t>
      </w:r>
      <w:r w:rsidRPr="003445A2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>denen</w:t>
      </w:r>
      <w:r w:rsidRPr="003445A2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eine</w:t>
      </w:r>
      <w:r w:rsidRPr="003445A2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Gefahr</w:t>
      </w:r>
      <w:r w:rsidRPr="003445A2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>der</w:t>
      </w:r>
      <w:r w:rsidRPr="003445A2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Voreingenommenheit</w:t>
      </w:r>
      <w:r w:rsidRPr="003445A2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besteht,</w:t>
      </w:r>
      <w:r w:rsidRPr="003445A2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nicht</w:t>
      </w:r>
      <w:r w:rsidRPr="003445A2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>als</w:t>
      </w:r>
      <w:r w:rsidRPr="003445A2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Richter</w:t>
      </w:r>
      <w:r w:rsid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oder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Schöffen</w:t>
      </w:r>
      <w:r w:rsidRPr="003445A2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tätig</w:t>
      </w:r>
      <w:r w:rsidRPr="003445A2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werden dürfen.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 xml:space="preserve">Dabei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ist </w:t>
      </w:r>
      <w:r w:rsidRPr="003445A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zwischen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3445A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Ausschließung </w:t>
      </w:r>
      <w:r w:rsidRPr="003445A2">
        <w:rPr>
          <w:rFonts w:ascii="Times New Roman" w:eastAsia="Times New Roman" w:hAnsi="Times New Roman"/>
          <w:spacing w:val="-2"/>
          <w:sz w:val="16"/>
          <w:szCs w:val="16"/>
          <w:lang w:val="de-DE"/>
        </w:rPr>
        <w:t xml:space="preserve">von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Richtern kraft Gesetz</w:t>
      </w:r>
      <w:r w:rsidR="00094F2E"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es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>(§§</w:t>
      </w:r>
      <w:r w:rsidR="0015293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 xml:space="preserve">22, 23 StPO)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und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Richterablehnung nach </w:t>
      </w:r>
      <w:r w:rsidRPr="003445A2">
        <w:rPr>
          <w:rFonts w:ascii="Times New Roman" w:eastAsia="Times New Roman" w:hAnsi="Times New Roman"/>
          <w:spacing w:val="-5"/>
          <w:sz w:val="16"/>
          <w:szCs w:val="16"/>
          <w:lang w:val="de-DE"/>
        </w:rPr>
        <w:t>An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>trag</w:t>
      </w:r>
      <w:r w:rsidRPr="003445A2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seitens</w:t>
      </w:r>
      <w:r w:rsidRPr="003445A2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einer</w:t>
      </w:r>
      <w:r w:rsidRPr="003445A2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Prozesspartei</w:t>
      </w:r>
      <w:r w:rsidRPr="003445A2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>(§</w:t>
      </w:r>
      <w:r w:rsidR="00BC509E">
        <w:rPr>
          <w:rFonts w:ascii="Times New Roman" w:eastAsia="Times New Roman" w:hAnsi="Times New Roman"/>
          <w:spacing w:val="-7"/>
          <w:sz w:val="16"/>
          <w:szCs w:val="16"/>
          <w:lang w:val="de-DE"/>
        </w:rPr>
        <w:t> 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>24</w:t>
      </w:r>
      <w:r w:rsidRPr="003445A2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>StPO)</w:t>
      </w:r>
      <w:r w:rsidRPr="003445A2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z w:val="16"/>
          <w:szCs w:val="16"/>
          <w:lang w:val="de-DE"/>
        </w:rPr>
        <w:t>zu</w:t>
      </w:r>
      <w:r w:rsidRPr="003445A2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3445A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differenzieren.</w:t>
      </w:r>
      <w:r w:rsidR="00702929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Die Regelungen gelten </w:t>
      </w:r>
      <w:r w:rsidR="005325BD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nach § 31</w:t>
      </w:r>
      <w:r w:rsidR="00A430A0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 </w:t>
      </w:r>
      <w:r w:rsidR="005325BD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I StPO </w:t>
      </w:r>
      <w:r w:rsidR="00702929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auch für Schöffen.</w:t>
      </w:r>
    </w:p>
    <w:p w14:paraId="336CFE85" w14:textId="40133FFD" w:rsidR="00370088" w:rsidRPr="003445A2" w:rsidRDefault="00FC57D4" w:rsidP="003445A2">
      <w:pPr>
        <w:pStyle w:val="berschrift2"/>
        <w:numPr>
          <w:ilvl w:val="0"/>
          <w:numId w:val="1"/>
        </w:numPr>
        <w:tabs>
          <w:tab w:val="left" w:pos="419"/>
        </w:tabs>
        <w:spacing w:line="235" w:lineRule="auto"/>
        <w:ind w:hanging="283"/>
        <w:rPr>
          <w:b w:val="0"/>
          <w:bCs w:val="0"/>
          <w:sz w:val="16"/>
          <w:szCs w:val="16"/>
          <w:lang w:val="de-DE"/>
        </w:rPr>
      </w:pPr>
      <w:r w:rsidRPr="003445A2">
        <w:rPr>
          <w:spacing w:val="-3"/>
          <w:sz w:val="16"/>
          <w:szCs w:val="16"/>
          <w:lang w:val="de-DE"/>
        </w:rPr>
        <w:t>Ausschließung</w:t>
      </w:r>
      <w:r w:rsidRPr="003445A2">
        <w:rPr>
          <w:spacing w:val="-9"/>
          <w:sz w:val="16"/>
          <w:szCs w:val="16"/>
          <w:lang w:val="de-DE"/>
        </w:rPr>
        <w:t xml:space="preserve"> </w:t>
      </w:r>
      <w:r w:rsidRPr="003445A2">
        <w:rPr>
          <w:sz w:val="16"/>
          <w:szCs w:val="16"/>
          <w:lang w:val="de-DE"/>
        </w:rPr>
        <w:t>von</w:t>
      </w:r>
      <w:r w:rsidRPr="003445A2">
        <w:rPr>
          <w:spacing w:val="-10"/>
          <w:sz w:val="16"/>
          <w:szCs w:val="16"/>
          <w:lang w:val="de-DE"/>
        </w:rPr>
        <w:t xml:space="preserve"> </w:t>
      </w:r>
      <w:r w:rsidRPr="003445A2">
        <w:rPr>
          <w:spacing w:val="-3"/>
          <w:sz w:val="16"/>
          <w:szCs w:val="16"/>
          <w:lang w:val="de-DE"/>
        </w:rPr>
        <w:t>Richtern</w:t>
      </w:r>
      <w:r w:rsidR="0006146F">
        <w:rPr>
          <w:spacing w:val="-3"/>
          <w:sz w:val="16"/>
          <w:szCs w:val="16"/>
          <w:lang w:val="de-DE"/>
        </w:rPr>
        <w:t xml:space="preserve"> kraft Gesetzes</w:t>
      </w:r>
      <w:r w:rsidRPr="003445A2">
        <w:rPr>
          <w:sz w:val="16"/>
          <w:szCs w:val="16"/>
          <w:lang w:val="de-DE"/>
        </w:rPr>
        <w:t>,</w:t>
      </w:r>
      <w:r w:rsidRPr="003445A2">
        <w:rPr>
          <w:spacing w:val="-9"/>
          <w:sz w:val="16"/>
          <w:szCs w:val="16"/>
          <w:lang w:val="de-DE"/>
        </w:rPr>
        <w:t xml:space="preserve"> </w:t>
      </w:r>
      <w:r w:rsidRPr="003445A2">
        <w:rPr>
          <w:sz w:val="16"/>
          <w:szCs w:val="16"/>
          <w:lang w:val="de-DE"/>
        </w:rPr>
        <w:t>§§</w:t>
      </w:r>
      <w:r w:rsidR="00152933">
        <w:rPr>
          <w:spacing w:val="-9"/>
          <w:sz w:val="16"/>
          <w:szCs w:val="16"/>
          <w:lang w:val="de-DE"/>
        </w:rPr>
        <w:t> </w:t>
      </w:r>
      <w:r w:rsidRPr="003445A2">
        <w:rPr>
          <w:sz w:val="16"/>
          <w:szCs w:val="16"/>
          <w:lang w:val="de-DE"/>
        </w:rPr>
        <w:t>22,</w:t>
      </w:r>
      <w:r w:rsidRPr="003445A2">
        <w:rPr>
          <w:spacing w:val="-9"/>
          <w:sz w:val="16"/>
          <w:szCs w:val="16"/>
          <w:lang w:val="de-DE"/>
        </w:rPr>
        <w:t xml:space="preserve"> </w:t>
      </w:r>
      <w:r w:rsidRPr="003445A2">
        <w:rPr>
          <w:sz w:val="16"/>
          <w:szCs w:val="16"/>
          <w:lang w:val="de-DE"/>
        </w:rPr>
        <w:t>23</w:t>
      </w:r>
      <w:r w:rsidRPr="003445A2">
        <w:rPr>
          <w:spacing w:val="-9"/>
          <w:sz w:val="16"/>
          <w:szCs w:val="16"/>
          <w:lang w:val="de-DE"/>
        </w:rPr>
        <w:t xml:space="preserve"> </w:t>
      </w:r>
      <w:r w:rsidRPr="003445A2">
        <w:rPr>
          <w:sz w:val="16"/>
          <w:szCs w:val="16"/>
          <w:lang w:val="de-DE"/>
        </w:rPr>
        <w:t>StPO:</w:t>
      </w:r>
    </w:p>
    <w:p w14:paraId="776CF7AD" w14:textId="77777777" w:rsidR="00370088" w:rsidRPr="008343C1" w:rsidRDefault="00FC57D4" w:rsidP="008343C1">
      <w:pPr>
        <w:pStyle w:val="HellesRaster-Akzent31"/>
        <w:numPr>
          <w:ilvl w:val="1"/>
          <w:numId w:val="1"/>
        </w:numPr>
        <w:tabs>
          <w:tab w:val="left" w:pos="712"/>
        </w:tabs>
        <w:spacing w:line="235" w:lineRule="auto"/>
        <w:ind w:left="423" w:hanging="5"/>
        <w:rPr>
          <w:rFonts w:ascii="Times New Roman" w:eastAsia="Times New Roman" w:hAnsi="Times New Roman"/>
          <w:sz w:val="16"/>
          <w:szCs w:val="16"/>
          <w:lang w:val="de-DE"/>
        </w:rPr>
      </w:pPr>
      <w:r w:rsidRPr="008343C1">
        <w:rPr>
          <w:rFonts w:ascii="Times New Roman" w:hAnsi="Times New Roman"/>
          <w:spacing w:val="-4"/>
          <w:sz w:val="16"/>
          <w:szCs w:val="16"/>
          <w:u w:val="single" w:color="000000"/>
          <w:lang w:val="de-DE"/>
        </w:rPr>
        <w:t>Fallgruppen:</w:t>
      </w:r>
    </w:p>
    <w:p w14:paraId="2A668D01" w14:textId="64114DCC" w:rsidR="00370088" w:rsidRPr="008343C1" w:rsidRDefault="00FC57D4" w:rsidP="008343C1">
      <w:pPr>
        <w:pStyle w:val="HellesRaster-Akzent31"/>
        <w:numPr>
          <w:ilvl w:val="2"/>
          <w:numId w:val="1"/>
        </w:numPr>
        <w:tabs>
          <w:tab w:val="left" w:pos="988"/>
        </w:tabs>
        <w:spacing w:before="5" w:line="235" w:lineRule="auto"/>
        <w:ind w:right="200" w:hanging="286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8343C1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Eigene Betroffenheit: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15293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22 Nr.</w:t>
      </w:r>
      <w:r w:rsidR="000508FE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1 StPO: </w:t>
      </w:r>
      <w:r w:rsidR="0006146F">
        <w:rPr>
          <w:rFonts w:ascii="Times New Roman" w:eastAsia="Times New Roman" w:hAnsi="Times New Roman"/>
          <w:sz w:val="16"/>
          <w:szCs w:val="16"/>
          <w:lang w:val="de-DE"/>
        </w:rPr>
        <w:t>D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er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Richter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war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selbst (unmittelbares) Opfer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Straftat. Eine lediglich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mittel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bare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Betroffenheit</w:t>
      </w:r>
      <w:r w:rsidR="007D034F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reich</w:t>
      </w:r>
      <w:r w:rsidR="00D666E3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t</w:t>
      </w:r>
      <w:r w:rsidR="007D034F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nicht aus</w:t>
      </w:r>
      <w:r w:rsidR="0006146F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. D</w:t>
      </w:r>
      <w:r w:rsidR="007D034F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iese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liegt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vor,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wenn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Richter Mitglied einer verletzten juristischen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Person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ist. Anders wiederum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(=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unmittelbare Betroffenheit),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wenn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er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Gesellschafter einer verletzten </w:t>
      </w:r>
      <w:r w:rsidRPr="008343C1">
        <w:rPr>
          <w:rFonts w:ascii="Times New Roman" w:eastAsia="Times New Roman" w:hAnsi="Times New Roman"/>
          <w:b/>
          <w:bCs/>
          <w:spacing w:val="-3"/>
          <w:sz w:val="16"/>
          <w:szCs w:val="16"/>
          <w:lang w:val="de-DE"/>
        </w:rPr>
        <w:t>Personengesellschaft</w:t>
      </w:r>
      <w:r w:rsidRPr="008343C1">
        <w:rPr>
          <w:rFonts w:ascii="Times New Roman" w:eastAsia="Times New Roman" w:hAnsi="Times New Roman"/>
          <w:b/>
          <w:bCs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ist.</w:t>
      </w:r>
    </w:p>
    <w:p w14:paraId="3B3C1B15" w14:textId="5FCA6FAD" w:rsidR="00370088" w:rsidRPr="008343C1" w:rsidRDefault="00FC57D4" w:rsidP="008343C1">
      <w:pPr>
        <w:pStyle w:val="HellesRaster-Akzent31"/>
        <w:numPr>
          <w:ilvl w:val="2"/>
          <w:numId w:val="1"/>
        </w:numPr>
        <w:tabs>
          <w:tab w:val="left" w:pos="988"/>
        </w:tabs>
        <w:spacing w:line="235" w:lineRule="auto"/>
        <w:ind w:hanging="286"/>
        <w:rPr>
          <w:rFonts w:ascii="Times New Roman" w:eastAsia="Times New Roman" w:hAnsi="Times New Roman"/>
          <w:sz w:val="16"/>
          <w:szCs w:val="16"/>
          <w:lang w:val="de-DE"/>
        </w:rPr>
      </w:pPr>
      <w:r w:rsidRPr="008343C1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Persönliches</w:t>
      </w:r>
      <w:r w:rsidRPr="008343C1">
        <w:rPr>
          <w:rFonts w:ascii="Times New Roman" w:eastAsia="Times New Roman" w:hAnsi="Times New Roman"/>
          <w:spacing w:val="-9"/>
          <w:sz w:val="16"/>
          <w:szCs w:val="16"/>
          <w:u w:val="single" w:color="000000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Näheverhältnis:</w:t>
      </w:r>
      <w:r w:rsidRPr="008343C1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152933">
        <w:rPr>
          <w:rFonts w:ascii="Times New Roman" w:eastAsia="Times New Roman" w:hAnsi="Times New Roman"/>
          <w:spacing w:val="-7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22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Nr.</w:t>
      </w:r>
      <w:r w:rsidR="00152933">
        <w:rPr>
          <w:rFonts w:ascii="Times New Roman" w:eastAsia="Times New Roman" w:hAnsi="Times New Roman"/>
          <w:spacing w:val="-7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2,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3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StPO:</w:t>
      </w:r>
      <w:r w:rsidRPr="008343C1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bei</w:t>
      </w:r>
      <w:r w:rsidRPr="008343C1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enger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familiärer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Beziehung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2"/>
          <w:sz w:val="16"/>
          <w:szCs w:val="16"/>
          <w:lang w:val="de-DE"/>
        </w:rPr>
        <w:t>zum</w:t>
      </w:r>
      <w:r w:rsidRPr="008343C1">
        <w:rPr>
          <w:rFonts w:ascii="Times New Roman" w:eastAsia="Times New Roman" w:hAnsi="Times New Roman"/>
          <w:spacing w:val="-12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Beschuldigten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oder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Verletzten.</w:t>
      </w:r>
    </w:p>
    <w:p w14:paraId="0BE7C58E" w14:textId="61674B20" w:rsidR="00370088" w:rsidRPr="008343C1" w:rsidRDefault="00FC57D4" w:rsidP="008343C1">
      <w:pPr>
        <w:pStyle w:val="HellesRaster-Akzent31"/>
        <w:numPr>
          <w:ilvl w:val="2"/>
          <w:numId w:val="1"/>
        </w:numPr>
        <w:tabs>
          <w:tab w:val="left" w:pos="988"/>
        </w:tabs>
        <w:spacing w:before="5" w:line="235" w:lineRule="auto"/>
        <w:ind w:right="198" w:hanging="286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8343C1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 xml:space="preserve">Berufliche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u w:val="single" w:color="000000"/>
          <w:lang w:val="de-DE"/>
        </w:rPr>
        <w:t>Voreingenommenheit: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15293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22 Nr.</w:t>
      </w:r>
      <w:r w:rsidR="0015293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4, 5 StPO, §</w:t>
      </w:r>
      <w:r w:rsidR="0015293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23 StPO: </w:t>
      </w:r>
      <w:r w:rsidR="0006146F">
        <w:rPr>
          <w:rFonts w:ascii="Times New Roman" w:eastAsia="Times New Roman" w:hAnsi="Times New Roman"/>
          <w:sz w:val="16"/>
          <w:szCs w:val="16"/>
          <w:lang w:val="de-DE"/>
        </w:rPr>
        <w:t>D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er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Richter hat bereits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in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einem früheren Stadium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des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Verfahrens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(derselben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Rechtssache</w:t>
      </w:r>
      <w:r w:rsidR="00094F2E"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,</w:t>
      </w:r>
      <w:r w:rsidRPr="008343C1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weite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Auslegung)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mitgewirkt,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2"/>
          <w:sz w:val="16"/>
          <w:szCs w:val="16"/>
          <w:lang w:val="de-DE"/>
        </w:rPr>
        <w:t>sei</w:t>
      </w:r>
      <w:r w:rsidRPr="008343C1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es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als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Richter,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als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Zeuge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oder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Staatsanwalt.</w:t>
      </w:r>
      <w:r w:rsidR="00333E38"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 Die Tatsache, dass der Richter </w:t>
      </w:r>
      <w:r w:rsidR="009777A5"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als Ermittlungsrichter tätig war bzw. </w:t>
      </w:r>
      <w:r w:rsidR="00333E38"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im Zwischenverfahren die Anklage zugelassen und das </w:t>
      </w:r>
      <w:r w:rsidR="009777A5"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Hauptv</w:t>
      </w:r>
      <w:r w:rsidR="00333E38"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erfahren eröffnet hat, stellt </w:t>
      </w:r>
      <w:r w:rsidR="0006146F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hingegen </w:t>
      </w:r>
      <w:r w:rsidR="00333E38"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keine berufliche Voreingenommenheit dar.</w:t>
      </w:r>
    </w:p>
    <w:p w14:paraId="559292A8" w14:textId="77777777" w:rsidR="001B4387" w:rsidRPr="008343C1" w:rsidRDefault="00FC57D4" w:rsidP="008343C1">
      <w:pPr>
        <w:pStyle w:val="HellesRaster-Akzent31"/>
        <w:numPr>
          <w:ilvl w:val="1"/>
          <w:numId w:val="1"/>
        </w:numPr>
        <w:tabs>
          <w:tab w:val="left" w:pos="712"/>
        </w:tabs>
        <w:spacing w:line="235" w:lineRule="auto"/>
        <w:ind w:left="423" w:right="3915" w:hanging="5"/>
        <w:rPr>
          <w:rFonts w:ascii="Times New Roman" w:eastAsia="Times New Roman" w:hAnsi="Times New Roman"/>
          <w:sz w:val="16"/>
          <w:szCs w:val="16"/>
          <w:lang w:val="de-DE"/>
        </w:rPr>
      </w:pPr>
      <w:r w:rsidRPr="008343C1">
        <w:rPr>
          <w:rFonts w:ascii="Times New Roman" w:eastAsia="Times New Roman" w:hAnsi="Times New Roman"/>
          <w:spacing w:val="-4"/>
          <w:sz w:val="16"/>
          <w:szCs w:val="16"/>
          <w:u w:val="single" w:color="000000"/>
          <w:lang w:val="de-DE"/>
        </w:rPr>
        <w:t>Geltendmachung: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Die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Ausschließung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greift unmittelbar kraft Gesetzes ein.</w:t>
      </w:r>
    </w:p>
    <w:p w14:paraId="7311081A" w14:textId="1AAD9E2C" w:rsidR="00370088" w:rsidRPr="008343C1" w:rsidRDefault="00FC57D4" w:rsidP="008343C1">
      <w:pPr>
        <w:pStyle w:val="HellesRaster-Akzent31"/>
        <w:numPr>
          <w:ilvl w:val="1"/>
          <w:numId w:val="1"/>
        </w:numPr>
        <w:tabs>
          <w:tab w:val="left" w:pos="712"/>
        </w:tabs>
        <w:spacing w:line="235" w:lineRule="auto"/>
        <w:ind w:left="423" w:right="3915" w:hanging="5"/>
        <w:rPr>
          <w:rFonts w:ascii="Times New Roman" w:eastAsia="Times New Roman" w:hAnsi="Times New Roman"/>
          <w:sz w:val="16"/>
          <w:szCs w:val="16"/>
          <w:lang w:val="de-DE"/>
        </w:rPr>
      </w:pPr>
      <w:r w:rsidRPr="008343C1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 xml:space="preserve">Rechtsfolge </w:t>
      </w:r>
      <w:r w:rsidRPr="008343C1">
        <w:rPr>
          <w:rFonts w:ascii="Times New Roman" w:eastAsia="Times New Roman" w:hAnsi="Times New Roman"/>
          <w:sz w:val="16"/>
          <w:szCs w:val="16"/>
          <w:u w:val="single" w:color="000000"/>
          <w:lang w:val="de-DE"/>
        </w:rPr>
        <w:t xml:space="preserve">bei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Verstoß: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Absoluter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Revisionsgrund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nach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15293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338 Nr.</w:t>
      </w:r>
      <w:r w:rsidR="0006146F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2</w:t>
      </w:r>
      <w:r w:rsidRPr="008343C1">
        <w:rPr>
          <w:rFonts w:ascii="Times New Roman" w:eastAsia="Times New Roman" w:hAnsi="Times New Roman"/>
          <w:spacing w:val="-1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StPO.</w:t>
      </w:r>
    </w:p>
    <w:p w14:paraId="6F70BBD0" w14:textId="77777777" w:rsidR="00370088" w:rsidRPr="008343C1" w:rsidRDefault="00FC57D4" w:rsidP="008343C1">
      <w:pPr>
        <w:pStyle w:val="berschrift2"/>
        <w:numPr>
          <w:ilvl w:val="0"/>
          <w:numId w:val="1"/>
        </w:numPr>
        <w:tabs>
          <w:tab w:val="left" w:pos="455"/>
        </w:tabs>
        <w:spacing w:line="235" w:lineRule="auto"/>
        <w:ind w:left="454" w:hanging="319"/>
        <w:rPr>
          <w:b w:val="0"/>
          <w:bCs w:val="0"/>
          <w:sz w:val="16"/>
          <w:szCs w:val="16"/>
          <w:lang w:val="de-DE"/>
        </w:rPr>
      </w:pPr>
      <w:r w:rsidRPr="008343C1">
        <w:rPr>
          <w:spacing w:val="-3"/>
          <w:sz w:val="16"/>
          <w:szCs w:val="16"/>
          <w:lang w:val="de-DE"/>
        </w:rPr>
        <w:t>Ablehnung</w:t>
      </w:r>
      <w:r w:rsidRPr="008343C1">
        <w:rPr>
          <w:spacing w:val="-8"/>
          <w:sz w:val="16"/>
          <w:szCs w:val="16"/>
          <w:lang w:val="de-DE"/>
        </w:rPr>
        <w:t xml:space="preserve"> </w:t>
      </w:r>
      <w:r w:rsidRPr="008343C1">
        <w:rPr>
          <w:sz w:val="16"/>
          <w:szCs w:val="16"/>
          <w:lang w:val="de-DE"/>
        </w:rPr>
        <w:t>eines</w:t>
      </w:r>
      <w:r w:rsidRPr="008343C1">
        <w:rPr>
          <w:spacing w:val="-9"/>
          <w:sz w:val="16"/>
          <w:szCs w:val="16"/>
          <w:lang w:val="de-DE"/>
        </w:rPr>
        <w:t xml:space="preserve"> </w:t>
      </w:r>
      <w:r w:rsidRPr="008343C1">
        <w:rPr>
          <w:spacing w:val="-3"/>
          <w:sz w:val="16"/>
          <w:szCs w:val="16"/>
          <w:lang w:val="de-DE"/>
        </w:rPr>
        <w:t>Richters</w:t>
      </w:r>
      <w:r w:rsidRPr="008343C1">
        <w:rPr>
          <w:spacing w:val="-9"/>
          <w:sz w:val="16"/>
          <w:szCs w:val="16"/>
          <w:lang w:val="de-DE"/>
        </w:rPr>
        <w:t xml:space="preserve"> </w:t>
      </w:r>
      <w:r w:rsidRPr="008343C1">
        <w:rPr>
          <w:sz w:val="16"/>
          <w:szCs w:val="16"/>
          <w:lang w:val="de-DE"/>
        </w:rPr>
        <w:t>wegen</w:t>
      </w:r>
      <w:r w:rsidRPr="008343C1">
        <w:rPr>
          <w:spacing w:val="-8"/>
          <w:sz w:val="16"/>
          <w:szCs w:val="16"/>
          <w:lang w:val="de-DE"/>
        </w:rPr>
        <w:t xml:space="preserve"> </w:t>
      </w:r>
      <w:r w:rsidRPr="008343C1">
        <w:rPr>
          <w:spacing w:val="-3"/>
          <w:sz w:val="16"/>
          <w:szCs w:val="16"/>
          <w:lang w:val="de-DE"/>
        </w:rPr>
        <w:t>Besorgnis</w:t>
      </w:r>
      <w:r w:rsidRPr="008343C1">
        <w:rPr>
          <w:spacing w:val="-9"/>
          <w:sz w:val="16"/>
          <w:szCs w:val="16"/>
          <w:lang w:val="de-DE"/>
        </w:rPr>
        <w:t xml:space="preserve"> </w:t>
      </w:r>
      <w:r w:rsidRPr="008343C1">
        <w:rPr>
          <w:sz w:val="16"/>
          <w:szCs w:val="16"/>
          <w:lang w:val="de-DE"/>
        </w:rPr>
        <w:t>der</w:t>
      </w:r>
      <w:r w:rsidRPr="008343C1">
        <w:rPr>
          <w:spacing w:val="-8"/>
          <w:sz w:val="16"/>
          <w:szCs w:val="16"/>
          <w:lang w:val="de-DE"/>
        </w:rPr>
        <w:t xml:space="preserve"> </w:t>
      </w:r>
      <w:r w:rsidRPr="008343C1">
        <w:rPr>
          <w:spacing w:val="-3"/>
          <w:sz w:val="16"/>
          <w:szCs w:val="16"/>
          <w:lang w:val="de-DE"/>
        </w:rPr>
        <w:t>Befangenheit,</w:t>
      </w:r>
      <w:r w:rsidRPr="008343C1">
        <w:rPr>
          <w:spacing w:val="-8"/>
          <w:sz w:val="16"/>
          <w:szCs w:val="16"/>
          <w:lang w:val="de-DE"/>
        </w:rPr>
        <w:t xml:space="preserve"> </w:t>
      </w:r>
      <w:r w:rsidRPr="008343C1">
        <w:rPr>
          <w:sz w:val="16"/>
          <w:szCs w:val="16"/>
          <w:lang w:val="de-DE"/>
        </w:rPr>
        <w:t>§</w:t>
      </w:r>
      <w:r w:rsidR="00152933">
        <w:rPr>
          <w:spacing w:val="-8"/>
          <w:sz w:val="16"/>
          <w:szCs w:val="16"/>
          <w:lang w:val="de-DE"/>
        </w:rPr>
        <w:t> </w:t>
      </w:r>
      <w:r w:rsidRPr="008343C1">
        <w:rPr>
          <w:sz w:val="16"/>
          <w:szCs w:val="16"/>
          <w:lang w:val="de-DE"/>
        </w:rPr>
        <w:t>24</w:t>
      </w:r>
      <w:r w:rsidRPr="008343C1">
        <w:rPr>
          <w:spacing w:val="-8"/>
          <w:sz w:val="16"/>
          <w:szCs w:val="16"/>
          <w:lang w:val="de-DE"/>
        </w:rPr>
        <w:t xml:space="preserve"> </w:t>
      </w:r>
      <w:r w:rsidRPr="008343C1">
        <w:rPr>
          <w:sz w:val="16"/>
          <w:szCs w:val="16"/>
          <w:lang w:val="de-DE"/>
        </w:rPr>
        <w:t>I</w:t>
      </w:r>
      <w:r w:rsidRPr="008343C1">
        <w:rPr>
          <w:spacing w:val="-9"/>
          <w:sz w:val="16"/>
          <w:szCs w:val="16"/>
          <w:lang w:val="de-DE"/>
        </w:rPr>
        <w:t xml:space="preserve"> </w:t>
      </w:r>
      <w:r w:rsidRPr="008343C1">
        <w:rPr>
          <w:sz w:val="16"/>
          <w:szCs w:val="16"/>
          <w:lang w:val="de-DE"/>
        </w:rPr>
        <w:t>Alt.</w:t>
      </w:r>
      <w:r w:rsidR="00152933">
        <w:rPr>
          <w:spacing w:val="-8"/>
          <w:sz w:val="16"/>
          <w:szCs w:val="16"/>
          <w:lang w:val="de-DE"/>
        </w:rPr>
        <w:t> </w:t>
      </w:r>
      <w:r w:rsidRPr="008343C1">
        <w:rPr>
          <w:sz w:val="16"/>
          <w:szCs w:val="16"/>
          <w:lang w:val="de-DE"/>
        </w:rPr>
        <w:t>2,</w:t>
      </w:r>
      <w:r w:rsidRPr="008343C1">
        <w:rPr>
          <w:spacing w:val="-8"/>
          <w:sz w:val="16"/>
          <w:szCs w:val="16"/>
          <w:lang w:val="de-DE"/>
        </w:rPr>
        <w:t xml:space="preserve"> </w:t>
      </w:r>
      <w:r w:rsidRPr="008343C1">
        <w:rPr>
          <w:sz w:val="16"/>
          <w:szCs w:val="16"/>
          <w:lang w:val="de-DE"/>
        </w:rPr>
        <w:t>II</w:t>
      </w:r>
      <w:r w:rsidRPr="008343C1">
        <w:rPr>
          <w:spacing w:val="-9"/>
          <w:sz w:val="16"/>
          <w:szCs w:val="16"/>
          <w:lang w:val="de-DE"/>
        </w:rPr>
        <w:t xml:space="preserve"> </w:t>
      </w:r>
      <w:r w:rsidRPr="008343C1">
        <w:rPr>
          <w:sz w:val="16"/>
          <w:szCs w:val="16"/>
          <w:lang w:val="de-DE"/>
        </w:rPr>
        <w:t>StPO</w:t>
      </w:r>
    </w:p>
    <w:p w14:paraId="52E209D5" w14:textId="273146DF" w:rsidR="00370088" w:rsidRPr="008343C1" w:rsidRDefault="00FC57D4" w:rsidP="008343C1">
      <w:pPr>
        <w:pStyle w:val="HellesRaster-Akzent31"/>
        <w:numPr>
          <w:ilvl w:val="1"/>
          <w:numId w:val="1"/>
        </w:numPr>
        <w:tabs>
          <w:tab w:val="left" w:pos="702"/>
        </w:tabs>
        <w:spacing w:line="235" w:lineRule="auto"/>
        <w:ind w:right="199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8343C1">
        <w:rPr>
          <w:rFonts w:ascii="Times New Roman" w:eastAsia="Times New Roman" w:hAnsi="Times New Roman"/>
          <w:spacing w:val="-4"/>
          <w:sz w:val="16"/>
          <w:szCs w:val="16"/>
          <w:u w:val="single" w:color="000000"/>
          <w:lang w:val="de-DE"/>
        </w:rPr>
        <w:t xml:space="preserve">Ablehnungsgrund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Befangenheit: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Vorliegen eines Grundes,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geeignet ist, Misstrauen gegen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die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Unparteilichkeit hervorzurufen.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Dies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ist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anzunehmen, wenn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ein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durchschnittlicher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Beobachter</w:t>
      </w:r>
      <w:r w:rsidR="00713DDF">
        <w:rPr>
          <w:rFonts w:ascii="Times New Roman" w:eastAsia="Times New Roman" w:hAnsi="Times New Roman"/>
          <w:sz w:val="16"/>
          <w:szCs w:val="16"/>
          <w:lang w:val="de-DE"/>
        </w:rPr>
        <w:t xml:space="preserve"> aus der Perspektive des Ablehnenden</w:t>
      </w:r>
      <w:r w:rsidR="00A71CDF"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2"/>
          <w:sz w:val="16"/>
          <w:szCs w:val="16"/>
          <w:lang w:val="de-DE"/>
        </w:rPr>
        <w:t xml:space="preserve">bei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verständiger Würdigung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Umstände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den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Verdacht hegen würde,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es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bestehe eine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Voreingenommenheit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(objektivierte Empfängerperspektive). </w:t>
      </w:r>
      <w:r w:rsidRPr="008343C1">
        <w:rPr>
          <w:rFonts w:ascii="Times New Roman" w:eastAsia="Times New Roman" w:hAnsi="Times New Roman"/>
          <w:b/>
          <w:spacing w:val="-3"/>
          <w:sz w:val="16"/>
          <w:szCs w:val="16"/>
          <w:lang w:val="de-DE"/>
        </w:rPr>
        <w:t>B</w:t>
      </w:r>
      <w:r w:rsidR="007C4A75" w:rsidRPr="008343C1">
        <w:rPr>
          <w:rFonts w:ascii="Times New Roman" w:eastAsia="Times New Roman" w:hAnsi="Times New Roman"/>
          <w:b/>
          <w:spacing w:val="-3"/>
          <w:sz w:val="16"/>
          <w:szCs w:val="16"/>
          <w:lang w:val="de-DE"/>
        </w:rPr>
        <w:t>sp.</w:t>
      </w:r>
      <w:r w:rsidR="007C4A75" w:rsidRPr="007B1836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: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Spannungen zwischen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dem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Richter und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dem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Beschuldigten,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im 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>Aus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nahmefall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auch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Spannungen zwischen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dem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Richter und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dem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Verteidiger. Umstritten ist,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ob auch die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Mitwirkung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an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Vorentscheidungen,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die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noch nicht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zu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einem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Ausschließungsgrund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nach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§§</w:t>
      </w:r>
      <w:r w:rsidR="008343C1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22, 23 StPO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führ</w:t>
      </w:r>
      <w:r w:rsidR="0006146F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t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(z.B. </w:t>
      </w:r>
      <w:r w:rsidR="00892636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Haftbefehlserlass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als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Ermittlungsrichter), eine Besorgnis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Befangenheit begründe</w:t>
      </w:r>
      <w:r w:rsidR="0006146F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t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(BGH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lehnt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dies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durchweg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ab,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differenzierend teilweise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die</w:t>
      </w:r>
      <w:r w:rsidRPr="008343C1">
        <w:rPr>
          <w:rFonts w:ascii="Times New Roman" w:eastAsia="Times New Roman" w:hAnsi="Times New Roman"/>
          <w:spacing w:val="-13"/>
          <w:sz w:val="16"/>
          <w:szCs w:val="16"/>
          <w:lang w:val="de-DE"/>
        </w:rPr>
        <w:t xml:space="preserve"> </w:t>
      </w:r>
      <w:proofErr w:type="spellStart"/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Lit</w:t>
      </w:r>
      <w:proofErr w:type="spellEnd"/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.).</w:t>
      </w:r>
    </w:p>
    <w:p w14:paraId="44A0002D" w14:textId="74FF1E8A" w:rsidR="00370088" w:rsidRPr="008343C1" w:rsidRDefault="00FC57D4" w:rsidP="008343C1">
      <w:pPr>
        <w:pStyle w:val="HellesRaster-Akzent31"/>
        <w:numPr>
          <w:ilvl w:val="1"/>
          <w:numId w:val="1"/>
        </w:numPr>
        <w:tabs>
          <w:tab w:val="left" w:pos="702"/>
        </w:tabs>
        <w:spacing w:line="235" w:lineRule="auto"/>
        <w:ind w:right="195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8343C1">
        <w:rPr>
          <w:rFonts w:ascii="Times New Roman" w:eastAsia="Times New Roman" w:hAnsi="Times New Roman"/>
          <w:spacing w:val="-4"/>
          <w:sz w:val="16"/>
          <w:szCs w:val="16"/>
          <w:u w:val="single" w:color="000000"/>
          <w:lang w:val="de-DE"/>
        </w:rPr>
        <w:t>Geltendmachung: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Die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Richterablehnung setzt einen entsprechenden Antrag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(Ablehnungsgesuch)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voraus. Dieser ist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bei dem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Gericht,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dem</w:t>
      </w:r>
      <w:r w:rsidRPr="008343C1">
        <w:rPr>
          <w:rFonts w:ascii="Times New Roman" w:eastAsia="Times New Roman" w:hAnsi="Times New Roman"/>
          <w:spacing w:val="-12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der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Richter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angehört,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anzubringen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(§</w:t>
      </w:r>
      <w:r w:rsidR="00152933">
        <w:rPr>
          <w:rFonts w:ascii="Times New Roman" w:eastAsia="Times New Roman" w:hAnsi="Times New Roman"/>
          <w:spacing w:val="-7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26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I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="00094F2E"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1 </w:t>
      </w:r>
      <w:proofErr w:type="spellStart"/>
      <w:r w:rsidR="00A77420">
        <w:rPr>
          <w:rFonts w:ascii="Times New Roman" w:eastAsia="Times New Roman" w:hAnsi="Times New Roman"/>
          <w:spacing w:val="-7"/>
          <w:sz w:val="16"/>
          <w:szCs w:val="16"/>
          <w:lang w:val="de-DE"/>
        </w:rPr>
        <w:t>Hs</w:t>
      </w:r>
      <w:proofErr w:type="spellEnd"/>
      <w:r w:rsidR="00A77420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. 1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StPO).</w:t>
      </w:r>
    </w:p>
    <w:p w14:paraId="4933A958" w14:textId="77777777" w:rsidR="00370088" w:rsidRPr="008343C1" w:rsidRDefault="00FC57D4" w:rsidP="008343C1">
      <w:pPr>
        <w:pStyle w:val="HellesRaster-Akzent31"/>
        <w:numPr>
          <w:ilvl w:val="1"/>
          <w:numId w:val="1"/>
        </w:numPr>
        <w:tabs>
          <w:tab w:val="left" w:pos="702"/>
        </w:tabs>
        <w:spacing w:line="235" w:lineRule="auto"/>
        <w:ind w:hanging="283"/>
        <w:rPr>
          <w:rFonts w:ascii="Times New Roman" w:eastAsia="Times New Roman" w:hAnsi="Times New Roman"/>
          <w:sz w:val="16"/>
          <w:szCs w:val="16"/>
          <w:lang w:val="de-DE"/>
        </w:rPr>
      </w:pPr>
      <w:r w:rsidRPr="008343C1">
        <w:rPr>
          <w:rFonts w:ascii="Times New Roman" w:eastAsia="Times New Roman" w:hAnsi="Times New Roman"/>
          <w:spacing w:val="-4"/>
          <w:sz w:val="16"/>
          <w:szCs w:val="16"/>
          <w:u w:val="single" w:color="000000"/>
          <w:lang w:val="de-DE"/>
        </w:rPr>
        <w:t>Ablehnungsberechtigt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:</w:t>
      </w:r>
      <w:r w:rsidRPr="008343C1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Neben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dem</w:t>
      </w:r>
      <w:r w:rsidRPr="008343C1">
        <w:rPr>
          <w:rFonts w:ascii="Times New Roman" w:eastAsia="Times New Roman" w:hAnsi="Times New Roman"/>
          <w:spacing w:val="-12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Beschuldigten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auch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die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StA</w:t>
      </w:r>
      <w:r w:rsidR="00997935"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und</w:t>
      </w:r>
      <w:r w:rsidR="00CE74ED"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der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Privatkläger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(§</w:t>
      </w:r>
      <w:r w:rsidR="00152933">
        <w:rPr>
          <w:rFonts w:ascii="Times New Roman" w:eastAsia="Times New Roman" w:hAnsi="Times New Roman"/>
          <w:spacing w:val="-7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24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III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1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StPO)</w:t>
      </w:r>
      <w:r w:rsidR="00333E38"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sowie die Nebenkläger (§</w:t>
      </w:r>
      <w:r w:rsidR="00152933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 </w:t>
      </w:r>
      <w:r w:rsidR="00333E38"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397 I 3 StPO).</w:t>
      </w:r>
    </w:p>
    <w:p w14:paraId="5DF47D7E" w14:textId="6EEE5FD5" w:rsidR="00370088" w:rsidRPr="008343C1" w:rsidRDefault="00FC57D4" w:rsidP="008343C1">
      <w:pPr>
        <w:pStyle w:val="HellesRaster-Akzent31"/>
        <w:numPr>
          <w:ilvl w:val="1"/>
          <w:numId w:val="1"/>
        </w:numPr>
        <w:tabs>
          <w:tab w:val="left" w:pos="702"/>
        </w:tabs>
        <w:spacing w:before="5" w:line="235" w:lineRule="auto"/>
        <w:ind w:right="200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8343C1">
        <w:rPr>
          <w:rFonts w:ascii="Times New Roman" w:eastAsia="Times New Roman" w:hAnsi="Times New Roman"/>
          <w:spacing w:val="-4"/>
          <w:sz w:val="16"/>
          <w:szCs w:val="16"/>
          <w:u w:val="single" w:color="000000"/>
          <w:lang w:val="de-DE"/>
        </w:rPr>
        <w:t>Ablehnungsfrist: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a) Bzgl. des </w:t>
      </w:r>
      <w:r w:rsidR="00A77420">
        <w:rPr>
          <w:rFonts w:ascii="Times New Roman" w:eastAsia="Times New Roman" w:hAnsi="Times New Roman"/>
          <w:sz w:val="16"/>
          <w:szCs w:val="16"/>
          <w:lang w:val="de-DE"/>
        </w:rPr>
        <w:t xml:space="preserve">kraft Gesetzes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ausgeschlossenen Richters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(§§</w:t>
      </w:r>
      <w:r w:rsidR="0015293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22, 23 StPO)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keine zeitliche Beschränkung;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b)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bzgl.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8343C1">
        <w:rPr>
          <w:rFonts w:ascii="Times New Roman" w:eastAsia="Times New Roman" w:hAnsi="Times New Roman"/>
          <w:spacing w:val="-2"/>
          <w:sz w:val="16"/>
          <w:szCs w:val="16"/>
          <w:lang w:val="de-DE"/>
        </w:rPr>
        <w:t>Be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sorgnis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Befangenheit: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bis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zum Beginn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Vernehmung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des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ersten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Angeklagten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(§</w:t>
      </w:r>
      <w:r w:rsidR="0015293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25 I </w:t>
      </w:r>
      <w:r w:rsidR="00A77420">
        <w:rPr>
          <w:rFonts w:ascii="Times New Roman" w:eastAsia="Times New Roman" w:hAnsi="Times New Roman"/>
          <w:sz w:val="16"/>
          <w:szCs w:val="16"/>
          <w:lang w:val="de-DE"/>
        </w:rPr>
        <w:t xml:space="preserve">1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StPO)</w:t>
      </w:r>
      <w:r w:rsidR="00A77420">
        <w:rPr>
          <w:rFonts w:ascii="Times New Roman" w:eastAsia="Times New Roman" w:hAnsi="Times New Roman"/>
          <w:sz w:val="16"/>
          <w:szCs w:val="16"/>
          <w:lang w:val="de-DE"/>
        </w:rPr>
        <w:t xml:space="preserve"> bzw. wenn Gerichtsbesetzung vor Beginn der Hauptverhandlung mitgeteilt wird, unverzüglich (§ 25 I 2 StPO)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,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wenn Ablehnungsgrund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bis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dahin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bekannt</w:t>
      </w:r>
      <w:r w:rsidRPr="008343C1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ist;</w:t>
      </w:r>
      <w:r w:rsidRPr="008343C1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in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den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übrigen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Fällen:</w:t>
      </w:r>
      <w:r w:rsidRPr="008343C1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unverzüglich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nach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Bekanntwerden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des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Ablehnungsgrundes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(§</w:t>
      </w:r>
      <w:r w:rsidR="00152933">
        <w:rPr>
          <w:rFonts w:ascii="Times New Roman" w:eastAsia="Times New Roman" w:hAnsi="Times New Roman"/>
          <w:spacing w:val="-7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25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II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="00A77420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1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StPO).</w:t>
      </w:r>
    </w:p>
    <w:p w14:paraId="077F3387" w14:textId="6CEF53D7" w:rsidR="00370088" w:rsidRPr="008343C1" w:rsidRDefault="00FC57D4" w:rsidP="008343C1">
      <w:pPr>
        <w:pStyle w:val="HellesRaster-Akzent31"/>
        <w:numPr>
          <w:ilvl w:val="1"/>
          <w:numId w:val="1"/>
        </w:numPr>
        <w:tabs>
          <w:tab w:val="left" w:pos="702"/>
        </w:tabs>
        <w:spacing w:line="235" w:lineRule="auto"/>
        <w:ind w:right="199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8343C1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Verfahren: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Ablehnungsgrund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ist glaubhaft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zu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machen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(§</w:t>
      </w:r>
      <w:r w:rsidR="0015293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26 II StPO).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Für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die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Entscheidung ist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das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Gericht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zuständig,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dem der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Abgelehnte angehört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(</w:t>
      </w:r>
      <w:r w:rsidR="00511A52">
        <w:rPr>
          <w:rFonts w:ascii="Times New Roman" w:eastAsia="Times New Roman" w:hAnsi="Times New Roman"/>
          <w:sz w:val="16"/>
          <w:szCs w:val="16"/>
          <w:lang w:val="de-DE"/>
        </w:rPr>
        <w:t>w</w:t>
      </w:r>
      <w:r w:rsidR="000C1D9A">
        <w:rPr>
          <w:rFonts w:ascii="Times New Roman" w:eastAsia="Times New Roman" w:hAnsi="Times New Roman"/>
          <w:sz w:val="16"/>
          <w:szCs w:val="16"/>
          <w:lang w:val="de-DE"/>
        </w:rPr>
        <w:t>enn das Ablehnungsgesuch nicht</w:t>
      </w:r>
      <w:r w:rsidR="00511A52">
        <w:rPr>
          <w:rFonts w:ascii="Times New Roman" w:eastAsia="Times New Roman" w:hAnsi="Times New Roman"/>
          <w:sz w:val="16"/>
          <w:szCs w:val="16"/>
          <w:lang w:val="de-DE"/>
        </w:rPr>
        <w:t xml:space="preserve"> bereits</w:t>
      </w:r>
      <w:r w:rsidR="000C1D9A">
        <w:rPr>
          <w:rFonts w:ascii="Times New Roman" w:eastAsia="Times New Roman" w:hAnsi="Times New Roman"/>
          <w:sz w:val="16"/>
          <w:szCs w:val="16"/>
          <w:lang w:val="de-DE"/>
        </w:rPr>
        <w:t xml:space="preserve"> gem. § 26a StPO als unzulässig verworfen wird</w:t>
      </w:r>
      <w:r w:rsidR="007A257C">
        <w:rPr>
          <w:rFonts w:ascii="Times New Roman" w:eastAsia="Times New Roman" w:hAnsi="Times New Roman"/>
          <w:sz w:val="16"/>
          <w:szCs w:val="16"/>
          <w:lang w:val="de-DE"/>
        </w:rPr>
        <w:t>,</w:t>
      </w:r>
      <w:r w:rsidR="00713DDF">
        <w:rPr>
          <w:rFonts w:ascii="Times New Roman" w:eastAsia="Times New Roman" w:hAnsi="Times New Roman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aber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ohne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Mitwirkung</w:t>
      </w:r>
      <w:r w:rsidR="007A257C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 des Abgelehnten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,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15293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27 I StPO).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Einzelfälle regeln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15293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27 II StPO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(keine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Mitwir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kung</w:t>
      </w:r>
      <w:r w:rsidRPr="008343C1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der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Schöffen)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und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152933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27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III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StPO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(bei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Ablehnung</w:t>
      </w:r>
      <w:r w:rsidRPr="008343C1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des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Amtsrichters).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="00A77420" w:rsidRPr="008343C1">
        <w:rPr>
          <w:rFonts w:ascii="Times New Roman" w:eastAsia="Times New Roman" w:hAnsi="Times New Roman"/>
          <w:sz w:val="16"/>
          <w:szCs w:val="16"/>
          <w:lang w:val="de-DE"/>
        </w:rPr>
        <w:t>Kein</w:t>
      </w:r>
      <w:r w:rsidR="00A77420" w:rsidRPr="008343C1">
        <w:rPr>
          <w:rFonts w:ascii="Times New Roman" w:eastAsia="Times New Roman" w:hAnsi="Times New Roman"/>
          <w:spacing w:val="-11"/>
          <w:sz w:val="16"/>
          <w:szCs w:val="16"/>
          <w:lang w:val="de-DE"/>
        </w:rPr>
        <w:t xml:space="preserve"> </w:t>
      </w:r>
      <w:r w:rsidR="00A77420"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Selbstablehnungsrecht</w:t>
      </w:r>
      <w:r w:rsidR="00A77420" w:rsidRPr="008343C1">
        <w:rPr>
          <w:rFonts w:ascii="Times New Roman" w:eastAsia="Times New Roman" w:hAnsi="Times New Roman"/>
          <w:spacing w:val="-10"/>
          <w:sz w:val="16"/>
          <w:szCs w:val="16"/>
          <w:lang w:val="de-DE"/>
        </w:rPr>
        <w:t xml:space="preserve"> </w:t>
      </w:r>
      <w:r w:rsidR="00A77420" w:rsidRPr="008343C1">
        <w:rPr>
          <w:rFonts w:ascii="Times New Roman" w:eastAsia="Times New Roman" w:hAnsi="Times New Roman"/>
          <w:sz w:val="16"/>
          <w:szCs w:val="16"/>
          <w:lang w:val="de-DE"/>
        </w:rPr>
        <w:t>des</w:t>
      </w:r>
      <w:r w:rsidR="00A77420" w:rsidRPr="008343C1">
        <w:rPr>
          <w:rFonts w:ascii="Times New Roman" w:eastAsia="Times New Roman" w:hAnsi="Times New Roman"/>
          <w:spacing w:val="-11"/>
          <w:sz w:val="16"/>
          <w:szCs w:val="16"/>
          <w:lang w:val="de-DE"/>
        </w:rPr>
        <w:t xml:space="preserve"> </w:t>
      </w:r>
      <w:r w:rsidR="00A77420"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Richters</w:t>
      </w:r>
      <w:r w:rsidR="00A77420" w:rsidRPr="008343C1">
        <w:rPr>
          <w:rFonts w:ascii="Times New Roman" w:eastAsia="Times New Roman" w:hAnsi="Times New Roman"/>
          <w:spacing w:val="-11"/>
          <w:sz w:val="16"/>
          <w:szCs w:val="16"/>
          <w:lang w:val="de-DE"/>
        </w:rPr>
        <w:t xml:space="preserve"> </w:t>
      </w:r>
      <w:r w:rsidR="00A77420"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(nur</w:t>
      </w:r>
      <w:r w:rsidR="00A77420" w:rsidRPr="008343C1">
        <w:rPr>
          <w:rFonts w:ascii="Times New Roman" w:eastAsia="Times New Roman" w:hAnsi="Times New Roman"/>
          <w:spacing w:val="-10"/>
          <w:sz w:val="16"/>
          <w:szCs w:val="16"/>
          <w:lang w:val="de-DE"/>
        </w:rPr>
        <w:t xml:space="preserve"> </w:t>
      </w:r>
      <w:r w:rsidR="00A77420"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Anzeigepflicht</w:t>
      </w:r>
      <w:r w:rsidR="00A77420" w:rsidRPr="008343C1">
        <w:rPr>
          <w:rFonts w:ascii="Times New Roman" w:eastAsia="Times New Roman" w:hAnsi="Times New Roman"/>
          <w:spacing w:val="-10"/>
          <w:sz w:val="16"/>
          <w:szCs w:val="16"/>
          <w:lang w:val="de-DE"/>
        </w:rPr>
        <w:t xml:space="preserve"> </w:t>
      </w:r>
      <w:r w:rsidR="00A77420" w:rsidRPr="008343C1">
        <w:rPr>
          <w:rFonts w:ascii="Times New Roman" w:eastAsia="Times New Roman" w:hAnsi="Times New Roman"/>
          <w:sz w:val="16"/>
          <w:szCs w:val="16"/>
          <w:lang w:val="de-DE"/>
        </w:rPr>
        <w:t>nach</w:t>
      </w:r>
      <w:r w:rsidR="00A77420" w:rsidRPr="008343C1">
        <w:rPr>
          <w:rFonts w:ascii="Times New Roman" w:eastAsia="Times New Roman" w:hAnsi="Times New Roman"/>
          <w:spacing w:val="-11"/>
          <w:sz w:val="16"/>
          <w:szCs w:val="16"/>
          <w:lang w:val="de-DE"/>
        </w:rPr>
        <w:t xml:space="preserve"> </w:t>
      </w:r>
      <w:r w:rsidR="00A77420" w:rsidRPr="008343C1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A77420">
        <w:rPr>
          <w:rFonts w:ascii="Times New Roman" w:eastAsia="Times New Roman" w:hAnsi="Times New Roman"/>
          <w:spacing w:val="-9"/>
          <w:sz w:val="16"/>
          <w:szCs w:val="16"/>
          <w:lang w:val="de-DE"/>
        </w:rPr>
        <w:t> </w:t>
      </w:r>
      <w:r w:rsidR="00A77420" w:rsidRPr="008343C1">
        <w:rPr>
          <w:rFonts w:ascii="Times New Roman" w:eastAsia="Times New Roman" w:hAnsi="Times New Roman"/>
          <w:sz w:val="16"/>
          <w:szCs w:val="16"/>
          <w:lang w:val="de-DE"/>
        </w:rPr>
        <w:t>30</w:t>
      </w:r>
      <w:r w:rsidR="00A77420"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="00A77420" w:rsidRPr="008343C1">
        <w:rPr>
          <w:rFonts w:ascii="Times New Roman" w:eastAsia="Times New Roman" w:hAnsi="Times New Roman"/>
          <w:sz w:val="16"/>
          <w:szCs w:val="16"/>
          <w:lang w:val="de-DE"/>
        </w:rPr>
        <w:t>I</w:t>
      </w:r>
      <w:r w:rsidR="00A77420"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="00A77420" w:rsidRPr="008343C1">
        <w:rPr>
          <w:rFonts w:ascii="Times New Roman" w:eastAsia="Times New Roman" w:hAnsi="Times New Roman"/>
          <w:sz w:val="16"/>
          <w:szCs w:val="16"/>
          <w:lang w:val="de-DE"/>
        </w:rPr>
        <w:t>StPO)</w:t>
      </w:r>
      <w:r w:rsidR="00A77420">
        <w:rPr>
          <w:rFonts w:ascii="Times New Roman" w:eastAsia="Times New Roman" w:hAnsi="Times New Roman"/>
          <w:sz w:val="16"/>
          <w:szCs w:val="16"/>
          <w:lang w:val="de-DE"/>
        </w:rPr>
        <w:t xml:space="preserve">.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Für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die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Ablehnung</w:t>
      </w:r>
      <w:r w:rsidRPr="008343C1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eines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Schöffen</w:t>
      </w:r>
      <w:r w:rsidRPr="008343C1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gilt</w:t>
      </w:r>
      <w:r w:rsidRPr="008343C1">
        <w:rPr>
          <w:rFonts w:ascii="Times New Roman" w:eastAsia="Times New Roman" w:hAnsi="Times New Roman"/>
          <w:spacing w:val="-5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152933">
        <w:rPr>
          <w:rFonts w:ascii="Times New Roman" w:eastAsia="Times New Roman" w:hAnsi="Times New Roman"/>
          <w:spacing w:val="-6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31</w:t>
      </w:r>
      <w:r w:rsidRPr="008343C1">
        <w:rPr>
          <w:rFonts w:ascii="Times New Roman" w:eastAsia="Times New Roman" w:hAnsi="Times New Roman"/>
          <w:spacing w:val="-6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StPO.</w:t>
      </w:r>
    </w:p>
    <w:p w14:paraId="35E872F9" w14:textId="01E0DA91" w:rsidR="00370088" w:rsidRPr="008343C1" w:rsidRDefault="00FC57D4" w:rsidP="008343C1">
      <w:pPr>
        <w:pStyle w:val="HellesRaster-Akzent31"/>
        <w:numPr>
          <w:ilvl w:val="1"/>
          <w:numId w:val="1"/>
        </w:numPr>
        <w:tabs>
          <w:tab w:val="left" w:pos="702"/>
        </w:tabs>
        <w:spacing w:line="235" w:lineRule="auto"/>
        <w:ind w:right="200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8343C1">
        <w:rPr>
          <w:rFonts w:ascii="Times New Roman" w:eastAsia="Times New Roman" w:hAnsi="Times New Roman"/>
          <w:spacing w:val="-4"/>
          <w:sz w:val="16"/>
          <w:szCs w:val="16"/>
          <w:u w:val="single" w:color="000000"/>
          <w:lang w:val="de-DE"/>
        </w:rPr>
        <w:t xml:space="preserve">Rechtsmittel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 xml:space="preserve">gegen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u w:val="single" w:color="000000"/>
          <w:lang w:val="de-DE"/>
        </w:rPr>
        <w:t xml:space="preserve">Ablehnung </w:t>
      </w:r>
      <w:r w:rsidRPr="008343C1">
        <w:rPr>
          <w:rFonts w:ascii="Times New Roman" w:eastAsia="Times New Roman" w:hAnsi="Times New Roman"/>
          <w:sz w:val="16"/>
          <w:szCs w:val="16"/>
          <w:u w:val="single" w:color="000000"/>
          <w:lang w:val="de-DE"/>
        </w:rPr>
        <w:t xml:space="preserve">des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u w:val="single" w:color="000000"/>
          <w:lang w:val="de-DE"/>
        </w:rPr>
        <w:t>Ablehnungsgesuchs: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Sofortige Beschwerde</w:t>
      </w:r>
      <w:r w:rsidR="00213EA9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,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beim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erkennenden Richter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 xml:space="preserve">aber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nur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zusammen</w:t>
      </w:r>
      <w:r w:rsidRPr="008343C1">
        <w:rPr>
          <w:rFonts w:ascii="Times New Roman" w:eastAsia="Times New Roman" w:hAnsi="Times New Roman"/>
          <w:spacing w:val="-10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mit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dem</w:t>
      </w:r>
      <w:r w:rsidRPr="008343C1">
        <w:rPr>
          <w:rFonts w:ascii="Times New Roman" w:eastAsia="Times New Roman" w:hAnsi="Times New Roman"/>
          <w:spacing w:val="-13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Urteil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(§</w:t>
      </w:r>
      <w:r w:rsidR="00152933">
        <w:rPr>
          <w:rFonts w:ascii="Times New Roman" w:eastAsia="Times New Roman" w:hAnsi="Times New Roman"/>
          <w:spacing w:val="-8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28</w:t>
      </w:r>
      <w:r w:rsidRPr="008343C1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II</w:t>
      </w:r>
      <w:r w:rsidRPr="008343C1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2</w:t>
      </w:r>
      <w:r w:rsidRPr="008343C1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StPO).</w:t>
      </w:r>
    </w:p>
    <w:p w14:paraId="318F8563" w14:textId="77777777" w:rsidR="00370088" w:rsidRPr="008343C1" w:rsidRDefault="00FC57D4" w:rsidP="008343C1">
      <w:pPr>
        <w:pStyle w:val="HellesRaster-Akzent31"/>
        <w:numPr>
          <w:ilvl w:val="1"/>
          <w:numId w:val="1"/>
        </w:numPr>
        <w:tabs>
          <w:tab w:val="left" w:pos="702"/>
        </w:tabs>
        <w:spacing w:line="235" w:lineRule="auto"/>
        <w:ind w:hanging="283"/>
        <w:rPr>
          <w:rFonts w:ascii="Times New Roman" w:eastAsia="Times New Roman" w:hAnsi="Times New Roman"/>
          <w:sz w:val="16"/>
          <w:szCs w:val="16"/>
          <w:lang w:val="de-DE"/>
        </w:rPr>
      </w:pPr>
      <w:r w:rsidRPr="008343C1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Rechtsfolge</w:t>
      </w:r>
      <w:r w:rsidRPr="008343C1">
        <w:rPr>
          <w:rFonts w:ascii="Times New Roman" w:eastAsia="Times New Roman" w:hAnsi="Times New Roman"/>
          <w:spacing w:val="-7"/>
          <w:sz w:val="16"/>
          <w:szCs w:val="16"/>
          <w:u w:val="single" w:color="000000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u w:val="single" w:color="000000"/>
          <w:lang w:val="de-DE"/>
        </w:rPr>
        <w:t>bei</w:t>
      </w:r>
      <w:r w:rsidRPr="008343C1">
        <w:rPr>
          <w:rFonts w:ascii="Times New Roman" w:eastAsia="Times New Roman" w:hAnsi="Times New Roman"/>
          <w:spacing w:val="-8"/>
          <w:sz w:val="16"/>
          <w:szCs w:val="16"/>
          <w:u w:val="single" w:color="000000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u w:val="single" w:color="000000"/>
          <w:lang w:val="de-DE"/>
        </w:rPr>
        <w:t>Verstoß:</w:t>
      </w:r>
      <w:r w:rsidRPr="008343C1">
        <w:rPr>
          <w:rFonts w:ascii="Times New Roman" w:eastAsia="Times New Roman" w:hAnsi="Times New Roman"/>
          <w:spacing w:val="-8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Absoluter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Revisionsgrund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nach</w:t>
      </w:r>
      <w:r w:rsidRPr="008343C1">
        <w:rPr>
          <w:rFonts w:ascii="Times New Roman" w:eastAsia="Times New Roman" w:hAnsi="Times New Roman"/>
          <w:spacing w:val="-9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152933">
        <w:rPr>
          <w:rFonts w:ascii="Times New Roman" w:eastAsia="Times New Roman" w:hAnsi="Times New Roman"/>
          <w:spacing w:val="-7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338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Nr.</w:t>
      </w:r>
      <w:r w:rsidR="00152933">
        <w:rPr>
          <w:rFonts w:ascii="Times New Roman" w:eastAsia="Times New Roman" w:hAnsi="Times New Roman"/>
          <w:spacing w:val="-7"/>
          <w:sz w:val="16"/>
          <w:szCs w:val="16"/>
          <w:lang w:val="de-DE"/>
        </w:rPr>
        <w:t> 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2</w:t>
      </w:r>
      <w:r w:rsidRPr="008343C1">
        <w:rPr>
          <w:rFonts w:ascii="Times New Roman" w:eastAsia="Times New Roman" w:hAnsi="Times New Roman"/>
          <w:spacing w:val="-7"/>
          <w:sz w:val="16"/>
          <w:szCs w:val="16"/>
          <w:lang w:val="de-DE"/>
        </w:rPr>
        <w:t xml:space="preserve"> </w:t>
      </w:r>
      <w:r w:rsidRPr="008343C1">
        <w:rPr>
          <w:rFonts w:ascii="Times New Roman" w:eastAsia="Times New Roman" w:hAnsi="Times New Roman"/>
          <w:sz w:val="16"/>
          <w:szCs w:val="16"/>
          <w:lang w:val="de-DE"/>
        </w:rPr>
        <w:t>StPO.</w:t>
      </w:r>
    </w:p>
    <w:p w14:paraId="69FCF304" w14:textId="57DA4023" w:rsidR="00370088" w:rsidRPr="001039B2" w:rsidRDefault="00FC57D4" w:rsidP="003445A2">
      <w:pPr>
        <w:pStyle w:val="HellesRaster-Akzent31"/>
        <w:numPr>
          <w:ilvl w:val="0"/>
          <w:numId w:val="1"/>
        </w:numPr>
        <w:tabs>
          <w:tab w:val="left" w:pos="457"/>
        </w:tabs>
        <w:spacing w:before="127" w:line="235" w:lineRule="auto"/>
        <w:ind w:right="197" w:hanging="283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  <w:r w:rsidRPr="003445A2">
        <w:rPr>
          <w:rFonts w:ascii="Times New Roman" w:eastAsia="Times New Roman" w:hAnsi="Times New Roman"/>
          <w:b/>
          <w:bCs/>
          <w:spacing w:val="-3"/>
          <w:sz w:val="16"/>
          <w:szCs w:val="16"/>
          <w:lang w:val="de-DE"/>
        </w:rPr>
        <w:t xml:space="preserve">Ablehnung eines Staatsanwalts: </w:t>
      </w:r>
      <w:r w:rsidR="00C86AB8" w:rsidRPr="003445A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 xml:space="preserve">Die StPO enthält für einen möglicherweise befangenen </w:t>
      </w:r>
      <w:r w:rsidR="00D27A33" w:rsidRPr="003445A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StA</w:t>
      </w:r>
      <w:r w:rsidR="00C86AB8" w:rsidRPr="003445A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 xml:space="preserve"> keine Regelung. </w:t>
      </w:r>
      <w:r w:rsidR="001C6C02" w:rsidRPr="003445A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Der BGH lehnt e</w:t>
      </w:r>
      <w:r w:rsidR="00C86AB8" w:rsidRPr="003445A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ine analoge Anwendung der §§</w:t>
      </w:r>
      <w:r w:rsidR="008343C1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 </w:t>
      </w:r>
      <w:r w:rsidR="00C86AB8" w:rsidRPr="001039B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22</w:t>
      </w:r>
      <w:r w:rsidR="00A77420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 </w:t>
      </w:r>
      <w:r w:rsidR="00C86AB8" w:rsidRPr="001039B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 xml:space="preserve">ff. StPO mangels planwidriger Regelungslücke </w:t>
      </w:r>
      <w:r w:rsidR="001C6C02" w:rsidRPr="001039B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ab</w:t>
      </w:r>
      <w:r w:rsidR="00C86AB8" w:rsidRPr="001039B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. D</w:t>
      </w:r>
      <w:r w:rsidR="00CE74ED" w:rsidRPr="001039B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enn d</w:t>
      </w:r>
      <w:r w:rsidR="00C86AB8" w:rsidRPr="001039B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er Gesetzgeber hat in Kenntnis der Problematik bei Änderungen der §§</w:t>
      </w:r>
      <w:r w:rsidR="00CE74ED" w:rsidRPr="001039B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 </w:t>
      </w:r>
      <w:r w:rsidR="00C86AB8" w:rsidRPr="001039B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22</w:t>
      </w:r>
      <w:r w:rsidR="00A77420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 </w:t>
      </w:r>
      <w:r w:rsidR="00C86AB8" w:rsidRPr="001039B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 xml:space="preserve">ff. StPO keine Regelung für den befangenen </w:t>
      </w:r>
      <w:r w:rsidR="00D27A33" w:rsidRPr="001039B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>StA</w:t>
      </w:r>
      <w:r w:rsidR="00C86AB8" w:rsidRPr="001039B2">
        <w:rPr>
          <w:rFonts w:ascii="Times New Roman" w:eastAsia="Times New Roman" w:hAnsi="Times New Roman"/>
          <w:bCs/>
          <w:spacing w:val="-3"/>
          <w:sz w:val="16"/>
          <w:szCs w:val="16"/>
          <w:lang w:val="de-DE"/>
        </w:rPr>
        <w:t xml:space="preserve"> geschaffen.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</w:t>
      </w:r>
      <w:r w:rsidR="00CE74ED" w:rsidRPr="001039B2">
        <w:rPr>
          <w:rFonts w:ascii="Times New Roman" w:eastAsia="Times New Roman" w:hAnsi="Times New Roman"/>
          <w:sz w:val="16"/>
          <w:szCs w:val="16"/>
          <w:lang w:val="de-DE"/>
        </w:rPr>
        <w:t>Allerdings</w:t>
      </w:r>
      <w:r w:rsidR="00360AA2"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 kann beim Dienstvorgesetzten auf eine Ablösung des </w:t>
      </w:r>
      <w:r w:rsidR="00D27A33" w:rsidRPr="001039B2">
        <w:rPr>
          <w:rFonts w:ascii="Times New Roman" w:eastAsia="Times New Roman" w:hAnsi="Times New Roman"/>
          <w:sz w:val="16"/>
          <w:szCs w:val="16"/>
          <w:lang w:val="de-DE"/>
        </w:rPr>
        <w:t>StA</w:t>
      </w:r>
      <w:r w:rsidR="00360AA2"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 im Rahmen des dienstbehördlichen Weisungsrechts gemäß den §§</w:t>
      </w:r>
      <w:r w:rsidR="00E66503">
        <w:rPr>
          <w:rFonts w:ascii="Times New Roman" w:eastAsia="Times New Roman" w:hAnsi="Times New Roman"/>
          <w:sz w:val="16"/>
          <w:szCs w:val="16"/>
          <w:lang w:val="de-DE"/>
        </w:rPr>
        <w:t> </w:t>
      </w:r>
      <w:r w:rsidR="00360AA2" w:rsidRPr="001039B2">
        <w:rPr>
          <w:rFonts w:ascii="Times New Roman" w:eastAsia="Times New Roman" w:hAnsi="Times New Roman"/>
          <w:sz w:val="16"/>
          <w:szCs w:val="16"/>
          <w:lang w:val="de-DE"/>
        </w:rPr>
        <w:t>145, 146 GVG (Devoluti</w:t>
      </w:r>
      <w:r w:rsidR="00D27A33" w:rsidRPr="001039B2">
        <w:rPr>
          <w:rFonts w:ascii="Times New Roman" w:eastAsia="Times New Roman" w:hAnsi="Times New Roman"/>
          <w:sz w:val="16"/>
          <w:szCs w:val="16"/>
          <w:lang w:val="de-DE"/>
        </w:rPr>
        <w:t>ons- und Substitutionsrech</w:t>
      </w:r>
      <w:r w:rsidR="0082199D" w:rsidRPr="001039B2">
        <w:rPr>
          <w:rFonts w:ascii="Times New Roman" w:eastAsia="Times New Roman" w:hAnsi="Times New Roman"/>
          <w:sz w:val="16"/>
          <w:szCs w:val="16"/>
          <w:lang w:val="de-DE"/>
        </w:rPr>
        <w:t>t</w:t>
      </w:r>
      <w:r w:rsidR="00360AA2"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) hingewirkt werden. </w:t>
      </w:r>
      <w:r w:rsidR="00D27A33"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Grundsätzlich liegen die Voraussetzungen für </w:t>
      </w:r>
      <w:r w:rsidR="00CE74ED" w:rsidRPr="001039B2">
        <w:rPr>
          <w:rFonts w:ascii="Times New Roman" w:eastAsia="Times New Roman" w:hAnsi="Times New Roman"/>
          <w:sz w:val="16"/>
          <w:szCs w:val="16"/>
          <w:lang w:val="de-DE"/>
        </w:rPr>
        <w:t>eine</w:t>
      </w:r>
      <w:r w:rsidR="00D27A33"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 Befangenheit beim StA höher als beim zur Entscheidung der Rechtssache berufenen Richter. Jedoch legen insb</w:t>
      </w:r>
      <w:r w:rsidR="00A77420">
        <w:rPr>
          <w:rFonts w:ascii="Times New Roman" w:eastAsia="Times New Roman" w:hAnsi="Times New Roman"/>
          <w:sz w:val="16"/>
          <w:szCs w:val="16"/>
          <w:lang w:val="de-DE"/>
        </w:rPr>
        <w:t>.</w:t>
      </w:r>
      <w:r w:rsidR="00D27A33"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 enge persönliche Beziehungen des StA zum Verletzten nahe, dass eine sachgerechte Aufgabenerfüllung nicht mehr gewährleistet ist. </w:t>
      </w:r>
      <w:r w:rsidR="00BA26CD" w:rsidRPr="001039B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An einen Befangenheitsgrund ist auch beim sog. „Zeugenstaatsanwalt“ zu denken. Bedenken bezüglich der Objektivität bestehen v.a., wenn der StA im Schlussplädoyer seine eigene Aussage würdigen muss.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Die </w:t>
      </w:r>
      <w:r w:rsidRPr="001039B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Ablehnung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ist ferner begründet, </w:t>
      </w:r>
      <w:r w:rsidRPr="001039B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wenn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sich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Verdacht aufdrängt,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der StA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handle ausschließlich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zu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Lasten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oder zu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Gunsten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des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Beschuldigten und </w:t>
      </w:r>
      <w:r w:rsidRPr="001039B2">
        <w:rPr>
          <w:rFonts w:ascii="Times New Roman" w:eastAsia="Times New Roman" w:hAnsi="Times New Roman"/>
          <w:spacing w:val="-2"/>
          <w:sz w:val="16"/>
          <w:szCs w:val="16"/>
          <w:lang w:val="de-DE"/>
        </w:rPr>
        <w:t xml:space="preserve">sei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zu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einer objektiven Würdigung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des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Ergebnisses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1039B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Ermittlungen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nicht </w:t>
      </w:r>
      <w:r w:rsidRPr="001039B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mehr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bereit. </w:t>
      </w:r>
      <w:r w:rsidR="00D27A33"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Erfolgt </w:t>
      </w:r>
      <w:r w:rsidR="005850BA"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eine</w:t>
      </w:r>
      <w:r w:rsidR="00D27A33"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Ersetzung de</w:t>
      </w:r>
      <w:r w:rsidR="00CA4355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</w:t>
      </w:r>
      <w:r w:rsidR="00D27A33"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StA </w:t>
      </w:r>
      <w:r w:rsidR="005850BA"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nicht, so stellt sich die Frage</w:t>
      </w:r>
      <w:r w:rsidR="00D27A33"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, ob diese sich prozessual durchsetzen lässt.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Nach h.M.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ist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ein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solches</w:t>
      </w:r>
      <w:r w:rsidR="00D27A33"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Verfahren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 </w:t>
      </w:r>
      <w:r w:rsidRPr="001039B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mangels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Regelung innerhalb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Instanz nicht </w:t>
      </w:r>
      <w:r w:rsidRPr="001039B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möglich</w:t>
      </w:r>
      <w:r w:rsidR="00BB255F" w:rsidRPr="001039B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.</w:t>
      </w:r>
      <w:r w:rsidRPr="001039B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 </w:t>
      </w:r>
      <w:r w:rsidR="00BB255F" w:rsidRPr="001039B2">
        <w:rPr>
          <w:rFonts w:ascii="Times New Roman" w:eastAsia="Times New Roman" w:hAnsi="Times New Roman"/>
          <w:sz w:val="16"/>
          <w:szCs w:val="16"/>
          <w:lang w:val="de-DE"/>
        </w:rPr>
        <w:t>E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s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ist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der </w:t>
      </w:r>
      <w:r w:rsidRPr="001039B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Umweg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über das </w:t>
      </w:r>
      <w:r w:rsidRPr="001039B2">
        <w:rPr>
          <w:rFonts w:ascii="Times New Roman" w:eastAsia="Times New Roman" w:hAnsi="Times New Roman"/>
          <w:b/>
          <w:bCs/>
          <w:spacing w:val="-3"/>
          <w:sz w:val="16"/>
          <w:szCs w:val="16"/>
          <w:lang w:val="de-DE"/>
        </w:rPr>
        <w:t xml:space="preserve">Revisionsrecht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einzuschlagen: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In der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weiteren </w:t>
      </w:r>
      <w:r w:rsidRPr="001039B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 xml:space="preserve">Mitwirkung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des zu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Recht abgelehnten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StA 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 xml:space="preserve">ist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 xml:space="preserve">ein </w:t>
      </w:r>
      <w:r w:rsidRPr="001039B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Revisions</w:t>
      </w:r>
      <w:r w:rsidRPr="001039B2">
        <w:rPr>
          <w:rFonts w:ascii="Times New Roman" w:eastAsia="Times New Roman" w:hAnsi="Times New Roman"/>
          <w:spacing w:val="-3"/>
          <w:sz w:val="16"/>
          <w:szCs w:val="16"/>
          <w:lang w:val="de-DE"/>
        </w:rPr>
        <w:t>grund</w:t>
      </w:r>
      <w:r w:rsidRPr="001039B2">
        <w:rPr>
          <w:rFonts w:ascii="Times New Roman" w:eastAsia="Times New Roman" w:hAnsi="Times New Roman"/>
          <w:spacing w:val="-10"/>
          <w:sz w:val="16"/>
          <w:szCs w:val="16"/>
          <w:lang w:val="de-DE"/>
        </w:rPr>
        <w:t xml:space="preserve"> </w:t>
      </w:r>
      <w:proofErr w:type="spellStart"/>
      <w:r w:rsidRPr="001039B2">
        <w:rPr>
          <w:rFonts w:ascii="Times New Roman" w:eastAsia="Times New Roman" w:hAnsi="Times New Roman"/>
          <w:sz w:val="16"/>
          <w:szCs w:val="16"/>
          <w:lang w:val="de-DE"/>
        </w:rPr>
        <w:t>i.S.d</w:t>
      </w:r>
      <w:proofErr w:type="spellEnd"/>
      <w:r w:rsidRPr="001039B2">
        <w:rPr>
          <w:rFonts w:ascii="Times New Roman" w:eastAsia="Times New Roman" w:hAnsi="Times New Roman"/>
          <w:sz w:val="16"/>
          <w:szCs w:val="16"/>
          <w:lang w:val="de-DE"/>
        </w:rPr>
        <w:t>.</w:t>
      </w:r>
      <w:r w:rsidRPr="001039B2">
        <w:rPr>
          <w:rFonts w:ascii="Times New Roman" w:eastAsia="Times New Roman" w:hAnsi="Times New Roman"/>
          <w:spacing w:val="-10"/>
          <w:sz w:val="16"/>
          <w:szCs w:val="16"/>
          <w:lang w:val="de-DE"/>
        </w:rPr>
        <w:t xml:space="preserve">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>§</w:t>
      </w:r>
      <w:r w:rsidR="00E66503">
        <w:rPr>
          <w:rFonts w:ascii="Times New Roman" w:eastAsia="Times New Roman" w:hAnsi="Times New Roman"/>
          <w:spacing w:val="-10"/>
          <w:sz w:val="16"/>
          <w:szCs w:val="16"/>
          <w:lang w:val="de-DE"/>
        </w:rPr>
        <w:t> 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>337</w:t>
      </w:r>
      <w:r w:rsidRPr="001039B2">
        <w:rPr>
          <w:rFonts w:ascii="Times New Roman" w:eastAsia="Times New Roman" w:hAnsi="Times New Roman"/>
          <w:spacing w:val="-10"/>
          <w:sz w:val="16"/>
          <w:szCs w:val="16"/>
          <w:lang w:val="de-DE"/>
        </w:rPr>
        <w:t xml:space="preserve">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>StPO</w:t>
      </w:r>
      <w:r w:rsidRPr="001039B2">
        <w:rPr>
          <w:rFonts w:ascii="Times New Roman" w:eastAsia="Times New Roman" w:hAnsi="Times New Roman"/>
          <w:spacing w:val="-11"/>
          <w:sz w:val="16"/>
          <w:szCs w:val="16"/>
          <w:lang w:val="de-DE"/>
        </w:rPr>
        <w:t xml:space="preserve"> </w:t>
      </w:r>
      <w:r w:rsidRPr="001039B2">
        <w:rPr>
          <w:rFonts w:ascii="Times New Roman" w:eastAsia="Times New Roman" w:hAnsi="Times New Roman"/>
          <w:sz w:val="16"/>
          <w:szCs w:val="16"/>
          <w:lang w:val="de-DE"/>
        </w:rPr>
        <w:t>zu</w:t>
      </w:r>
      <w:r w:rsidRPr="001039B2">
        <w:rPr>
          <w:rFonts w:ascii="Times New Roman" w:eastAsia="Times New Roman" w:hAnsi="Times New Roman"/>
          <w:spacing w:val="-12"/>
          <w:sz w:val="16"/>
          <w:szCs w:val="16"/>
          <w:lang w:val="de-DE"/>
        </w:rPr>
        <w:t xml:space="preserve"> </w:t>
      </w:r>
      <w:r w:rsidRPr="001039B2">
        <w:rPr>
          <w:rFonts w:ascii="Times New Roman" w:eastAsia="Times New Roman" w:hAnsi="Times New Roman"/>
          <w:spacing w:val="-4"/>
          <w:sz w:val="16"/>
          <w:szCs w:val="16"/>
          <w:lang w:val="de-DE"/>
        </w:rPr>
        <w:t>sehen.</w:t>
      </w:r>
    </w:p>
    <w:p w14:paraId="2803C84E" w14:textId="77777777" w:rsidR="00370088" w:rsidRPr="004E7C33" w:rsidRDefault="00370088" w:rsidP="001039B2">
      <w:pPr>
        <w:spacing w:line="10" w:lineRule="atLeast"/>
        <w:rPr>
          <w:rFonts w:ascii="Times New Roman" w:eastAsia="Times New Roman" w:hAnsi="Times New Roman"/>
          <w:sz w:val="12"/>
          <w:szCs w:val="12"/>
          <w:lang w:val="de-DE"/>
        </w:rPr>
      </w:pPr>
    </w:p>
    <w:p w14:paraId="342828BC" w14:textId="62FBFFA0" w:rsidR="00370088" w:rsidRPr="005325BD" w:rsidRDefault="00FC57D4" w:rsidP="00B64F36">
      <w:pPr>
        <w:spacing w:line="216" w:lineRule="auto"/>
        <w:ind w:left="135"/>
        <w:jc w:val="both"/>
        <w:rPr>
          <w:rFonts w:ascii="Times New Roman" w:eastAsia="Times New Roman" w:hAnsi="Times New Roman"/>
          <w:sz w:val="15"/>
          <w:szCs w:val="15"/>
          <w:lang w:val="de-DE"/>
        </w:rPr>
      </w:pPr>
      <w:r w:rsidRPr="005325BD">
        <w:rPr>
          <w:rFonts w:ascii="Times New Roman" w:eastAsia="Times New Roman" w:hAnsi="Times New Roman"/>
          <w:b/>
          <w:bCs/>
          <w:spacing w:val="-4"/>
          <w:sz w:val="15"/>
          <w:szCs w:val="15"/>
          <w:lang w:val="de-DE"/>
        </w:rPr>
        <w:t>Literatur/Lehrbücher:</w:t>
      </w:r>
      <w:r w:rsidRPr="005325BD">
        <w:rPr>
          <w:rFonts w:ascii="Times New Roman" w:eastAsia="Times New Roman" w:hAnsi="Times New Roman"/>
          <w:b/>
          <w:bCs/>
          <w:spacing w:val="4"/>
          <w:sz w:val="15"/>
          <w:szCs w:val="15"/>
          <w:lang w:val="de-DE"/>
        </w:rPr>
        <w:t xml:space="preserve"> </w:t>
      </w:r>
      <w:r w:rsidR="00853A0C" w:rsidRPr="005325BD">
        <w:rPr>
          <w:rFonts w:ascii="Times New Roman" w:eastAsia="Times New Roman" w:hAnsi="Times New Roman"/>
          <w:b/>
          <w:bCs/>
          <w:spacing w:val="4"/>
          <w:sz w:val="15"/>
          <w:szCs w:val="15"/>
          <w:lang w:val="de-DE"/>
        </w:rPr>
        <w:tab/>
      </w:r>
      <w:r w:rsidR="0082199D" w:rsidRPr="005325BD">
        <w:rPr>
          <w:rFonts w:ascii="Times New Roman" w:eastAsia="Times New Roman" w:hAnsi="Times New Roman"/>
          <w:bCs/>
          <w:i/>
          <w:spacing w:val="4"/>
          <w:sz w:val="15"/>
          <w:szCs w:val="15"/>
          <w:lang w:val="de-DE"/>
        </w:rPr>
        <w:t>Heinrich/Reinbacher</w:t>
      </w:r>
      <w:r w:rsidR="0082199D" w:rsidRPr="005325BD">
        <w:rPr>
          <w:rFonts w:ascii="Times New Roman" w:eastAsia="Times New Roman" w:hAnsi="Times New Roman"/>
          <w:bCs/>
          <w:spacing w:val="4"/>
          <w:sz w:val="15"/>
          <w:szCs w:val="15"/>
          <w:lang w:val="de-DE"/>
        </w:rPr>
        <w:t>, Examinatorium Strafprozessrecht</w:t>
      </w:r>
      <w:r w:rsidR="00CA75B7" w:rsidRPr="005325BD">
        <w:rPr>
          <w:rFonts w:ascii="Times New Roman" w:eastAsia="Times New Roman" w:hAnsi="Times New Roman"/>
          <w:bCs/>
          <w:spacing w:val="4"/>
          <w:sz w:val="15"/>
          <w:szCs w:val="15"/>
          <w:lang w:val="de-DE"/>
        </w:rPr>
        <w:t xml:space="preserve">, </w:t>
      </w:r>
      <w:r w:rsidR="00BE670C" w:rsidRPr="005325BD">
        <w:rPr>
          <w:rFonts w:ascii="Times New Roman" w:eastAsia="Times New Roman" w:hAnsi="Times New Roman"/>
          <w:bCs/>
          <w:spacing w:val="4"/>
          <w:sz w:val="15"/>
          <w:szCs w:val="15"/>
          <w:lang w:val="de-DE"/>
        </w:rPr>
        <w:t>4</w:t>
      </w:r>
      <w:r w:rsidR="00BB255F" w:rsidRPr="005325BD">
        <w:rPr>
          <w:rFonts w:ascii="Times New Roman" w:eastAsia="Times New Roman" w:hAnsi="Times New Roman"/>
          <w:bCs/>
          <w:spacing w:val="4"/>
          <w:sz w:val="15"/>
          <w:szCs w:val="15"/>
          <w:lang w:val="de-DE"/>
        </w:rPr>
        <w:t>. Auflage 20</w:t>
      </w:r>
      <w:r w:rsidR="00B64F36" w:rsidRPr="005325BD">
        <w:rPr>
          <w:rFonts w:ascii="Times New Roman" w:eastAsia="Times New Roman" w:hAnsi="Times New Roman"/>
          <w:bCs/>
          <w:spacing w:val="4"/>
          <w:sz w:val="15"/>
          <w:szCs w:val="15"/>
          <w:lang w:val="de-DE"/>
        </w:rPr>
        <w:t>2</w:t>
      </w:r>
      <w:r w:rsidR="00BE670C" w:rsidRPr="005325BD">
        <w:rPr>
          <w:rFonts w:ascii="Times New Roman" w:eastAsia="Times New Roman" w:hAnsi="Times New Roman"/>
          <w:bCs/>
          <w:spacing w:val="4"/>
          <w:sz w:val="15"/>
          <w:szCs w:val="15"/>
          <w:lang w:val="de-DE"/>
        </w:rPr>
        <w:t>3</w:t>
      </w:r>
      <w:r w:rsidR="0082199D" w:rsidRPr="005325BD">
        <w:rPr>
          <w:rFonts w:ascii="Times New Roman" w:eastAsia="Times New Roman" w:hAnsi="Times New Roman"/>
          <w:bCs/>
          <w:spacing w:val="4"/>
          <w:sz w:val="15"/>
          <w:szCs w:val="15"/>
          <w:lang w:val="de-DE"/>
        </w:rPr>
        <w:t>, Problem</w:t>
      </w:r>
      <w:r w:rsidR="00A77420">
        <w:rPr>
          <w:rFonts w:ascii="Times New Roman" w:eastAsia="Times New Roman" w:hAnsi="Times New Roman"/>
          <w:bCs/>
          <w:spacing w:val="4"/>
          <w:sz w:val="15"/>
          <w:szCs w:val="15"/>
          <w:lang w:val="de-DE"/>
        </w:rPr>
        <w:t> </w:t>
      </w:r>
      <w:r w:rsidR="0082199D" w:rsidRPr="005325BD">
        <w:rPr>
          <w:rFonts w:ascii="Times New Roman" w:eastAsia="Times New Roman" w:hAnsi="Times New Roman"/>
          <w:bCs/>
          <w:spacing w:val="4"/>
          <w:sz w:val="15"/>
          <w:szCs w:val="15"/>
          <w:lang w:val="de-DE"/>
        </w:rPr>
        <w:t>11.</w:t>
      </w:r>
    </w:p>
    <w:p w14:paraId="03AF8A52" w14:textId="77777777" w:rsidR="00370088" w:rsidRPr="005325BD" w:rsidRDefault="00CA75B7" w:rsidP="001039B2">
      <w:pPr>
        <w:spacing w:line="216" w:lineRule="auto"/>
        <w:ind w:left="2160" w:right="200" w:hanging="2020"/>
        <w:jc w:val="both"/>
        <w:rPr>
          <w:rFonts w:ascii="Times New Roman" w:eastAsia="Times New Roman" w:hAnsi="Times New Roman"/>
          <w:sz w:val="15"/>
          <w:szCs w:val="15"/>
          <w:lang w:val="de-DE"/>
        </w:rPr>
      </w:pPr>
      <w:r w:rsidRPr="005325BD">
        <w:rPr>
          <w:rFonts w:ascii="Times New Roman" w:eastAsia="Times New Roman" w:hAnsi="Times New Roman"/>
          <w:b/>
          <w:bCs/>
          <w:spacing w:val="-4"/>
          <w:sz w:val="15"/>
          <w:szCs w:val="15"/>
          <w:lang w:val="de-DE"/>
        </w:rPr>
        <w:t>Literatur/Aufsätze:</w:t>
      </w:r>
      <w:r w:rsidR="00BA26CD" w:rsidRPr="005325BD">
        <w:rPr>
          <w:rFonts w:ascii="Times New Roman" w:eastAsia="Times New Roman" w:hAnsi="Times New Roman"/>
          <w:b/>
          <w:bCs/>
          <w:spacing w:val="27"/>
          <w:sz w:val="15"/>
          <w:szCs w:val="15"/>
          <w:lang w:val="de-DE"/>
        </w:rPr>
        <w:tab/>
      </w:r>
      <w:r w:rsidR="003132F8" w:rsidRPr="005325BD">
        <w:rPr>
          <w:rFonts w:ascii="Times New Roman" w:eastAsia="Times New Roman" w:hAnsi="Times New Roman"/>
          <w:i/>
          <w:spacing w:val="-3"/>
          <w:sz w:val="15"/>
          <w:szCs w:val="15"/>
          <w:lang w:val="de-DE"/>
        </w:rPr>
        <w:t>Bosch</w:t>
      </w:r>
      <w:r w:rsidR="003132F8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, Sachliche und persönliche Unabhängigkeit von Gerichtspersonen, JURA 2015, 56; </w:t>
      </w:r>
      <w:r w:rsidR="00FC57D4" w:rsidRPr="005325BD">
        <w:rPr>
          <w:rFonts w:ascii="Times New Roman" w:eastAsia="Times New Roman" w:hAnsi="Times New Roman"/>
          <w:i/>
          <w:spacing w:val="-3"/>
          <w:sz w:val="15"/>
          <w:szCs w:val="15"/>
          <w:lang w:val="de-DE"/>
        </w:rPr>
        <w:t>Fahl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, </w:t>
      </w:r>
      <w:r w:rsidR="00FC57D4"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Der </w:t>
      </w:r>
      <w:r w:rsidR="00FC57D4"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Frankfurter 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„Mohren“-</w:t>
      </w:r>
      <w:proofErr w:type="spellStart"/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Beschluß</w:t>
      </w:r>
      <w:proofErr w:type="spellEnd"/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, </w:t>
      </w:r>
      <w:r w:rsidR="00FC57D4"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JA 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1998, 187; </w:t>
      </w:r>
      <w:r w:rsidR="00702929" w:rsidRPr="00081563">
        <w:rPr>
          <w:rFonts w:ascii="Times New Roman" w:hAnsi="Times New Roman"/>
          <w:i/>
          <w:iCs/>
          <w:sz w:val="15"/>
          <w:szCs w:val="15"/>
          <w:lang w:val="de-DE"/>
        </w:rPr>
        <w:t>Fischer/Kudlich</w:t>
      </w:r>
      <w:r w:rsidR="00702929" w:rsidRPr="00081563">
        <w:rPr>
          <w:rFonts w:ascii="Times New Roman" w:hAnsi="Times New Roman"/>
          <w:sz w:val="15"/>
          <w:szCs w:val="15"/>
          <w:lang w:val="de-DE"/>
        </w:rPr>
        <w:t>, Ausschluss und Ablehnung von Richtern im Strafverfahren, JA 2020, 641;</w:t>
      </w:r>
      <w:r w:rsidR="00702929" w:rsidRPr="00081563">
        <w:rPr>
          <w:sz w:val="15"/>
          <w:szCs w:val="15"/>
          <w:lang w:val="de-DE"/>
        </w:rPr>
        <w:t xml:space="preserve"> </w:t>
      </w:r>
      <w:proofErr w:type="spellStart"/>
      <w:r w:rsidR="00842AF2" w:rsidRPr="005325BD">
        <w:rPr>
          <w:rFonts w:ascii="Times New Roman" w:eastAsia="Times New Roman" w:hAnsi="Times New Roman"/>
          <w:i/>
          <w:spacing w:val="-3"/>
          <w:sz w:val="15"/>
          <w:szCs w:val="15"/>
          <w:lang w:val="de-DE"/>
        </w:rPr>
        <w:t>Harrendorf</w:t>
      </w:r>
      <w:proofErr w:type="spellEnd"/>
      <w:r w:rsidR="00842AF2" w:rsidRPr="005325BD">
        <w:rPr>
          <w:rFonts w:ascii="Times New Roman" w:eastAsia="Times New Roman" w:hAnsi="Times New Roman"/>
          <w:i/>
          <w:spacing w:val="-3"/>
          <w:sz w:val="15"/>
          <w:szCs w:val="15"/>
          <w:lang w:val="de-DE"/>
        </w:rPr>
        <w:t>/Lagler</w:t>
      </w:r>
      <w:r w:rsidR="00842AF2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, Besorgnis der Befangenheit aufgrund Erörterung im Strafverfahren gem. § 257b StPO?, StV 2019, 428;</w:t>
      </w:r>
      <w:r w:rsidR="00F05829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</w:t>
      </w:r>
      <w:r w:rsidR="00FC57D4" w:rsidRPr="005325BD">
        <w:rPr>
          <w:rFonts w:ascii="Times New Roman" w:eastAsia="Times New Roman" w:hAnsi="Times New Roman"/>
          <w:i/>
          <w:spacing w:val="-3"/>
          <w:sz w:val="15"/>
          <w:szCs w:val="15"/>
          <w:lang w:val="de-DE"/>
        </w:rPr>
        <w:t>Jahn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, </w:t>
      </w:r>
      <w:r w:rsidR="00FC57D4"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Befangenheit 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eines Richters </w:t>
      </w:r>
      <w:r w:rsidR="00FC57D4"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bei </w:t>
      </w:r>
      <w:r w:rsidR="00FC57D4"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Mitwirkung </w:t>
      </w:r>
      <w:r w:rsidR="00FC57D4"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an 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Prozessberichterstattung in </w:t>
      </w:r>
      <w:r w:rsidR="00FC57D4"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der </w:t>
      </w:r>
      <w:r w:rsidR="00FC57D4"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>Boulevardpresse</w:t>
      </w:r>
      <w:r w:rsidR="00EB26D8"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 </w:t>
      </w:r>
      <w:r w:rsidR="00FC57D4"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(Fall Wildmoser), </w:t>
      </w:r>
      <w:proofErr w:type="spellStart"/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JuS</w:t>
      </w:r>
      <w:proofErr w:type="spellEnd"/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2006, 1034; </w:t>
      </w:r>
      <w:proofErr w:type="spellStart"/>
      <w:r w:rsidR="00FC57D4" w:rsidRPr="005325BD">
        <w:rPr>
          <w:rFonts w:ascii="Times New Roman" w:eastAsia="Times New Roman" w:hAnsi="Times New Roman"/>
          <w:i/>
          <w:sz w:val="15"/>
          <w:szCs w:val="15"/>
          <w:lang w:val="de-DE"/>
        </w:rPr>
        <w:t>ders</w:t>
      </w:r>
      <w:proofErr w:type="spellEnd"/>
      <w:r w:rsidR="00FC57D4" w:rsidRPr="005325BD">
        <w:rPr>
          <w:rFonts w:ascii="Times New Roman" w:eastAsia="Times New Roman" w:hAnsi="Times New Roman"/>
          <w:i/>
          <w:sz w:val="15"/>
          <w:szCs w:val="15"/>
          <w:lang w:val="de-DE"/>
        </w:rPr>
        <w:t>.</w:t>
      </w:r>
      <w:r w:rsidR="00FC57D4"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, 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Strafprozessrecht: </w:t>
      </w:r>
      <w:r w:rsidR="00FC57D4"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Richterablehnung 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wegen „ergänzender </w:t>
      </w:r>
      <w:r w:rsidR="00FC57D4"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Belehrung“, </w:t>
      </w:r>
      <w:proofErr w:type="spellStart"/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JuS</w:t>
      </w:r>
      <w:proofErr w:type="spellEnd"/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2010, 270; </w:t>
      </w:r>
      <w:r w:rsidR="00FC57D4" w:rsidRPr="005325BD">
        <w:rPr>
          <w:rFonts w:ascii="Times New Roman" w:eastAsia="Times New Roman" w:hAnsi="Times New Roman"/>
          <w:i/>
          <w:spacing w:val="-3"/>
          <w:sz w:val="15"/>
          <w:szCs w:val="15"/>
          <w:lang w:val="de-DE"/>
        </w:rPr>
        <w:t>Kudlich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, </w:t>
      </w:r>
      <w:r w:rsidR="00FC57D4"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Ablehnung 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eines Richters, </w:t>
      </w:r>
      <w:proofErr w:type="spellStart"/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JuS</w:t>
      </w:r>
      <w:proofErr w:type="spellEnd"/>
      <w:r w:rsidR="00FC57D4" w:rsidRPr="005325BD">
        <w:rPr>
          <w:rFonts w:ascii="Times New Roman" w:eastAsia="Times New Roman" w:hAnsi="Times New Roman"/>
          <w:spacing w:val="-7"/>
          <w:sz w:val="15"/>
          <w:szCs w:val="15"/>
          <w:lang w:val="de-DE"/>
        </w:rPr>
        <w:t xml:space="preserve"> 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2004,</w:t>
      </w:r>
      <w:r w:rsidR="00FC57D4" w:rsidRPr="005325BD">
        <w:rPr>
          <w:rFonts w:ascii="Times New Roman" w:eastAsia="Times New Roman" w:hAnsi="Times New Roman"/>
          <w:spacing w:val="-6"/>
          <w:sz w:val="15"/>
          <w:szCs w:val="15"/>
          <w:lang w:val="de-DE"/>
        </w:rPr>
        <w:t xml:space="preserve"> 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834;</w:t>
      </w:r>
      <w:r w:rsidR="00FC57D4" w:rsidRPr="005325BD">
        <w:rPr>
          <w:rFonts w:ascii="Times New Roman" w:eastAsia="Times New Roman" w:hAnsi="Times New Roman"/>
          <w:spacing w:val="-7"/>
          <w:sz w:val="15"/>
          <w:szCs w:val="15"/>
          <w:lang w:val="de-DE"/>
        </w:rPr>
        <w:t xml:space="preserve"> </w:t>
      </w:r>
      <w:proofErr w:type="spellStart"/>
      <w:r w:rsidR="00FC57D4" w:rsidRPr="005325BD">
        <w:rPr>
          <w:rFonts w:ascii="Times New Roman" w:eastAsia="Times New Roman" w:hAnsi="Times New Roman"/>
          <w:i/>
          <w:sz w:val="15"/>
          <w:szCs w:val="15"/>
          <w:lang w:val="de-DE"/>
        </w:rPr>
        <w:t>ders</w:t>
      </w:r>
      <w:proofErr w:type="spellEnd"/>
      <w:r w:rsidR="00FC57D4" w:rsidRPr="005325BD">
        <w:rPr>
          <w:rFonts w:ascii="Times New Roman" w:eastAsia="Times New Roman" w:hAnsi="Times New Roman"/>
          <w:i/>
          <w:sz w:val="15"/>
          <w:szCs w:val="15"/>
          <w:lang w:val="de-DE"/>
        </w:rPr>
        <w:t>.</w:t>
      </w:r>
      <w:r w:rsidR="00FC57D4" w:rsidRPr="005325BD">
        <w:rPr>
          <w:rFonts w:ascii="Times New Roman" w:eastAsia="Times New Roman" w:hAnsi="Times New Roman"/>
          <w:sz w:val="15"/>
          <w:szCs w:val="15"/>
          <w:lang w:val="de-DE"/>
        </w:rPr>
        <w:t>,</w:t>
      </w:r>
      <w:r w:rsidR="00FC57D4" w:rsidRPr="005325BD">
        <w:rPr>
          <w:rFonts w:ascii="Times New Roman" w:eastAsia="Times New Roman" w:hAnsi="Times New Roman"/>
          <w:spacing w:val="-6"/>
          <w:sz w:val="15"/>
          <w:szCs w:val="15"/>
          <w:lang w:val="de-DE"/>
        </w:rPr>
        <w:t xml:space="preserve"> </w:t>
      </w:r>
      <w:r w:rsidR="00FC57D4"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>Besorgnis</w:t>
      </w:r>
      <w:r w:rsidR="00FC57D4" w:rsidRPr="005325BD">
        <w:rPr>
          <w:rFonts w:ascii="Times New Roman" w:eastAsia="Times New Roman" w:hAnsi="Times New Roman"/>
          <w:spacing w:val="-6"/>
          <w:sz w:val="15"/>
          <w:szCs w:val="15"/>
          <w:lang w:val="de-DE"/>
        </w:rPr>
        <w:t xml:space="preserve"> </w:t>
      </w:r>
      <w:r w:rsidR="00FC57D4" w:rsidRPr="005325BD">
        <w:rPr>
          <w:rFonts w:ascii="Times New Roman" w:eastAsia="Times New Roman" w:hAnsi="Times New Roman"/>
          <w:sz w:val="15"/>
          <w:szCs w:val="15"/>
          <w:lang w:val="de-DE"/>
        </w:rPr>
        <w:t>der</w:t>
      </w:r>
      <w:r w:rsidR="00FC57D4" w:rsidRPr="005325BD">
        <w:rPr>
          <w:rFonts w:ascii="Times New Roman" w:eastAsia="Times New Roman" w:hAnsi="Times New Roman"/>
          <w:spacing w:val="-7"/>
          <w:sz w:val="15"/>
          <w:szCs w:val="15"/>
          <w:lang w:val="de-DE"/>
        </w:rPr>
        <w:t xml:space="preserve"> </w:t>
      </w:r>
      <w:r w:rsidR="00FC57D4"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>Befangenheit,</w:t>
      </w:r>
      <w:r w:rsidR="00FC57D4" w:rsidRPr="005325BD">
        <w:rPr>
          <w:rFonts w:ascii="Times New Roman" w:eastAsia="Times New Roman" w:hAnsi="Times New Roman"/>
          <w:spacing w:val="-6"/>
          <w:sz w:val="15"/>
          <w:szCs w:val="15"/>
          <w:lang w:val="de-DE"/>
        </w:rPr>
        <w:t xml:space="preserve"> </w:t>
      </w:r>
      <w:r w:rsidR="00FC57D4" w:rsidRPr="005325BD">
        <w:rPr>
          <w:rFonts w:ascii="Times New Roman" w:eastAsia="Times New Roman" w:hAnsi="Times New Roman"/>
          <w:sz w:val="15"/>
          <w:szCs w:val="15"/>
          <w:lang w:val="de-DE"/>
        </w:rPr>
        <w:t>JA</w:t>
      </w:r>
      <w:r w:rsidR="00FC57D4" w:rsidRPr="005325BD">
        <w:rPr>
          <w:rFonts w:ascii="Times New Roman" w:eastAsia="Times New Roman" w:hAnsi="Times New Roman"/>
          <w:spacing w:val="-8"/>
          <w:sz w:val="15"/>
          <w:szCs w:val="15"/>
          <w:lang w:val="de-DE"/>
        </w:rPr>
        <w:t xml:space="preserve"> 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2006,</w:t>
      </w:r>
      <w:r w:rsidR="00FC57D4" w:rsidRPr="005325BD">
        <w:rPr>
          <w:rFonts w:ascii="Times New Roman" w:eastAsia="Times New Roman" w:hAnsi="Times New Roman"/>
          <w:spacing w:val="-6"/>
          <w:sz w:val="15"/>
          <w:szCs w:val="15"/>
          <w:lang w:val="de-DE"/>
        </w:rPr>
        <w:t xml:space="preserve"> </w:t>
      </w:r>
      <w:r w:rsidR="00FC57D4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411</w:t>
      </w:r>
      <w:r w:rsidR="00832F1C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;</w:t>
      </w:r>
      <w:r w:rsidR="00984F5D" w:rsidRPr="005325BD">
        <w:rPr>
          <w:rFonts w:ascii="Times New Roman" w:eastAsia="Times New Roman" w:hAnsi="Times New Roman"/>
          <w:bCs/>
          <w:i/>
          <w:color w:val="339966"/>
          <w:sz w:val="15"/>
          <w:szCs w:val="15"/>
          <w:lang w:val="de-DE" w:eastAsia="de-DE"/>
        </w:rPr>
        <w:t xml:space="preserve"> </w:t>
      </w:r>
      <w:r w:rsidR="00AD2AE7" w:rsidRPr="005325BD">
        <w:rPr>
          <w:rFonts w:ascii="Times New Roman" w:hAnsi="Times New Roman"/>
          <w:i/>
          <w:iCs/>
          <w:sz w:val="15"/>
          <w:szCs w:val="15"/>
          <w:lang w:val="de-DE"/>
        </w:rPr>
        <w:t>Piper</w:t>
      </w:r>
      <w:r w:rsidR="00AD2AE7" w:rsidRPr="005325BD">
        <w:rPr>
          <w:rFonts w:ascii="Times New Roman" w:hAnsi="Times New Roman"/>
          <w:sz w:val="15"/>
          <w:szCs w:val="15"/>
          <w:lang w:val="de-DE"/>
        </w:rPr>
        <w:t xml:space="preserve">, Die Ablehnung des befangenen Schöffen in der Fallbearbeitung, </w:t>
      </w:r>
      <w:proofErr w:type="spellStart"/>
      <w:r w:rsidR="00AD2AE7" w:rsidRPr="005325BD">
        <w:rPr>
          <w:rFonts w:ascii="Times New Roman" w:hAnsi="Times New Roman"/>
          <w:sz w:val="15"/>
          <w:szCs w:val="15"/>
          <w:lang w:val="de-DE"/>
        </w:rPr>
        <w:t>JuS</w:t>
      </w:r>
      <w:proofErr w:type="spellEnd"/>
      <w:r w:rsidR="00AD2AE7" w:rsidRPr="005325BD">
        <w:rPr>
          <w:rFonts w:ascii="Times New Roman" w:hAnsi="Times New Roman"/>
          <w:sz w:val="15"/>
          <w:szCs w:val="15"/>
          <w:lang w:val="de-DE"/>
        </w:rPr>
        <w:t xml:space="preserve"> 2022, 1109;</w:t>
      </w:r>
      <w:r w:rsidR="00AD2AE7" w:rsidRPr="005325BD">
        <w:rPr>
          <w:sz w:val="15"/>
          <w:szCs w:val="15"/>
          <w:lang w:val="de-DE"/>
        </w:rPr>
        <w:t xml:space="preserve"> </w:t>
      </w:r>
      <w:proofErr w:type="spellStart"/>
      <w:r w:rsidR="00984F5D" w:rsidRPr="005325BD">
        <w:rPr>
          <w:rFonts w:ascii="Times New Roman" w:eastAsia="Times New Roman" w:hAnsi="Times New Roman"/>
          <w:bCs/>
          <w:i/>
          <w:spacing w:val="-3"/>
          <w:sz w:val="15"/>
          <w:szCs w:val="15"/>
          <w:lang w:val="de-DE"/>
        </w:rPr>
        <w:t>Quarch</w:t>
      </w:r>
      <w:proofErr w:type="spellEnd"/>
      <w:r w:rsidR="00984F5D" w:rsidRPr="005325BD">
        <w:rPr>
          <w:rFonts w:ascii="Times New Roman" w:eastAsia="Times New Roman" w:hAnsi="Times New Roman"/>
          <w:bCs/>
          <w:spacing w:val="-3"/>
          <w:sz w:val="15"/>
          <w:szCs w:val="15"/>
          <w:lang w:val="de-DE"/>
        </w:rPr>
        <w:t>, Das deutsche Recht der richterlichen Befangenheit, JA 2005, 450;</w:t>
      </w:r>
      <w:r w:rsidR="00832F1C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</w:t>
      </w:r>
      <w:r w:rsidR="00EB26D8" w:rsidRPr="005325BD">
        <w:rPr>
          <w:rFonts w:ascii="Times New Roman" w:eastAsia="Times New Roman" w:hAnsi="Times New Roman"/>
          <w:i/>
          <w:spacing w:val="-3"/>
          <w:sz w:val="15"/>
          <w:szCs w:val="15"/>
          <w:lang w:val="de-DE"/>
        </w:rPr>
        <w:t>Sommer</w:t>
      </w:r>
      <w:r w:rsidR="00EB26D8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, Befangenheit und tätige Reue, NStZ 2014, 615</w:t>
      </w:r>
      <w:r w:rsidR="007D034F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.</w:t>
      </w:r>
    </w:p>
    <w:p w14:paraId="005A0CFD" w14:textId="77777777" w:rsidR="00370088" w:rsidRPr="005325BD" w:rsidRDefault="00FC57D4" w:rsidP="001039B2">
      <w:pPr>
        <w:tabs>
          <w:tab w:val="left" w:pos="1553"/>
        </w:tabs>
        <w:spacing w:line="216" w:lineRule="auto"/>
        <w:ind w:left="135"/>
        <w:rPr>
          <w:rFonts w:ascii="Times New Roman" w:eastAsia="Times New Roman" w:hAnsi="Times New Roman"/>
          <w:sz w:val="15"/>
          <w:szCs w:val="15"/>
          <w:lang w:val="de-DE"/>
        </w:rPr>
      </w:pPr>
      <w:r w:rsidRPr="005325BD">
        <w:rPr>
          <w:rFonts w:ascii="Times New Roman" w:hAnsi="Times New Roman"/>
          <w:b/>
          <w:spacing w:val="-3"/>
          <w:sz w:val="15"/>
          <w:szCs w:val="15"/>
          <w:lang w:val="de-DE"/>
        </w:rPr>
        <w:t>Literatur/Fälle:</w:t>
      </w:r>
      <w:r w:rsidRPr="005325BD">
        <w:rPr>
          <w:rFonts w:ascii="Times New Roman" w:hAnsi="Times New Roman"/>
          <w:b/>
          <w:spacing w:val="-3"/>
          <w:sz w:val="15"/>
          <w:szCs w:val="15"/>
          <w:lang w:val="de-DE"/>
        </w:rPr>
        <w:tab/>
      </w:r>
      <w:r w:rsidR="00853A0C" w:rsidRPr="005325BD">
        <w:rPr>
          <w:rFonts w:ascii="Times New Roman" w:hAnsi="Times New Roman"/>
          <w:b/>
          <w:spacing w:val="-3"/>
          <w:sz w:val="15"/>
          <w:szCs w:val="15"/>
          <w:lang w:val="de-DE"/>
        </w:rPr>
        <w:tab/>
      </w:r>
      <w:r w:rsidRPr="005325BD">
        <w:rPr>
          <w:rFonts w:ascii="Times New Roman" w:hAnsi="Times New Roman"/>
          <w:i/>
          <w:sz w:val="15"/>
          <w:szCs w:val="15"/>
          <w:lang w:val="de-DE"/>
        </w:rPr>
        <w:t xml:space="preserve">E. </w:t>
      </w:r>
      <w:r w:rsidRPr="005325BD">
        <w:rPr>
          <w:rFonts w:ascii="Times New Roman" w:hAnsi="Times New Roman"/>
          <w:i/>
          <w:spacing w:val="-3"/>
          <w:sz w:val="15"/>
          <w:szCs w:val="15"/>
          <w:lang w:val="de-DE"/>
        </w:rPr>
        <w:t>Müller</w:t>
      </w:r>
      <w:r w:rsidRPr="005325BD">
        <w:rPr>
          <w:rFonts w:ascii="Times New Roman" w:hAnsi="Times New Roman"/>
          <w:spacing w:val="-3"/>
          <w:sz w:val="15"/>
          <w:szCs w:val="15"/>
          <w:lang w:val="de-DE"/>
        </w:rPr>
        <w:t xml:space="preserve">, </w:t>
      </w:r>
      <w:r w:rsidRPr="005325BD">
        <w:rPr>
          <w:rFonts w:ascii="Times New Roman" w:hAnsi="Times New Roman"/>
          <w:sz w:val="15"/>
          <w:szCs w:val="15"/>
          <w:lang w:val="de-DE"/>
        </w:rPr>
        <w:t xml:space="preserve">Der </w:t>
      </w:r>
      <w:r w:rsidRPr="005325BD">
        <w:rPr>
          <w:rFonts w:ascii="Times New Roman" w:hAnsi="Times New Roman"/>
          <w:spacing w:val="-4"/>
          <w:sz w:val="15"/>
          <w:szCs w:val="15"/>
          <w:lang w:val="de-DE"/>
        </w:rPr>
        <w:t xml:space="preserve">befangene </w:t>
      </w:r>
      <w:r w:rsidRPr="005325BD">
        <w:rPr>
          <w:rFonts w:ascii="Times New Roman" w:hAnsi="Times New Roman"/>
          <w:spacing w:val="-3"/>
          <w:sz w:val="15"/>
          <w:szCs w:val="15"/>
          <w:lang w:val="de-DE"/>
        </w:rPr>
        <w:t xml:space="preserve">Staatsanwalt, </w:t>
      </w:r>
      <w:proofErr w:type="spellStart"/>
      <w:r w:rsidRPr="005325BD">
        <w:rPr>
          <w:rFonts w:ascii="Times New Roman" w:hAnsi="Times New Roman"/>
          <w:spacing w:val="-3"/>
          <w:sz w:val="15"/>
          <w:szCs w:val="15"/>
          <w:lang w:val="de-DE"/>
        </w:rPr>
        <w:t>JuS</w:t>
      </w:r>
      <w:proofErr w:type="spellEnd"/>
      <w:r w:rsidRPr="005325BD">
        <w:rPr>
          <w:rFonts w:ascii="Times New Roman" w:hAnsi="Times New Roman"/>
          <w:spacing w:val="-3"/>
          <w:sz w:val="15"/>
          <w:szCs w:val="15"/>
          <w:lang w:val="de-DE"/>
        </w:rPr>
        <w:t xml:space="preserve"> 1989,</w:t>
      </w:r>
      <w:r w:rsidRPr="005325BD">
        <w:rPr>
          <w:rFonts w:ascii="Times New Roman" w:hAnsi="Times New Roman"/>
          <w:spacing w:val="-17"/>
          <w:sz w:val="15"/>
          <w:szCs w:val="15"/>
          <w:lang w:val="de-DE"/>
        </w:rPr>
        <w:t xml:space="preserve"> </w:t>
      </w:r>
      <w:r w:rsidRPr="005325BD">
        <w:rPr>
          <w:rFonts w:ascii="Times New Roman" w:hAnsi="Times New Roman"/>
          <w:spacing w:val="-3"/>
          <w:sz w:val="15"/>
          <w:szCs w:val="15"/>
          <w:lang w:val="de-DE"/>
        </w:rPr>
        <w:t>311.</w:t>
      </w:r>
    </w:p>
    <w:p w14:paraId="17EC70CC" w14:textId="20865CA9" w:rsidR="00892636" w:rsidRPr="007B1836" w:rsidRDefault="00FC57D4" w:rsidP="00892636">
      <w:pPr>
        <w:tabs>
          <w:tab w:val="left" w:pos="1553"/>
        </w:tabs>
        <w:spacing w:line="216" w:lineRule="auto"/>
        <w:ind w:left="2154" w:right="194" w:hanging="2020"/>
        <w:jc w:val="both"/>
        <w:rPr>
          <w:rFonts w:ascii="Times New Roman" w:eastAsia="Times New Roman" w:hAnsi="Times New Roman"/>
          <w:spacing w:val="-3"/>
          <w:sz w:val="15"/>
          <w:szCs w:val="15"/>
          <w:lang w:val="de-DE"/>
        </w:rPr>
      </w:pPr>
      <w:r w:rsidRPr="005325BD">
        <w:rPr>
          <w:rFonts w:ascii="Times New Roman" w:eastAsia="Times New Roman" w:hAnsi="Times New Roman"/>
          <w:b/>
          <w:bCs/>
          <w:spacing w:val="-4"/>
          <w:sz w:val="15"/>
          <w:szCs w:val="15"/>
          <w:lang w:val="de-DE"/>
        </w:rPr>
        <w:t>Rechtsprechung:</w:t>
      </w:r>
      <w:r w:rsidRPr="005325BD">
        <w:rPr>
          <w:rFonts w:ascii="Times New Roman" w:eastAsia="Times New Roman" w:hAnsi="Times New Roman"/>
          <w:b/>
          <w:bCs/>
          <w:spacing w:val="-4"/>
          <w:sz w:val="15"/>
          <w:szCs w:val="15"/>
          <w:lang w:val="de-DE"/>
        </w:rPr>
        <w:tab/>
      </w:r>
      <w:r w:rsidR="00853A0C" w:rsidRPr="005325BD">
        <w:rPr>
          <w:rFonts w:ascii="Times New Roman" w:eastAsia="Times New Roman" w:hAnsi="Times New Roman"/>
          <w:b/>
          <w:bCs/>
          <w:spacing w:val="-4"/>
          <w:sz w:val="15"/>
          <w:szCs w:val="15"/>
          <w:lang w:val="de-DE"/>
        </w:rPr>
        <w:tab/>
      </w:r>
      <w:r w:rsidRPr="005325BD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 xml:space="preserve">RGSt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 xml:space="preserve">37, 414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–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Schöffe (Befangenheit </w:t>
      </w:r>
      <w:r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von OHG-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und KG-Gesellschaftern); </w:t>
      </w:r>
      <w:r w:rsidRPr="005325BD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 xml:space="preserve">BGHSt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 xml:space="preserve">1, 34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–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>Ehefrau (objektive Empfängerperspektive</w:t>
      </w:r>
      <w:r w:rsidRPr="005325BD">
        <w:rPr>
          <w:rFonts w:ascii="Times New Roman" w:eastAsia="Times New Roman" w:hAnsi="Times New Roman"/>
          <w:spacing w:val="7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bei</w:t>
      </w:r>
      <w:r w:rsidRPr="005325BD">
        <w:rPr>
          <w:rFonts w:ascii="Times New Roman" w:eastAsia="Times New Roman" w:hAnsi="Times New Roman"/>
          <w:spacing w:val="21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>Befangenheit);</w:t>
      </w:r>
      <w:r w:rsidRPr="005325BD">
        <w:rPr>
          <w:rFonts w:ascii="Times New Roman" w:eastAsia="Times New Roman" w:hAnsi="Times New Roman"/>
          <w:w w:val="99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 xml:space="preserve">BGHSt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 xml:space="preserve">1, 298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–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Prokurist (nur unmittelbare Verletzung </w:t>
      </w:r>
      <w:r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als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Ausschließungsgrund); </w:t>
      </w:r>
      <w:r w:rsidR="00984F5D" w:rsidRPr="005325BD">
        <w:rPr>
          <w:rFonts w:ascii="Times New Roman" w:eastAsia="Times New Roman" w:hAnsi="Times New Roman"/>
          <w:b/>
          <w:bCs/>
          <w:spacing w:val="-4"/>
          <w:sz w:val="15"/>
          <w:szCs w:val="15"/>
          <w:lang w:val="de-DE"/>
        </w:rPr>
        <w:t>BGHSt 9, 233</w:t>
      </w:r>
      <w:r w:rsidR="00984F5D" w:rsidRPr="005325BD">
        <w:rPr>
          <w:rFonts w:ascii="Times New Roman" w:eastAsia="Times New Roman" w:hAnsi="Times New Roman"/>
          <w:bCs/>
          <w:spacing w:val="-4"/>
          <w:sz w:val="15"/>
          <w:szCs w:val="15"/>
          <w:lang w:val="de-DE"/>
        </w:rPr>
        <w:t xml:space="preserve"> – Beweiserhebung (keine Befangenheit bei vorheriger Mitwirkung des Richters bei der Beweiserhebung); </w:t>
      </w:r>
      <w:r w:rsidRPr="005325BD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 xml:space="preserve">BGHSt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 xml:space="preserve">21, 142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–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Revision (keine Befangenheit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bei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vorheriger Mitwirkung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am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Revisionsverfahren); </w:t>
      </w:r>
      <w:r w:rsidRPr="005325BD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 xml:space="preserve">BGHSt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 xml:space="preserve">24, 336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–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Revision (keine Befangenheit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bei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vorheriger Mitwirkung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am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Revisionsverfahren; tatsächliche Befangenheit nicht erforderlich, </w:t>
      </w:r>
      <w:r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Verdacht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reicht </w:t>
      </w:r>
      <w:r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aus); </w:t>
      </w:r>
      <w:r w:rsidRPr="005325BD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 xml:space="preserve">BGHSt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 xml:space="preserve">43, 16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–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Schöffe (Befangenheit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bei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Mitgliedschaft </w:t>
      </w:r>
      <w:r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in derselben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Gesellschaft);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 xml:space="preserve">BGH </w:t>
      </w:r>
      <w:r w:rsidRPr="005325BD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 xml:space="preserve">NStZ 2006,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 xml:space="preserve">646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– </w:t>
      </w:r>
      <w:r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Parteispendenskandal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(keine Befangenheit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bei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Mitgliedschaft </w:t>
      </w:r>
      <w:r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im anderen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Landesverband </w:t>
      </w:r>
      <w:r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derselben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politischen </w:t>
      </w:r>
      <w:r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Partei);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 xml:space="preserve">BGH </w:t>
      </w:r>
      <w:r w:rsidRPr="005325BD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 xml:space="preserve">NStZ 2010,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 xml:space="preserve">342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–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Ergänzende Belehrung (keine Befangenheit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 xml:space="preserve">bei – </w:t>
      </w:r>
      <w:r w:rsidRPr="005325BD">
        <w:rPr>
          <w:rFonts w:ascii="Times New Roman" w:eastAsia="Times New Roman" w:hAnsi="Times New Roman"/>
          <w:spacing w:val="-4"/>
          <w:sz w:val="15"/>
          <w:szCs w:val="15"/>
          <w:lang w:val="de-DE"/>
        </w:rPr>
        <w:t xml:space="preserve">unzutreffender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– Belehrung des Zeugen, er könne im Falle der Auskunftsverweigerung in dem gegen ihn gerichteten Verfahren Probleme bekommen);</w:t>
      </w:r>
      <w:r w:rsidRPr="005325BD">
        <w:rPr>
          <w:rFonts w:ascii="Times New Roman" w:eastAsia="Times New Roman" w:hAnsi="Times New Roman"/>
          <w:spacing w:val="-8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>BGH</w:t>
      </w:r>
      <w:r w:rsidRPr="005325BD">
        <w:rPr>
          <w:rFonts w:ascii="Times New Roman" w:eastAsia="Times New Roman" w:hAnsi="Times New Roman"/>
          <w:b/>
          <w:bCs/>
          <w:spacing w:val="-8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>NStZ</w:t>
      </w:r>
      <w:r w:rsidRPr="005325BD">
        <w:rPr>
          <w:rFonts w:ascii="Times New Roman" w:eastAsia="Times New Roman" w:hAnsi="Times New Roman"/>
          <w:b/>
          <w:bCs/>
          <w:spacing w:val="-9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>2010,</w:t>
      </w:r>
      <w:r w:rsidRPr="005325BD">
        <w:rPr>
          <w:rFonts w:ascii="Times New Roman" w:eastAsia="Times New Roman" w:hAnsi="Times New Roman"/>
          <w:b/>
          <w:bCs/>
          <w:spacing w:val="-7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b/>
          <w:bCs/>
          <w:sz w:val="15"/>
          <w:szCs w:val="15"/>
          <w:lang w:val="de-DE"/>
        </w:rPr>
        <w:t>401</w:t>
      </w:r>
      <w:r w:rsidRPr="005325BD">
        <w:rPr>
          <w:rFonts w:ascii="Times New Roman" w:eastAsia="Times New Roman" w:hAnsi="Times New Roman"/>
          <w:b/>
          <w:bCs/>
          <w:spacing w:val="-8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–</w:t>
      </w:r>
      <w:r w:rsidRPr="005325BD">
        <w:rPr>
          <w:rFonts w:ascii="Times New Roman" w:eastAsia="Times New Roman" w:hAnsi="Times New Roman"/>
          <w:spacing w:val="-7"/>
          <w:sz w:val="15"/>
          <w:szCs w:val="15"/>
          <w:lang w:val="de-DE"/>
        </w:rPr>
        <w:t xml:space="preserve"> </w:t>
      </w:r>
      <w:r w:rsidR="00AC6257">
        <w:rPr>
          <w:rFonts w:ascii="Times New Roman" w:eastAsia="Times New Roman" w:hAnsi="Times New Roman"/>
          <w:spacing w:val="-7"/>
          <w:sz w:val="15"/>
          <w:szCs w:val="15"/>
          <w:lang w:val="de-DE"/>
        </w:rPr>
        <w:t>Unzulässigkeit des Ablehnungsgesuchs (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Verwerfung</w:t>
      </w:r>
      <w:r w:rsidRPr="005325BD">
        <w:rPr>
          <w:rFonts w:ascii="Times New Roman" w:eastAsia="Times New Roman" w:hAnsi="Times New Roman"/>
          <w:spacing w:val="-10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gemäß</w:t>
      </w:r>
      <w:r w:rsidRPr="005325BD">
        <w:rPr>
          <w:rFonts w:ascii="Times New Roman" w:eastAsia="Times New Roman" w:hAnsi="Times New Roman"/>
          <w:spacing w:val="-6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§</w:t>
      </w:r>
      <w:r w:rsidRPr="005325BD">
        <w:rPr>
          <w:rFonts w:ascii="Times New Roman" w:eastAsia="Times New Roman" w:hAnsi="Times New Roman"/>
          <w:spacing w:val="-7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26a</w:t>
      </w:r>
      <w:r w:rsidRPr="005325BD">
        <w:rPr>
          <w:rFonts w:ascii="Times New Roman" w:eastAsia="Times New Roman" w:hAnsi="Times New Roman"/>
          <w:spacing w:val="-7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I</w:t>
      </w:r>
      <w:r w:rsidRPr="005325BD">
        <w:rPr>
          <w:rFonts w:ascii="Times New Roman" w:eastAsia="Times New Roman" w:hAnsi="Times New Roman"/>
          <w:spacing w:val="-8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Nr.</w:t>
      </w:r>
      <w:r w:rsidRPr="005325BD">
        <w:rPr>
          <w:rFonts w:ascii="Times New Roman" w:eastAsia="Times New Roman" w:hAnsi="Times New Roman"/>
          <w:spacing w:val="-7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2</w:t>
      </w:r>
      <w:r w:rsidRPr="005325BD">
        <w:rPr>
          <w:rFonts w:ascii="Times New Roman" w:eastAsia="Times New Roman" w:hAnsi="Times New Roman"/>
          <w:spacing w:val="-7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StPO</w:t>
      </w:r>
      <w:r w:rsidRPr="005325BD">
        <w:rPr>
          <w:rFonts w:ascii="Times New Roman" w:eastAsia="Times New Roman" w:hAnsi="Times New Roman"/>
          <w:spacing w:val="-7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bei</w:t>
      </w:r>
      <w:r w:rsidRPr="005325BD">
        <w:rPr>
          <w:rFonts w:ascii="Times New Roman" w:eastAsia="Times New Roman" w:hAnsi="Times New Roman"/>
          <w:spacing w:val="-10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völlig</w:t>
      </w:r>
      <w:r w:rsidRPr="005325BD">
        <w:rPr>
          <w:rFonts w:ascii="Times New Roman" w:eastAsia="Times New Roman" w:hAnsi="Times New Roman"/>
          <w:spacing w:val="-10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z w:val="15"/>
          <w:szCs w:val="15"/>
          <w:lang w:val="de-DE"/>
        </w:rPr>
        <w:t>ungeeigneter</w:t>
      </w:r>
      <w:r w:rsidRPr="005325BD">
        <w:rPr>
          <w:rFonts w:ascii="Times New Roman" w:eastAsia="Times New Roman" w:hAnsi="Times New Roman"/>
          <w:spacing w:val="-8"/>
          <w:sz w:val="15"/>
          <w:szCs w:val="15"/>
          <w:lang w:val="de-DE"/>
        </w:rPr>
        <w:t xml:space="preserve"> </w:t>
      </w:r>
      <w:r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Begründung</w:t>
      </w:r>
      <w:r w:rsidR="00AC6257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)</w:t>
      </w:r>
      <w:r w:rsidR="0030518D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; </w:t>
      </w:r>
      <w:r w:rsidR="00DF39E8" w:rsidRPr="005325BD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BGH NStZ-RR 2012, 211</w:t>
      </w:r>
      <w:r w:rsidR="00DF39E8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 Besorgnis der Befangenheit (Vorsitzender erweckte den Eindruck, er ziehe eine schnelle Prozesserledigung einer sachgemäßen Aufklärung vor); </w:t>
      </w:r>
      <w:r w:rsidR="00DF39E8" w:rsidRPr="005325BD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BGH NJW 2014, 2372</w:t>
      </w:r>
      <w:r w:rsidR="00DF39E8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</w:t>
      </w:r>
      <w:r w:rsidR="00EB26D8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Besorgnis der Befangenheit nach Haftbefehl (nicht tragfähige Erwägungen für das Vorliegen des Haftgrunds der Fluchtgefahr als besonderer Umstand); </w:t>
      </w:r>
      <w:r w:rsidR="00A405EC" w:rsidRPr="005325BD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BGH NStZ 2014, 663</w:t>
      </w:r>
      <w:r w:rsidR="00A405EC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 Ablehnung eines Sachverständigen wegen Besorgnis der Befangenheit (revisionsgerichtlicher Prüfungsmaßstab); </w:t>
      </w:r>
      <w:r w:rsidR="0030518D" w:rsidRPr="005325BD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BGH NStZ 2015, 46</w:t>
      </w:r>
      <w:r w:rsidR="0030518D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 Besorgnis der Befangenheit (Abgabe eines sachlich ungerechtfertigten Werturteils über den Angeklagten bei Vorbefassung mit der Sache); </w:t>
      </w:r>
      <w:r w:rsidR="00C95D0C" w:rsidRPr="005325BD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BGH NStZ 2019, 223</w:t>
      </w:r>
      <w:r w:rsidR="00C95D0C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 Besorgnis der Befangenheit bei separaten Gesprächen mit einzelnen Angeklagten (außerordentliche Zurückhaltung; umfassende und unverzügliche Transparenz;</w:t>
      </w:r>
      <w:r w:rsidR="00C95D0C" w:rsidRPr="005325BD">
        <w:rPr>
          <w:sz w:val="15"/>
          <w:szCs w:val="15"/>
          <w:lang w:val="de-DE"/>
        </w:rPr>
        <w:t xml:space="preserve"> </w:t>
      </w:r>
      <w:r w:rsidR="00C95D0C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Recht auf ein faires und rechtsstaatliches Verfahren); </w:t>
      </w:r>
      <w:r w:rsidR="00C95D0C" w:rsidRPr="005325BD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BGH NStZ 2019, 234</w:t>
      </w:r>
      <w:r w:rsidR="00C95D0C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 Vernehmung des Sitzungsvertreters der Staatsanwaltschaft als Zeugen (unzulässige weitere Mitwirkung des Staatsanwalts am weiteren Verfahren: unlösbarer Zusammenhang zwischen Zeugenaussage und nachfolgender Mitwirkung); </w:t>
      </w:r>
      <w:r w:rsidR="00C95D0C" w:rsidRPr="005325BD">
        <w:rPr>
          <w:rFonts w:ascii="Times New Roman" w:eastAsia="Times New Roman" w:hAnsi="Times New Roman"/>
          <w:b/>
          <w:spacing w:val="-3"/>
          <w:sz w:val="15"/>
          <w:szCs w:val="15"/>
          <w:lang w:val="de-DE"/>
        </w:rPr>
        <w:t>BGH NStZ 2019, 353</w:t>
      </w:r>
      <w:r w:rsidR="00C95D0C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 Ausschließung von der Ausübung des Richteramtes (Begriff der Sache: enger Sachzusammenhang, Identität auch bei mehreren prozessualen Taten möglich</w:t>
      </w:r>
      <w:r w:rsidR="00896031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)</w:t>
      </w:r>
      <w:r w:rsidR="00702929" w:rsidRPr="005325BD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;</w:t>
      </w:r>
      <w:r w:rsidR="00702929" w:rsidRPr="005325BD">
        <w:rPr>
          <w:rFonts w:ascii="Times New Roman" w:hAnsi="Times New Roman"/>
          <w:b/>
          <w:sz w:val="15"/>
          <w:szCs w:val="15"/>
          <w:lang w:val="de-DE"/>
        </w:rPr>
        <w:t xml:space="preserve"> </w:t>
      </w:r>
      <w:r w:rsidR="005325BD">
        <w:rPr>
          <w:rFonts w:ascii="Times New Roman" w:hAnsi="Times New Roman"/>
          <w:b/>
          <w:sz w:val="15"/>
          <w:szCs w:val="15"/>
          <w:lang w:val="de-DE"/>
        </w:rPr>
        <w:t xml:space="preserve">BGH NStZ-RR 2022, 345 </w:t>
      </w:r>
      <w:r w:rsidR="005325BD" w:rsidRPr="00081563">
        <w:rPr>
          <w:rFonts w:ascii="Times New Roman" w:hAnsi="Times New Roman"/>
          <w:bCs/>
          <w:sz w:val="15"/>
          <w:szCs w:val="15"/>
          <w:lang w:val="de-DE"/>
        </w:rPr>
        <w:t xml:space="preserve">– Besorgnis der Befangenheit </w:t>
      </w:r>
      <w:r w:rsidR="00AC6257">
        <w:rPr>
          <w:rFonts w:ascii="Times New Roman" w:hAnsi="Times New Roman"/>
          <w:bCs/>
          <w:sz w:val="15"/>
          <w:szCs w:val="15"/>
          <w:lang w:val="de-DE"/>
        </w:rPr>
        <w:lastRenderedPageBreak/>
        <w:t>(Mitwirkung des</w:t>
      </w:r>
      <w:r w:rsidR="00AC6257" w:rsidRPr="00081563">
        <w:rPr>
          <w:rFonts w:ascii="Times New Roman" w:hAnsi="Times New Roman"/>
          <w:bCs/>
          <w:sz w:val="15"/>
          <w:szCs w:val="15"/>
          <w:lang w:val="de-DE"/>
        </w:rPr>
        <w:t xml:space="preserve"> </w:t>
      </w:r>
      <w:r w:rsidR="005325BD" w:rsidRPr="00081563">
        <w:rPr>
          <w:rFonts w:ascii="Times New Roman" w:hAnsi="Times New Roman"/>
          <w:bCs/>
          <w:sz w:val="15"/>
          <w:szCs w:val="15"/>
          <w:lang w:val="de-DE"/>
        </w:rPr>
        <w:t>Richters</w:t>
      </w:r>
      <w:r w:rsidR="00AC6257">
        <w:rPr>
          <w:rFonts w:ascii="Times New Roman" w:hAnsi="Times New Roman"/>
          <w:bCs/>
          <w:sz w:val="15"/>
          <w:szCs w:val="15"/>
          <w:lang w:val="de-DE"/>
        </w:rPr>
        <w:t xml:space="preserve"> a</w:t>
      </w:r>
      <w:r w:rsidR="005325BD" w:rsidRPr="00081563">
        <w:rPr>
          <w:rFonts w:ascii="Times New Roman" w:hAnsi="Times New Roman"/>
          <w:bCs/>
          <w:sz w:val="15"/>
          <w:szCs w:val="15"/>
          <w:lang w:val="de-DE"/>
        </w:rPr>
        <w:t>n einem früheren Urteil gegen einen Mitbeschuldigten wegen desselben Tatgeschehens</w:t>
      </w:r>
      <w:r w:rsidR="00AC6257">
        <w:rPr>
          <w:rFonts w:ascii="Times New Roman" w:hAnsi="Times New Roman"/>
          <w:bCs/>
          <w:sz w:val="15"/>
          <w:szCs w:val="15"/>
          <w:lang w:val="de-DE"/>
        </w:rPr>
        <w:t>)</w:t>
      </w:r>
      <w:r w:rsidR="005325BD" w:rsidRPr="00081563">
        <w:rPr>
          <w:rFonts w:ascii="Times New Roman" w:hAnsi="Times New Roman"/>
          <w:bCs/>
          <w:sz w:val="15"/>
          <w:szCs w:val="15"/>
          <w:lang w:val="de-DE"/>
        </w:rPr>
        <w:t>;</w:t>
      </w:r>
      <w:r w:rsidR="005325BD">
        <w:rPr>
          <w:rFonts w:ascii="Times New Roman" w:hAnsi="Times New Roman"/>
          <w:bCs/>
          <w:sz w:val="15"/>
          <w:szCs w:val="15"/>
          <w:lang w:val="de-DE"/>
        </w:rPr>
        <w:t xml:space="preserve"> </w:t>
      </w:r>
      <w:r w:rsidR="00702929" w:rsidRPr="005325BD">
        <w:rPr>
          <w:rFonts w:ascii="Times New Roman" w:hAnsi="Times New Roman"/>
          <w:b/>
          <w:sz w:val="15"/>
          <w:szCs w:val="15"/>
          <w:lang w:val="de-DE"/>
        </w:rPr>
        <w:t>BGH NStZ 2023, 53</w:t>
      </w:r>
      <w:r w:rsidR="00702929" w:rsidRPr="005325BD">
        <w:rPr>
          <w:rFonts w:ascii="Times New Roman" w:hAnsi="Times New Roman"/>
          <w:sz w:val="15"/>
          <w:szCs w:val="15"/>
          <w:lang w:val="de-DE"/>
        </w:rPr>
        <w:t xml:space="preserve"> – </w:t>
      </w:r>
      <w:r w:rsidR="005325BD">
        <w:rPr>
          <w:rFonts w:ascii="Times New Roman" w:hAnsi="Times New Roman"/>
          <w:sz w:val="15"/>
          <w:szCs w:val="15"/>
          <w:lang w:val="de-DE"/>
        </w:rPr>
        <w:t xml:space="preserve">Besorgnis der </w:t>
      </w:r>
      <w:r w:rsidR="00702929" w:rsidRPr="005325BD">
        <w:rPr>
          <w:rFonts w:ascii="Times New Roman" w:hAnsi="Times New Roman"/>
          <w:sz w:val="15"/>
          <w:szCs w:val="15"/>
          <w:lang w:val="de-DE"/>
        </w:rPr>
        <w:t xml:space="preserve">Befangenheit </w:t>
      </w:r>
      <w:r w:rsidR="005325BD">
        <w:rPr>
          <w:rFonts w:ascii="Times New Roman" w:hAnsi="Times New Roman"/>
          <w:sz w:val="15"/>
          <w:szCs w:val="15"/>
          <w:lang w:val="de-DE"/>
        </w:rPr>
        <w:t>wegen Vorbefassung eines</w:t>
      </w:r>
      <w:r w:rsidR="00702929" w:rsidRPr="005325BD">
        <w:rPr>
          <w:rFonts w:ascii="Times New Roman" w:hAnsi="Times New Roman"/>
          <w:sz w:val="15"/>
          <w:szCs w:val="15"/>
          <w:lang w:val="de-DE"/>
        </w:rPr>
        <w:t xml:space="preserve"> Schöffen (gleiche Maßgaben wie bei Berufsrichtern)</w:t>
      </w:r>
      <w:r w:rsidR="00892636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; </w:t>
      </w:r>
      <w:r w:rsidR="00892636" w:rsidRPr="007B1836">
        <w:rPr>
          <w:rFonts w:ascii="Times New Roman" w:eastAsia="Times New Roman" w:hAnsi="Times New Roman"/>
          <w:b/>
          <w:bCs/>
          <w:spacing w:val="-3"/>
          <w:sz w:val="15"/>
          <w:szCs w:val="15"/>
          <w:lang w:val="de-DE"/>
        </w:rPr>
        <w:t>BGH NStZ 2024, 252</w:t>
      </w:r>
      <w:r w:rsidR="00892636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– Besorgnis der Befangenheit </w:t>
      </w:r>
      <w:r w:rsidR="00AC6257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(Erklärung der </w:t>
      </w:r>
      <w:r w:rsidR="00892636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Sitzungsvertreterin der </w:t>
      </w:r>
      <w:proofErr w:type="spellStart"/>
      <w:r w:rsidR="00892636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StA</w:t>
      </w:r>
      <w:proofErr w:type="spellEnd"/>
      <w:r w:rsidR="00892636">
        <w:rPr>
          <w:rFonts w:ascii="Times New Roman" w:eastAsia="Times New Roman" w:hAnsi="Times New Roman"/>
          <w:spacing w:val="-3"/>
          <w:sz w:val="15"/>
          <w:szCs w:val="15"/>
          <w:lang w:val="de-DE"/>
        </w:rPr>
        <w:t xml:space="preserve"> im Schlussplädoyer, „befangen“ zu sein</w:t>
      </w:r>
      <w:r w:rsidR="00AC6257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)</w:t>
      </w:r>
      <w:r w:rsidR="00892636">
        <w:rPr>
          <w:rFonts w:ascii="Times New Roman" w:eastAsia="Times New Roman" w:hAnsi="Times New Roman"/>
          <w:spacing w:val="-3"/>
          <w:sz w:val="15"/>
          <w:szCs w:val="15"/>
          <w:lang w:val="de-DE"/>
        </w:rPr>
        <w:t>.</w:t>
      </w:r>
    </w:p>
    <w:sectPr w:rsidR="00892636" w:rsidRPr="007B1836">
      <w:type w:val="continuous"/>
      <w:pgSz w:w="11910" w:h="16840"/>
      <w:pgMar w:top="50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02CA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64AE7"/>
    <w:multiLevelType w:val="hybridMultilevel"/>
    <w:tmpl w:val="86AE5322"/>
    <w:lvl w:ilvl="0" w:tplc="C2FCC008">
      <w:start w:val="1"/>
      <w:numFmt w:val="upperRoman"/>
      <w:lvlText w:val="%1."/>
      <w:lvlJc w:val="left"/>
      <w:pPr>
        <w:ind w:left="418" w:hanging="284"/>
      </w:pPr>
      <w:rPr>
        <w:rFonts w:ascii="Times New Roman" w:eastAsia="Times New Roman" w:hAnsi="Times New Roman" w:hint="default"/>
        <w:b/>
        <w:bCs/>
        <w:spacing w:val="-4"/>
        <w:w w:val="99"/>
        <w:sz w:val="20"/>
        <w:szCs w:val="20"/>
      </w:rPr>
    </w:lvl>
    <w:lvl w:ilvl="1" w:tplc="9B76A5A6">
      <w:start w:val="1"/>
      <w:numFmt w:val="decimal"/>
      <w:lvlText w:val="%2."/>
      <w:lvlJc w:val="left"/>
      <w:pPr>
        <w:ind w:left="701" w:hanging="284"/>
      </w:pPr>
      <w:rPr>
        <w:rFonts w:hint="default"/>
        <w:spacing w:val="-2"/>
        <w:w w:val="99"/>
        <w:u w:val="single" w:color="000000"/>
      </w:rPr>
    </w:lvl>
    <w:lvl w:ilvl="2" w:tplc="6EE81CA0">
      <w:start w:val="1"/>
      <w:numFmt w:val="lowerLetter"/>
      <w:lvlText w:val="%3."/>
      <w:lvlJc w:val="left"/>
      <w:pPr>
        <w:ind w:left="987" w:hanging="284"/>
      </w:pPr>
      <w:rPr>
        <w:rFonts w:hint="default"/>
        <w:spacing w:val="-2"/>
        <w:w w:val="99"/>
        <w:u w:val="single" w:color="000000"/>
      </w:rPr>
    </w:lvl>
    <w:lvl w:ilvl="3" w:tplc="83168694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4" w:tplc="4596160E">
      <w:start w:val="1"/>
      <w:numFmt w:val="bullet"/>
      <w:lvlText w:val="•"/>
      <w:lvlJc w:val="left"/>
      <w:pPr>
        <w:ind w:left="3356" w:hanging="284"/>
      </w:pPr>
      <w:rPr>
        <w:rFonts w:hint="default"/>
      </w:rPr>
    </w:lvl>
    <w:lvl w:ilvl="5" w:tplc="99D028D0">
      <w:start w:val="1"/>
      <w:numFmt w:val="bullet"/>
      <w:lvlText w:val="•"/>
      <w:lvlJc w:val="left"/>
      <w:pPr>
        <w:ind w:left="4544" w:hanging="284"/>
      </w:pPr>
      <w:rPr>
        <w:rFonts w:hint="default"/>
      </w:rPr>
    </w:lvl>
    <w:lvl w:ilvl="6" w:tplc="3A08BF5A">
      <w:start w:val="1"/>
      <w:numFmt w:val="bullet"/>
      <w:lvlText w:val="•"/>
      <w:lvlJc w:val="left"/>
      <w:pPr>
        <w:ind w:left="5733" w:hanging="284"/>
      </w:pPr>
      <w:rPr>
        <w:rFonts w:hint="default"/>
      </w:rPr>
    </w:lvl>
    <w:lvl w:ilvl="7" w:tplc="93580908">
      <w:start w:val="1"/>
      <w:numFmt w:val="bullet"/>
      <w:lvlText w:val="•"/>
      <w:lvlJc w:val="left"/>
      <w:pPr>
        <w:ind w:left="6921" w:hanging="284"/>
      </w:pPr>
      <w:rPr>
        <w:rFonts w:hint="default"/>
      </w:rPr>
    </w:lvl>
    <w:lvl w:ilvl="8" w:tplc="B9127204">
      <w:start w:val="1"/>
      <w:numFmt w:val="bullet"/>
      <w:lvlText w:val="•"/>
      <w:lvlJc w:val="left"/>
      <w:pPr>
        <w:ind w:left="8109" w:hanging="284"/>
      </w:pPr>
      <w:rPr>
        <w:rFonts w:hint="default"/>
      </w:rPr>
    </w:lvl>
  </w:abstractNum>
  <w:num w:numId="1" w16cid:durableId="320620692">
    <w:abstractNumId w:val="1"/>
  </w:num>
  <w:num w:numId="2" w16cid:durableId="167923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88"/>
    <w:rsid w:val="000407A4"/>
    <w:rsid w:val="000508FE"/>
    <w:rsid w:val="0006146F"/>
    <w:rsid w:val="00081563"/>
    <w:rsid w:val="00094F2E"/>
    <w:rsid w:val="000B295B"/>
    <w:rsid w:val="000C1D9A"/>
    <w:rsid w:val="001039B2"/>
    <w:rsid w:val="00152933"/>
    <w:rsid w:val="001B27DB"/>
    <w:rsid w:val="001B4387"/>
    <w:rsid w:val="001C327C"/>
    <w:rsid w:val="001C6C02"/>
    <w:rsid w:val="001F382F"/>
    <w:rsid w:val="00213EA9"/>
    <w:rsid w:val="002A305F"/>
    <w:rsid w:val="002D2BDD"/>
    <w:rsid w:val="0030518D"/>
    <w:rsid w:val="003132F8"/>
    <w:rsid w:val="0032292B"/>
    <w:rsid w:val="00333E38"/>
    <w:rsid w:val="003345A4"/>
    <w:rsid w:val="003445A2"/>
    <w:rsid w:val="00351B2E"/>
    <w:rsid w:val="00360AA2"/>
    <w:rsid w:val="00370088"/>
    <w:rsid w:val="00396A7D"/>
    <w:rsid w:val="003A515C"/>
    <w:rsid w:val="003B2FE1"/>
    <w:rsid w:val="003E4CA3"/>
    <w:rsid w:val="00443294"/>
    <w:rsid w:val="00450CAD"/>
    <w:rsid w:val="004967A4"/>
    <w:rsid w:val="004D03F3"/>
    <w:rsid w:val="004E7C33"/>
    <w:rsid w:val="0050342F"/>
    <w:rsid w:val="00511A52"/>
    <w:rsid w:val="005325BD"/>
    <w:rsid w:val="005450CB"/>
    <w:rsid w:val="005850BA"/>
    <w:rsid w:val="005D1C75"/>
    <w:rsid w:val="00645924"/>
    <w:rsid w:val="006B2435"/>
    <w:rsid w:val="00701B60"/>
    <w:rsid w:val="00702929"/>
    <w:rsid w:val="00713DDF"/>
    <w:rsid w:val="007538B2"/>
    <w:rsid w:val="00784045"/>
    <w:rsid w:val="007867A5"/>
    <w:rsid w:val="007A257C"/>
    <w:rsid w:val="007B1836"/>
    <w:rsid w:val="007C1622"/>
    <w:rsid w:val="007C4A75"/>
    <w:rsid w:val="007D034F"/>
    <w:rsid w:val="007D2F59"/>
    <w:rsid w:val="0082199D"/>
    <w:rsid w:val="00832F1C"/>
    <w:rsid w:val="008343C1"/>
    <w:rsid w:val="00842AF2"/>
    <w:rsid w:val="00853A0C"/>
    <w:rsid w:val="00864FB9"/>
    <w:rsid w:val="00892636"/>
    <w:rsid w:val="00896031"/>
    <w:rsid w:val="0089719E"/>
    <w:rsid w:val="008C3FA9"/>
    <w:rsid w:val="008E4372"/>
    <w:rsid w:val="008E733B"/>
    <w:rsid w:val="00900768"/>
    <w:rsid w:val="0090385C"/>
    <w:rsid w:val="00972D66"/>
    <w:rsid w:val="00976816"/>
    <w:rsid w:val="009777A5"/>
    <w:rsid w:val="00984F5D"/>
    <w:rsid w:val="00997935"/>
    <w:rsid w:val="009B5554"/>
    <w:rsid w:val="009D4236"/>
    <w:rsid w:val="00A026C2"/>
    <w:rsid w:val="00A405EC"/>
    <w:rsid w:val="00A430A0"/>
    <w:rsid w:val="00A71CDF"/>
    <w:rsid w:val="00A77420"/>
    <w:rsid w:val="00AC6257"/>
    <w:rsid w:val="00AD2AE7"/>
    <w:rsid w:val="00B02391"/>
    <w:rsid w:val="00B64F36"/>
    <w:rsid w:val="00B97699"/>
    <w:rsid w:val="00BA26CD"/>
    <w:rsid w:val="00BB255F"/>
    <w:rsid w:val="00BC509E"/>
    <w:rsid w:val="00BE670C"/>
    <w:rsid w:val="00C86AB8"/>
    <w:rsid w:val="00C95D0C"/>
    <w:rsid w:val="00CA4355"/>
    <w:rsid w:val="00CA75B7"/>
    <w:rsid w:val="00CC0C29"/>
    <w:rsid w:val="00CE74ED"/>
    <w:rsid w:val="00CF57DB"/>
    <w:rsid w:val="00D27A33"/>
    <w:rsid w:val="00D51AC9"/>
    <w:rsid w:val="00D666E3"/>
    <w:rsid w:val="00D9696F"/>
    <w:rsid w:val="00DA4A25"/>
    <w:rsid w:val="00DF39E8"/>
    <w:rsid w:val="00DF5ACA"/>
    <w:rsid w:val="00E17106"/>
    <w:rsid w:val="00E33844"/>
    <w:rsid w:val="00E36D3F"/>
    <w:rsid w:val="00E66503"/>
    <w:rsid w:val="00E73263"/>
    <w:rsid w:val="00EB26D8"/>
    <w:rsid w:val="00F05829"/>
    <w:rsid w:val="00F63EC9"/>
    <w:rsid w:val="00F85751"/>
    <w:rsid w:val="00F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4808"/>
  <w15:chartTrackingRefBased/>
  <w15:docId w15:val="{9C838F84-E579-4F71-9829-D4B4C01D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ind w:left="13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123"/>
      <w:ind w:left="418" w:hanging="319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342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01" w:hanging="283"/>
    </w:pPr>
    <w:rPr>
      <w:rFonts w:ascii="Times New Roman" w:eastAsia="Times New Roman" w:hAnsi="Times New Roman"/>
      <w:sz w:val="20"/>
      <w:szCs w:val="20"/>
      <w:u w:val="single"/>
    </w:rPr>
  </w:style>
  <w:style w:type="paragraph" w:customStyle="1" w:styleId="HellesRaster-Akzent31">
    <w:name w:val="Helles Raster - Akzent 31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A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86AB8"/>
    <w:rPr>
      <w:rFonts w:ascii="Segoe UI" w:hAnsi="Segoe UI" w:cs="Segoe UI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C86A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6AB8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C86A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AB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86AB8"/>
    <w:rPr>
      <w:b/>
      <w:bCs/>
      <w:sz w:val="20"/>
      <w:szCs w:val="20"/>
    </w:rPr>
  </w:style>
  <w:style w:type="paragraph" w:customStyle="1" w:styleId="HelleListe-Akzent31">
    <w:name w:val="Helle Liste - Akzent 31"/>
    <w:hidden/>
    <w:uiPriority w:val="71"/>
    <w:unhideWhenUsed/>
    <w:rsid w:val="004E7C33"/>
    <w:rPr>
      <w:sz w:val="22"/>
      <w:szCs w:val="22"/>
      <w:lang w:val="en-US" w:eastAsia="en-US"/>
    </w:rPr>
  </w:style>
  <w:style w:type="character" w:customStyle="1" w:styleId="berschrift3Zchn">
    <w:name w:val="Überschrift 3 Zchn"/>
    <w:link w:val="berschrift3"/>
    <w:uiPriority w:val="9"/>
    <w:semiHidden/>
    <w:rsid w:val="0050342F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berarbeitung">
    <w:name w:val="Revision"/>
    <w:hidden/>
    <w:uiPriority w:val="99"/>
    <w:semiHidden/>
    <w:rsid w:val="00BE670C"/>
    <w:rPr>
      <w:sz w:val="22"/>
      <w:szCs w:val="22"/>
      <w:lang w:val="en-US" w:eastAsia="en-US"/>
    </w:rPr>
  </w:style>
  <w:style w:type="character" w:customStyle="1" w:styleId="Betonungkursiv">
    <w:name w:val="Betonung kursiv"/>
    <w:rsid w:val="00AD2AE7"/>
    <w:rPr>
      <w:i/>
      <w:iCs w:val="0"/>
      <w:color w:val="3399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1345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09. Kausalität [VorlAT]</vt:lpstr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 Kausalität [VorlAT]</dc:title>
  <dc:subject/>
  <dc:creator>Professor Dr. Bernd Heinrich</dc:creator>
  <cp:keywords/>
  <cp:lastModifiedBy>Tobias Reinbacher</cp:lastModifiedBy>
  <cp:revision>4</cp:revision>
  <cp:lastPrinted>2015-12-06T14:54:00Z</cp:lastPrinted>
  <dcterms:created xsi:type="dcterms:W3CDTF">2024-10-09T11:56:00Z</dcterms:created>
  <dcterms:modified xsi:type="dcterms:W3CDTF">2024-10-14T10:16:00Z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2015-10-25T00:00:00Z</vt:filetime>
  </property>
</Properties>
</file>