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B5B42" w14:textId="681CA60B" w:rsidR="003439A9" w:rsidRDefault="003439A9" w:rsidP="003439A9">
      <w:pPr>
        <w:framePr w:w="9726" w:h="2107" w:hSpace="240" w:vSpace="120" w:wrap="auto" w:vAnchor="text" w:hAnchor="page" w:x="1282" w:y="455"/>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0C5FB2">
        <w:rPr>
          <w:b/>
          <w:spacing w:val="-3"/>
        </w:rPr>
        <w:t> </w:t>
      </w:r>
      <w:r>
        <w:rPr>
          <w:b/>
          <w:spacing w:val="-3"/>
        </w:rPr>
        <w:t>1</w:t>
      </w:r>
      <w:r w:rsidR="009A58D3">
        <w:rPr>
          <w:b/>
          <w:spacing w:val="-3"/>
        </w:rPr>
        <w:t>6a</w:t>
      </w:r>
    </w:p>
    <w:p w14:paraId="41ED1D75" w14:textId="7AB808EC" w:rsidR="003439A9" w:rsidRPr="00783C39" w:rsidRDefault="0017068D" w:rsidP="000C5FB2">
      <w:pPr>
        <w:framePr w:w="9726" w:h="2107" w:hSpace="240" w:vSpace="120" w:wrap="auto" w:vAnchor="text" w:hAnchor="page" w:x="1282" w:y="455"/>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0"/>
          <w:szCs w:val="50"/>
        </w:rPr>
      </w:pPr>
      <w:r w:rsidRPr="00783C39">
        <w:rPr>
          <w:b/>
          <w:spacing w:val="-7"/>
          <w:sz w:val="50"/>
          <w:szCs w:val="50"/>
        </w:rPr>
        <w:t>Körperliche Untersuchung</w:t>
      </w:r>
      <w:r w:rsidR="000C5FB2" w:rsidRPr="00783C39">
        <w:rPr>
          <w:b/>
          <w:spacing w:val="-7"/>
          <w:sz w:val="50"/>
          <w:szCs w:val="50"/>
        </w:rPr>
        <w:t xml:space="preserve"> und kö</w:t>
      </w:r>
      <w:r w:rsidR="00783C39">
        <w:rPr>
          <w:b/>
          <w:spacing w:val="-7"/>
          <w:sz w:val="50"/>
          <w:szCs w:val="50"/>
        </w:rPr>
        <w:t>r</w:t>
      </w:r>
      <w:r w:rsidR="000C5FB2" w:rsidRPr="00783C39">
        <w:rPr>
          <w:b/>
          <w:spacing w:val="-7"/>
          <w:sz w:val="50"/>
          <w:szCs w:val="50"/>
        </w:rPr>
        <w:t xml:space="preserve">perliche Eingriffe beim Beschuldigten, </w:t>
      </w:r>
      <w:r w:rsidR="003439A9" w:rsidRPr="00783C39">
        <w:rPr>
          <w:b/>
          <w:spacing w:val="-7"/>
          <w:sz w:val="50"/>
          <w:szCs w:val="50"/>
        </w:rPr>
        <w:t>§ 81</w:t>
      </w:r>
      <w:r w:rsidR="00840D40" w:rsidRPr="00783C39">
        <w:rPr>
          <w:b/>
          <w:spacing w:val="-7"/>
          <w:sz w:val="50"/>
          <w:szCs w:val="50"/>
        </w:rPr>
        <w:t>a</w:t>
      </w:r>
      <w:r w:rsidR="003439A9" w:rsidRPr="00783C39">
        <w:rPr>
          <w:b/>
          <w:spacing w:val="-7"/>
          <w:sz w:val="50"/>
          <w:szCs w:val="50"/>
        </w:rPr>
        <w:t> StPO</w:t>
      </w:r>
    </w:p>
    <w:p w14:paraId="408FDD1B" w14:textId="518E0191" w:rsidR="003439A9" w:rsidRDefault="003439A9" w:rsidP="003439A9">
      <w:pPr>
        <w:tabs>
          <w:tab w:val="right" w:pos="10206"/>
        </w:tabs>
        <w:spacing w:line="228" w:lineRule="auto"/>
        <w:jc w:val="both"/>
        <w:rPr>
          <w:b/>
          <w:spacing w:val="-3"/>
        </w:rPr>
      </w:pPr>
      <w:r>
        <w:rPr>
          <w:b/>
          <w:spacing w:val="-3"/>
        </w:rPr>
        <w:t xml:space="preserve">Prof. Dr. </w:t>
      </w:r>
      <w:r w:rsidR="00F9626E">
        <w:rPr>
          <w:b/>
          <w:spacing w:val="-3"/>
        </w:rPr>
        <w:t xml:space="preserve">Dr. h.c. </w:t>
      </w:r>
      <w:r>
        <w:rPr>
          <w:b/>
          <w:spacing w:val="-3"/>
        </w:rPr>
        <w:t>Bernd Heinrich/</w:t>
      </w:r>
      <w:r w:rsidR="00CE7169">
        <w:rPr>
          <w:b/>
          <w:spacing w:val="-3"/>
        </w:rPr>
        <w:t>Pr</w:t>
      </w:r>
      <w:r w:rsidR="00E37525">
        <w:rPr>
          <w:b/>
          <w:spacing w:val="-3"/>
        </w:rPr>
        <w:t>of</w:t>
      </w:r>
      <w:r w:rsidR="00CE7169">
        <w:rPr>
          <w:b/>
          <w:spacing w:val="-3"/>
        </w:rPr>
        <w:t xml:space="preserve">. </w:t>
      </w:r>
      <w:r>
        <w:rPr>
          <w:b/>
          <w:spacing w:val="-3"/>
        </w:rPr>
        <w:t>Dr. Tobias Reinbacher</w:t>
      </w:r>
      <w:r>
        <w:rPr>
          <w:b/>
          <w:spacing w:val="-3"/>
        </w:rPr>
        <w:tab/>
        <w:t xml:space="preserve">Stand: 1. </w:t>
      </w:r>
      <w:r w:rsidR="005B421A">
        <w:rPr>
          <w:b/>
          <w:spacing w:val="-3"/>
        </w:rPr>
        <w:t>Oktober</w:t>
      </w:r>
      <w:r w:rsidR="00C20884">
        <w:rPr>
          <w:b/>
          <w:spacing w:val="-3"/>
        </w:rPr>
        <w:t xml:space="preserve"> </w:t>
      </w:r>
      <w:r w:rsidR="00D235C3">
        <w:rPr>
          <w:b/>
          <w:spacing w:val="-3"/>
        </w:rPr>
        <w:t>20</w:t>
      </w:r>
      <w:r w:rsidR="00D55D9C">
        <w:rPr>
          <w:b/>
          <w:spacing w:val="-3"/>
        </w:rPr>
        <w:t>2</w:t>
      </w:r>
      <w:r w:rsidR="000C5FB2">
        <w:rPr>
          <w:b/>
          <w:spacing w:val="-3"/>
        </w:rPr>
        <w:t>4</w:t>
      </w:r>
    </w:p>
    <w:p w14:paraId="6A223936" w14:textId="77777777" w:rsidR="009D25FD" w:rsidRDefault="009D25FD" w:rsidP="00C20884">
      <w:pPr>
        <w:widowControl/>
        <w:tabs>
          <w:tab w:val="left" w:pos="-720"/>
          <w:tab w:val="left" w:pos="567"/>
          <w:tab w:val="left" w:pos="864"/>
          <w:tab w:val="left" w:pos="1116"/>
          <w:tab w:val="left" w:pos="1404"/>
          <w:tab w:val="left" w:pos="1692"/>
          <w:tab w:val="left" w:pos="1980"/>
          <w:tab w:val="left" w:pos="2268"/>
          <w:tab w:val="left" w:pos="2880"/>
        </w:tabs>
        <w:spacing w:line="276" w:lineRule="auto"/>
        <w:ind w:right="57"/>
        <w:jc w:val="both"/>
        <w:rPr>
          <w:rFonts w:ascii="Times New Roman" w:hAnsi="Times New Roman"/>
          <w:b/>
          <w:spacing w:val="-2"/>
          <w:sz w:val="20"/>
        </w:rPr>
      </w:pPr>
    </w:p>
    <w:p w14:paraId="3DF9B5BE" w14:textId="15023E4D" w:rsidR="0017068D" w:rsidRPr="00783C39" w:rsidRDefault="003439A9" w:rsidP="00783C39">
      <w:pPr>
        <w:widowControl/>
        <w:tabs>
          <w:tab w:val="left" w:pos="-720"/>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7"/>
          <w:szCs w:val="17"/>
        </w:rPr>
      </w:pPr>
      <w:r w:rsidRPr="00783C39">
        <w:rPr>
          <w:rFonts w:ascii="Times New Roman" w:hAnsi="Times New Roman"/>
          <w:b/>
          <w:spacing w:val="-2"/>
          <w:sz w:val="17"/>
          <w:szCs w:val="17"/>
        </w:rPr>
        <w:t>I.</w:t>
      </w:r>
      <w:r w:rsidR="00680140" w:rsidRPr="00783C39">
        <w:rPr>
          <w:rFonts w:ascii="Times New Roman" w:hAnsi="Times New Roman"/>
          <w:b/>
          <w:spacing w:val="-2"/>
          <w:sz w:val="17"/>
          <w:szCs w:val="17"/>
        </w:rPr>
        <w:t xml:space="preserve"> </w:t>
      </w:r>
      <w:r w:rsidR="00B54565" w:rsidRPr="00783C39">
        <w:rPr>
          <w:rFonts w:ascii="Times New Roman" w:hAnsi="Times New Roman"/>
          <w:b/>
          <w:spacing w:val="-2"/>
          <w:sz w:val="17"/>
          <w:szCs w:val="17"/>
        </w:rPr>
        <w:tab/>
      </w:r>
      <w:r w:rsidRPr="00783C39">
        <w:rPr>
          <w:rFonts w:ascii="Times New Roman" w:hAnsi="Times New Roman"/>
          <w:b/>
          <w:spacing w:val="-2"/>
          <w:sz w:val="17"/>
          <w:szCs w:val="17"/>
        </w:rPr>
        <w:t>Allgemeines</w:t>
      </w:r>
      <w:r w:rsidRPr="00783C39">
        <w:rPr>
          <w:rFonts w:ascii="Times New Roman" w:hAnsi="Times New Roman"/>
          <w:spacing w:val="-2"/>
          <w:sz w:val="17"/>
          <w:szCs w:val="17"/>
        </w:rPr>
        <w:t xml:space="preserve">: </w:t>
      </w:r>
      <w:r w:rsidR="0017068D" w:rsidRPr="00783C39">
        <w:rPr>
          <w:rFonts w:ascii="Times New Roman" w:hAnsi="Times New Roman"/>
          <w:spacing w:val="-2"/>
          <w:sz w:val="17"/>
          <w:szCs w:val="17"/>
        </w:rPr>
        <w:t xml:space="preserve">Eine körperliche Untersuchung nach § 81a </w:t>
      </w:r>
      <w:r w:rsidR="00154FE1" w:rsidRPr="00783C39">
        <w:rPr>
          <w:rFonts w:ascii="Times New Roman" w:hAnsi="Times New Roman"/>
          <w:spacing w:val="-2"/>
          <w:sz w:val="17"/>
          <w:szCs w:val="17"/>
        </w:rPr>
        <w:t xml:space="preserve">I 1 </w:t>
      </w:r>
      <w:r w:rsidR="0017068D" w:rsidRPr="00783C39">
        <w:rPr>
          <w:rFonts w:ascii="Times New Roman" w:hAnsi="Times New Roman"/>
          <w:spacing w:val="-2"/>
          <w:sz w:val="17"/>
          <w:szCs w:val="17"/>
        </w:rPr>
        <w:t xml:space="preserve">StPO ist </w:t>
      </w:r>
      <w:r w:rsidR="00154FE1" w:rsidRPr="00783C39">
        <w:rPr>
          <w:rFonts w:ascii="Times New Roman" w:hAnsi="Times New Roman"/>
          <w:spacing w:val="-2"/>
          <w:sz w:val="17"/>
          <w:szCs w:val="17"/>
        </w:rPr>
        <w:t xml:space="preserve">von dem nach § 81a I 2 StPO zulässigen körperlichen Eingriff </w:t>
      </w:r>
      <w:r w:rsidR="008F0E8D" w:rsidRPr="00783C39">
        <w:rPr>
          <w:rFonts w:ascii="Times New Roman" w:hAnsi="Times New Roman"/>
          <w:spacing w:val="-2"/>
          <w:sz w:val="17"/>
          <w:szCs w:val="17"/>
        </w:rPr>
        <w:t xml:space="preserve">und der Durchsuchung nach § 102 StPO </w:t>
      </w:r>
      <w:r w:rsidR="00154FE1" w:rsidRPr="00783C39">
        <w:rPr>
          <w:rFonts w:ascii="Times New Roman" w:hAnsi="Times New Roman"/>
          <w:spacing w:val="-2"/>
          <w:sz w:val="17"/>
          <w:szCs w:val="17"/>
        </w:rPr>
        <w:t xml:space="preserve">abzugrenzen. Ein körperlicher Eingriff liegt nach </w:t>
      </w:r>
      <w:proofErr w:type="spellStart"/>
      <w:r w:rsidR="00154FE1" w:rsidRPr="00783C39">
        <w:rPr>
          <w:rFonts w:ascii="Times New Roman" w:hAnsi="Times New Roman"/>
          <w:spacing w:val="-2"/>
          <w:sz w:val="17"/>
          <w:szCs w:val="17"/>
        </w:rPr>
        <w:t>h.M</w:t>
      </w:r>
      <w:proofErr w:type="spellEnd"/>
      <w:r w:rsidR="00154FE1" w:rsidRPr="00783C39">
        <w:rPr>
          <w:rFonts w:ascii="Times New Roman" w:hAnsi="Times New Roman"/>
          <w:spacing w:val="-2"/>
          <w:sz w:val="17"/>
          <w:szCs w:val="17"/>
        </w:rPr>
        <w:t xml:space="preserve">. jedenfalls dann vor, wenn unter Zufügung auch nur geringfügiger Verletzungen in das Innere des Körpers eingedrungen wird, um Körperbestandteile zu entnehmen (Bsp.: die im Gesetz genannte Blutprobenentnahme). Teilweise wird bei jeder Entnahme von Körperzellen, ohne dass es zu einer Verletzung kommen muss, ein körperlicher Eingriff angenommen (d.h. bspw. auch bei einer Speichelprobenentnahme). Eine körperliche Untersuchung </w:t>
      </w:r>
      <w:r w:rsidR="00803EF6" w:rsidRPr="00783C39">
        <w:rPr>
          <w:rFonts w:ascii="Times New Roman" w:hAnsi="Times New Roman"/>
          <w:spacing w:val="-2"/>
          <w:sz w:val="17"/>
          <w:szCs w:val="17"/>
        </w:rPr>
        <w:t xml:space="preserve">nach § 81a I 1 StPO </w:t>
      </w:r>
      <w:r w:rsidR="00FD016B">
        <w:rPr>
          <w:rFonts w:ascii="Times New Roman" w:hAnsi="Times New Roman"/>
          <w:spacing w:val="-2"/>
          <w:sz w:val="17"/>
          <w:szCs w:val="17"/>
        </w:rPr>
        <w:t>ist</w:t>
      </w:r>
      <w:r w:rsidR="00803EF6" w:rsidRPr="00783C39">
        <w:rPr>
          <w:rFonts w:ascii="Times New Roman" w:hAnsi="Times New Roman"/>
          <w:spacing w:val="-2"/>
          <w:sz w:val="17"/>
          <w:szCs w:val="17"/>
        </w:rPr>
        <w:t xml:space="preserve"> jedenfalls </w:t>
      </w:r>
      <w:r w:rsidR="00FD016B">
        <w:rPr>
          <w:rFonts w:ascii="Times New Roman" w:hAnsi="Times New Roman"/>
          <w:spacing w:val="-2"/>
          <w:sz w:val="17"/>
          <w:szCs w:val="17"/>
        </w:rPr>
        <w:t>dann anzunehmen</w:t>
      </w:r>
      <w:r w:rsidR="00803EF6" w:rsidRPr="00783C39">
        <w:rPr>
          <w:rFonts w:ascii="Times New Roman" w:hAnsi="Times New Roman"/>
          <w:spacing w:val="-2"/>
          <w:sz w:val="17"/>
          <w:szCs w:val="17"/>
        </w:rPr>
        <w:t xml:space="preserve">, wenn es um die Feststellung der körperlichen Beschaffenheit des Beschuldigten geht (BGHSt 5, 332, 336). </w:t>
      </w:r>
      <w:r w:rsidR="005B5396" w:rsidRPr="00783C39">
        <w:rPr>
          <w:rFonts w:ascii="Times New Roman" w:hAnsi="Times New Roman"/>
          <w:spacing w:val="-2"/>
          <w:sz w:val="17"/>
          <w:szCs w:val="17"/>
        </w:rPr>
        <w:t>Eine</w:t>
      </w:r>
      <w:r w:rsidR="0017068D" w:rsidRPr="00783C39">
        <w:rPr>
          <w:rFonts w:ascii="Times New Roman" w:hAnsi="Times New Roman"/>
          <w:spacing w:val="-2"/>
          <w:sz w:val="17"/>
          <w:szCs w:val="17"/>
        </w:rPr>
        <w:t xml:space="preserve"> Durchsuchung nach §</w:t>
      </w:r>
      <w:r w:rsidR="005B5396" w:rsidRPr="00783C39">
        <w:rPr>
          <w:rFonts w:ascii="Times New Roman" w:hAnsi="Times New Roman"/>
          <w:spacing w:val="-2"/>
          <w:sz w:val="17"/>
          <w:szCs w:val="17"/>
        </w:rPr>
        <w:t> </w:t>
      </w:r>
      <w:r w:rsidR="0017068D" w:rsidRPr="00783C39">
        <w:rPr>
          <w:rFonts w:ascii="Times New Roman" w:hAnsi="Times New Roman"/>
          <w:spacing w:val="-2"/>
          <w:sz w:val="17"/>
          <w:szCs w:val="17"/>
        </w:rPr>
        <w:t xml:space="preserve">102 StPO </w:t>
      </w:r>
      <w:r w:rsidR="00FD016B">
        <w:rPr>
          <w:rFonts w:ascii="Times New Roman" w:hAnsi="Times New Roman"/>
          <w:spacing w:val="-2"/>
          <w:sz w:val="17"/>
          <w:szCs w:val="17"/>
        </w:rPr>
        <w:t>ist gegeben</w:t>
      </w:r>
      <w:r w:rsidR="005B5396" w:rsidRPr="00783C39">
        <w:rPr>
          <w:rFonts w:ascii="Times New Roman" w:hAnsi="Times New Roman"/>
          <w:spacing w:val="-2"/>
          <w:sz w:val="17"/>
          <w:szCs w:val="17"/>
        </w:rPr>
        <w:t>, wenn es um das Auffinden von Beweis- oder Einziehungsgegenständen geht, die sich über oder unter der Kleidung am Körper des Beschuldigten befinden</w:t>
      </w:r>
      <w:r w:rsidR="008E2C38" w:rsidRPr="00783C39">
        <w:rPr>
          <w:rFonts w:ascii="Times New Roman" w:hAnsi="Times New Roman"/>
          <w:spacing w:val="-2"/>
          <w:sz w:val="17"/>
          <w:szCs w:val="17"/>
        </w:rPr>
        <w:t xml:space="preserve"> (vgl. Arbeitsblatt Nr. 14)</w:t>
      </w:r>
      <w:r w:rsidR="0017068D" w:rsidRPr="00783C39">
        <w:rPr>
          <w:rFonts w:ascii="Times New Roman" w:hAnsi="Times New Roman"/>
          <w:spacing w:val="-2"/>
          <w:sz w:val="17"/>
          <w:szCs w:val="17"/>
        </w:rPr>
        <w:t xml:space="preserve">. </w:t>
      </w:r>
      <w:r w:rsidR="00AE1EAB" w:rsidRPr="00783C39">
        <w:rPr>
          <w:rFonts w:ascii="Times New Roman" w:hAnsi="Times New Roman"/>
          <w:spacing w:val="-2"/>
          <w:sz w:val="17"/>
          <w:szCs w:val="17"/>
        </w:rPr>
        <w:t xml:space="preserve">Teilweise wird auch die Suche nach Gegenständen </w:t>
      </w:r>
      <w:r w:rsidR="00AE1EAB" w:rsidRPr="00783C39">
        <w:rPr>
          <w:rFonts w:ascii="Times New Roman" w:hAnsi="Times New Roman"/>
          <w:b/>
          <w:spacing w:val="-2"/>
          <w:sz w:val="17"/>
          <w:szCs w:val="17"/>
        </w:rPr>
        <w:t xml:space="preserve">in zugänglichen natürlichen Körperöffnungen </w:t>
      </w:r>
      <w:r w:rsidR="00AE1EAB" w:rsidRPr="00783C39">
        <w:rPr>
          <w:rFonts w:ascii="Times New Roman" w:hAnsi="Times New Roman"/>
          <w:spacing w:val="-2"/>
          <w:sz w:val="17"/>
          <w:szCs w:val="17"/>
        </w:rPr>
        <w:t xml:space="preserve">(z.B. Mund, Scheide, After) als Durchsuchung eingeordnet. Andere ordnen sie </w:t>
      </w:r>
      <w:r w:rsidR="008F0E8D" w:rsidRPr="00783C39">
        <w:rPr>
          <w:rFonts w:ascii="Times New Roman" w:hAnsi="Times New Roman"/>
          <w:spacing w:val="-2"/>
          <w:sz w:val="17"/>
          <w:szCs w:val="17"/>
        </w:rPr>
        <w:t>§ 81a StPO zu, wobei teilweise eine</w:t>
      </w:r>
      <w:r w:rsidR="00AE1EAB" w:rsidRPr="00783C39">
        <w:rPr>
          <w:rFonts w:ascii="Times New Roman" w:hAnsi="Times New Roman"/>
          <w:spacing w:val="-2"/>
          <w:sz w:val="17"/>
          <w:szCs w:val="17"/>
        </w:rPr>
        <w:t xml:space="preserve"> körperliche Untersuchung </w:t>
      </w:r>
      <w:r w:rsidR="008F0E8D" w:rsidRPr="00783C39">
        <w:rPr>
          <w:rFonts w:ascii="Times New Roman" w:hAnsi="Times New Roman"/>
          <w:spacing w:val="-2"/>
          <w:sz w:val="17"/>
          <w:szCs w:val="17"/>
        </w:rPr>
        <w:t>angenommen wird und andere von einem körperlichen Eingriff ausgehen</w:t>
      </w:r>
      <w:r w:rsidR="00AE1EAB" w:rsidRPr="00783C39">
        <w:rPr>
          <w:rFonts w:ascii="Times New Roman" w:hAnsi="Times New Roman"/>
          <w:spacing w:val="-2"/>
          <w:sz w:val="17"/>
          <w:szCs w:val="17"/>
        </w:rPr>
        <w:t>. Wird hingegen</w:t>
      </w:r>
      <w:r w:rsidR="0017068D" w:rsidRPr="00783C39">
        <w:rPr>
          <w:rFonts w:ascii="Times New Roman" w:hAnsi="Times New Roman"/>
          <w:spacing w:val="-2"/>
          <w:sz w:val="17"/>
          <w:szCs w:val="17"/>
        </w:rPr>
        <w:t xml:space="preserve"> </w:t>
      </w:r>
      <w:r w:rsidR="0017068D" w:rsidRPr="00783C39">
        <w:rPr>
          <w:rFonts w:ascii="Times New Roman" w:hAnsi="Times New Roman"/>
          <w:b/>
          <w:spacing w:val="-2"/>
          <w:sz w:val="17"/>
          <w:szCs w:val="17"/>
        </w:rPr>
        <w:t>im Körper</w:t>
      </w:r>
      <w:r w:rsidR="0017068D" w:rsidRPr="00783C39">
        <w:rPr>
          <w:rFonts w:ascii="Times New Roman" w:hAnsi="Times New Roman"/>
          <w:spacing w:val="-2"/>
          <w:sz w:val="17"/>
          <w:szCs w:val="17"/>
        </w:rPr>
        <w:t xml:space="preserve"> nach Gegenständen gesucht, </w:t>
      </w:r>
      <w:r w:rsidR="008E2C38" w:rsidRPr="00783C39">
        <w:rPr>
          <w:rFonts w:ascii="Times New Roman" w:hAnsi="Times New Roman"/>
          <w:spacing w:val="-2"/>
          <w:sz w:val="17"/>
          <w:szCs w:val="17"/>
        </w:rPr>
        <w:t xml:space="preserve">ist </w:t>
      </w:r>
      <w:r w:rsidR="008F0E8D" w:rsidRPr="00783C39">
        <w:rPr>
          <w:rFonts w:ascii="Times New Roman" w:hAnsi="Times New Roman"/>
          <w:spacing w:val="-2"/>
          <w:sz w:val="17"/>
          <w:szCs w:val="17"/>
        </w:rPr>
        <w:t xml:space="preserve">in jedem Fall </w:t>
      </w:r>
      <w:r w:rsidR="008E2C38" w:rsidRPr="00783C39">
        <w:rPr>
          <w:rFonts w:ascii="Times New Roman" w:hAnsi="Times New Roman"/>
          <w:spacing w:val="-2"/>
          <w:sz w:val="17"/>
          <w:szCs w:val="17"/>
        </w:rPr>
        <w:t>§ 81a StPO einschlägig</w:t>
      </w:r>
      <w:r w:rsidR="008F0E8D" w:rsidRPr="00783C39">
        <w:rPr>
          <w:rFonts w:ascii="Times New Roman" w:hAnsi="Times New Roman"/>
          <w:spacing w:val="-2"/>
          <w:sz w:val="17"/>
          <w:szCs w:val="17"/>
        </w:rPr>
        <w:t xml:space="preserve">, nach </w:t>
      </w:r>
      <w:proofErr w:type="spellStart"/>
      <w:r w:rsidR="008F0E8D" w:rsidRPr="00783C39">
        <w:rPr>
          <w:rFonts w:ascii="Times New Roman" w:hAnsi="Times New Roman"/>
          <w:spacing w:val="-2"/>
          <w:sz w:val="17"/>
          <w:szCs w:val="17"/>
        </w:rPr>
        <w:t>h.M</w:t>
      </w:r>
      <w:proofErr w:type="spellEnd"/>
      <w:r w:rsidR="008F0E8D" w:rsidRPr="00783C39">
        <w:rPr>
          <w:rFonts w:ascii="Times New Roman" w:hAnsi="Times New Roman"/>
          <w:spacing w:val="-2"/>
          <w:sz w:val="17"/>
          <w:szCs w:val="17"/>
        </w:rPr>
        <w:t>. liegt ein körperlicher Eingriff vor</w:t>
      </w:r>
      <w:r w:rsidR="008E2C38" w:rsidRPr="00783C39">
        <w:rPr>
          <w:rFonts w:ascii="Times New Roman" w:hAnsi="Times New Roman"/>
          <w:spacing w:val="-2"/>
          <w:sz w:val="17"/>
          <w:szCs w:val="17"/>
        </w:rPr>
        <w:t xml:space="preserve">. </w:t>
      </w:r>
      <w:r w:rsidR="0017068D" w:rsidRPr="00783C39">
        <w:rPr>
          <w:rFonts w:ascii="Times New Roman" w:hAnsi="Times New Roman"/>
          <w:spacing w:val="-2"/>
          <w:sz w:val="17"/>
          <w:szCs w:val="17"/>
        </w:rPr>
        <w:t xml:space="preserve">Hauptanwendungsfälle </w:t>
      </w:r>
      <w:r w:rsidR="00B54565" w:rsidRPr="00783C39">
        <w:rPr>
          <w:rFonts w:ascii="Times New Roman" w:hAnsi="Times New Roman"/>
          <w:spacing w:val="-2"/>
          <w:sz w:val="17"/>
          <w:szCs w:val="17"/>
        </w:rPr>
        <w:t xml:space="preserve">von § 81a StPO </w:t>
      </w:r>
      <w:r w:rsidR="0017068D" w:rsidRPr="00783C39">
        <w:rPr>
          <w:rFonts w:ascii="Times New Roman" w:hAnsi="Times New Roman"/>
          <w:spacing w:val="-2"/>
          <w:sz w:val="17"/>
          <w:szCs w:val="17"/>
        </w:rPr>
        <w:t>sind die Entnahme von Blutproben oder die Suche nach verschluckten Gegenständen. Besonders umstritten ist hierbei die Zulässigkeit der Verabreichung von Brechmitteln. Dabei ist von § 81a StPO nicht nur die Blutentnahme als solche gedeckt, sondern auch das zwangsweise Verbringen des Beschuldigten zum nächsten geeigneten und erreichbaren Arzt oder Krankenhaus.</w:t>
      </w:r>
    </w:p>
    <w:p w14:paraId="2FBE0DCB" w14:textId="77777777" w:rsidR="003439A9" w:rsidRPr="00783C39" w:rsidRDefault="003439A9" w:rsidP="00783C39">
      <w:pPr>
        <w:widowControl/>
        <w:tabs>
          <w:tab w:val="left" w:pos="-720"/>
          <w:tab w:val="left" w:pos="284"/>
          <w:tab w:val="left" w:pos="576"/>
          <w:tab w:val="left" w:pos="864"/>
          <w:tab w:val="left" w:pos="1116"/>
          <w:tab w:val="left" w:pos="1404"/>
          <w:tab w:val="left" w:pos="1692"/>
          <w:tab w:val="left" w:pos="1980"/>
          <w:tab w:val="left" w:pos="2268"/>
          <w:tab w:val="left" w:pos="2880"/>
        </w:tabs>
        <w:ind w:left="284" w:hanging="284"/>
        <w:jc w:val="both"/>
        <w:rPr>
          <w:rFonts w:ascii="Times New Roman" w:hAnsi="Times New Roman"/>
          <w:spacing w:val="-2"/>
          <w:sz w:val="17"/>
          <w:szCs w:val="17"/>
        </w:rPr>
      </w:pPr>
    </w:p>
    <w:p w14:paraId="2924016F" w14:textId="77777777" w:rsidR="003439A9" w:rsidRPr="00783C39" w:rsidRDefault="003439A9" w:rsidP="00783C39">
      <w:pPr>
        <w:tabs>
          <w:tab w:val="left" w:pos="284"/>
          <w:tab w:val="left" w:pos="1330"/>
          <w:tab w:val="left" w:pos="2212"/>
          <w:tab w:val="left" w:pos="3080"/>
        </w:tabs>
        <w:ind w:left="284" w:hanging="284"/>
        <w:jc w:val="both"/>
        <w:rPr>
          <w:rFonts w:ascii="Times New Roman" w:hAnsi="Times New Roman"/>
          <w:sz w:val="17"/>
          <w:szCs w:val="17"/>
        </w:rPr>
      </w:pPr>
      <w:r w:rsidRPr="00783C39">
        <w:rPr>
          <w:rFonts w:ascii="Times New Roman" w:hAnsi="Times New Roman"/>
          <w:b/>
          <w:sz w:val="17"/>
          <w:szCs w:val="17"/>
        </w:rPr>
        <w:t xml:space="preserve">II. </w:t>
      </w:r>
      <w:r w:rsidRPr="00783C39">
        <w:rPr>
          <w:rFonts w:ascii="Times New Roman" w:hAnsi="Times New Roman"/>
          <w:b/>
          <w:sz w:val="17"/>
          <w:szCs w:val="17"/>
        </w:rPr>
        <w:tab/>
        <w:t xml:space="preserve">Die </w:t>
      </w:r>
      <w:r w:rsidR="0017068D" w:rsidRPr="00783C39">
        <w:rPr>
          <w:rFonts w:ascii="Times New Roman" w:hAnsi="Times New Roman"/>
          <w:b/>
          <w:sz w:val="17"/>
          <w:szCs w:val="17"/>
        </w:rPr>
        <w:t xml:space="preserve">Voraussetzungen des </w:t>
      </w:r>
      <w:r w:rsidRPr="00783C39">
        <w:rPr>
          <w:rFonts w:ascii="Times New Roman" w:hAnsi="Times New Roman"/>
          <w:b/>
          <w:sz w:val="17"/>
          <w:szCs w:val="17"/>
        </w:rPr>
        <w:t>§ 81</w:t>
      </w:r>
      <w:r w:rsidR="0017068D" w:rsidRPr="00783C39">
        <w:rPr>
          <w:rFonts w:ascii="Times New Roman" w:hAnsi="Times New Roman"/>
          <w:b/>
          <w:sz w:val="17"/>
          <w:szCs w:val="17"/>
        </w:rPr>
        <w:t>a</w:t>
      </w:r>
      <w:r w:rsidRPr="00783C39">
        <w:rPr>
          <w:rFonts w:ascii="Times New Roman" w:hAnsi="Times New Roman"/>
          <w:b/>
          <w:sz w:val="17"/>
          <w:szCs w:val="17"/>
        </w:rPr>
        <w:t> StPO</w:t>
      </w:r>
    </w:p>
    <w:p w14:paraId="6557CD3F" w14:textId="77777777" w:rsidR="003439A9" w:rsidRPr="00783C39" w:rsidRDefault="003439A9" w:rsidP="00783C39">
      <w:pPr>
        <w:widowControl/>
        <w:ind w:left="568" w:hanging="284"/>
        <w:jc w:val="both"/>
        <w:rPr>
          <w:rFonts w:ascii="Times New Roman" w:hAnsi="Times New Roman"/>
          <w:sz w:val="17"/>
          <w:szCs w:val="17"/>
        </w:rPr>
      </w:pPr>
      <w:r w:rsidRPr="00783C39">
        <w:rPr>
          <w:rFonts w:ascii="Times New Roman" w:hAnsi="Times New Roman"/>
          <w:sz w:val="17"/>
          <w:szCs w:val="17"/>
          <w:u w:val="single"/>
        </w:rPr>
        <w:t>1.</w:t>
      </w:r>
      <w:r w:rsidR="00680140" w:rsidRPr="00783C39">
        <w:rPr>
          <w:rFonts w:ascii="Times New Roman" w:hAnsi="Times New Roman"/>
          <w:spacing w:val="-2"/>
          <w:sz w:val="17"/>
          <w:szCs w:val="17"/>
          <w:u w:val="single"/>
        </w:rPr>
        <w:tab/>
      </w:r>
      <w:r w:rsidR="0017068D" w:rsidRPr="00783C39">
        <w:rPr>
          <w:rFonts w:ascii="Times New Roman" w:hAnsi="Times New Roman"/>
          <w:spacing w:val="-2"/>
          <w:sz w:val="17"/>
          <w:szCs w:val="17"/>
          <w:u w:val="single"/>
        </w:rPr>
        <w:t>Anordnungsbefugnis</w:t>
      </w:r>
      <w:r w:rsidR="0017068D" w:rsidRPr="00783C39">
        <w:rPr>
          <w:rFonts w:ascii="Times New Roman" w:hAnsi="Times New Roman"/>
          <w:spacing w:val="-2"/>
          <w:sz w:val="17"/>
          <w:szCs w:val="17"/>
        </w:rPr>
        <w:t>:</w:t>
      </w:r>
      <w:r w:rsidR="00BD029C" w:rsidRPr="00783C39">
        <w:rPr>
          <w:rFonts w:ascii="Times New Roman" w:hAnsi="Times New Roman"/>
          <w:spacing w:val="-2"/>
          <w:sz w:val="17"/>
          <w:szCs w:val="17"/>
        </w:rPr>
        <w:t xml:space="preserve"> </w:t>
      </w:r>
      <w:r w:rsidR="0017068D" w:rsidRPr="00783C39">
        <w:rPr>
          <w:rFonts w:ascii="Times New Roman" w:hAnsi="Times New Roman"/>
          <w:spacing w:val="-2"/>
          <w:sz w:val="17"/>
          <w:szCs w:val="17"/>
        </w:rPr>
        <w:t xml:space="preserve">Das Gericht, bei Gefahr im Verzug auch die </w:t>
      </w:r>
      <w:proofErr w:type="spellStart"/>
      <w:r w:rsidR="0017068D" w:rsidRPr="00783C39">
        <w:rPr>
          <w:rFonts w:ascii="Times New Roman" w:hAnsi="Times New Roman"/>
          <w:spacing w:val="-2"/>
          <w:sz w:val="17"/>
          <w:szCs w:val="17"/>
        </w:rPr>
        <w:t>StA</w:t>
      </w:r>
      <w:proofErr w:type="spellEnd"/>
      <w:r w:rsidR="0017068D" w:rsidRPr="00783C39">
        <w:rPr>
          <w:rFonts w:ascii="Times New Roman" w:hAnsi="Times New Roman"/>
          <w:spacing w:val="-2"/>
          <w:sz w:val="17"/>
          <w:szCs w:val="17"/>
        </w:rPr>
        <w:t xml:space="preserve"> und ihre Ermittlungspersonen (§ 81a II 1</w:t>
      </w:r>
      <w:r w:rsidR="00BD029C" w:rsidRPr="00783C39">
        <w:rPr>
          <w:rFonts w:ascii="Times New Roman" w:hAnsi="Times New Roman"/>
          <w:spacing w:val="-2"/>
          <w:sz w:val="17"/>
          <w:szCs w:val="17"/>
        </w:rPr>
        <w:t> </w:t>
      </w:r>
      <w:r w:rsidR="0017068D" w:rsidRPr="00783C39">
        <w:rPr>
          <w:rFonts w:ascii="Times New Roman" w:hAnsi="Times New Roman"/>
          <w:spacing w:val="-2"/>
          <w:sz w:val="17"/>
          <w:szCs w:val="17"/>
        </w:rPr>
        <w:t>StPO). Die Entnahme einer Blutprobe bedarf abweichend von § 81a II 1 StPO jedoch keiner richterlichen Anordnung, wenn bestimmte Tatsachen den Verdacht begründen, dass eine Straftat nach § 315a I Nr. 1, II, III StGB, § 315c I Nr. 1a, II, III StGB oder § 316 StGB begangen worden ist (§ 81a II 2 StPO).</w:t>
      </w:r>
    </w:p>
    <w:p w14:paraId="7469E67D" w14:textId="4034ED4D" w:rsidR="00375065" w:rsidRPr="00783C39" w:rsidRDefault="003439A9" w:rsidP="00783C39">
      <w:pPr>
        <w:widowControl/>
        <w:tabs>
          <w:tab w:val="left" w:pos="-720"/>
          <w:tab w:val="left" w:pos="567"/>
          <w:tab w:val="left" w:pos="864"/>
          <w:tab w:val="left" w:pos="1116"/>
          <w:tab w:val="left" w:pos="1404"/>
          <w:tab w:val="left" w:pos="1692"/>
          <w:tab w:val="left" w:pos="1980"/>
          <w:tab w:val="left" w:pos="2268"/>
          <w:tab w:val="left" w:pos="2880"/>
        </w:tabs>
        <w:ind w:left="568" w:hanging="284"/>
        <w:jc w:val="both"/>
        <w:rPr>
          <w:rFonts w:ascii="Times New Roman" w:hAnsi="Times New Roman"/>
          <w:spacing w:val="-2"/>
          <w:sz w:val="17"/>
          <w:szCs w:val="17"/>
          <w:u w:val="single"/>
        </w:rPr>
      </w:pPr>
      <w:r w:rsidRPr="00783C39">
        <w:rPr>
          <w:rFonts w:ascii="Times New Roman" w:hAnsi="Times New Roman"/>
          <w:spacing w:val="-2"/>
          <w:sz w:val="17"/>
          <w:szCs w:val="17"/>
          <w:u w:val="single"/>
        </w:rPr>
        <w:t>2.</w:t>
      </w:r>
      <w:r w:rsidRPr="00783C39">
        <w:rPr>
          <w:rFonts w:ascii="Times New Roman" w:hAnsi="Times New Roman"/>
          <w:spacing w:val="-2"/>
          <w:sz w:val="17"/>
          <w:szCs w:val="17"/>
          <w:u w:val="single"/>
        </w:rPr>
        <w:tab/>
        <w:t>Beschuldigter</w:t>
      </w:r>
      <w:r w:rsidR="000F44E7" w:rsidRPr="00783C39">
        <w:rPr>
          <w:rFonts w:ascii="Times New Roman" w:hAnsi="Times New Roman"/>
          <w:spacing w:val="-2"/>
          <w:sz w:val="17"/>
          <w:szCs w:val="17"/>
          <w:u w:val="single"/>
        </w:rPr>
        <w:t>:</w:t>
      </w:r>
      <w:r w:rsidR="000F44E7" w:rsidRPr="00783C39">
        <w:rPr>
          <w:rFonts w:ascii="Times New Roman" w:hAnsi="Times New Roman"/>
          <w:spacing w:val="-2"/>
          <w:sz w:val="17"/>
          <w:szCs w:val="17"/>
        </w:rPr>
        <w:t xml:space="preserve"> </w:t>
      </w:r>
      <w:r w:rsidR="002721FF" w:rsidRPr="00783C39">
        <w:rPr>
          <w:rFonts w:ascii="Times New Roman" w:hAnsi="Times New Roman"/>
          <w:spacing w:val="-2"/>
          <w:sz w:val="17"/>
          <w:szCs w:val="17"/>
        </w:rPr>
        <w:t xml:space="preserve">(vgl. dazu Arbeitsblatt </w:t>
      </w:r>
      <w:r w:rsidR="00485A33" w:rsidRPr="00783C39">
        <w:rPr>
          <w:rFonts w:ascii="Times New Roman" w:hAnsi="Times New Roman"/>
          <w:spacing w:val="-2"/>
          <w:sz w:val="17"/>
          <w:szCs w:val="17"/>
        </w:rPr>
        <w:t>Nr.</w:t>
      </w:r>
      <w:r w:rsidR="000F44E7" w:rsidRPr="00783C39">
        <w:rPr>
          <w:rFonts w:ascii="Times New Roman" w:hAnsi="Times New Roman"/>
          <w:spacing w:val="-2"/>
          <w:sz w:val="17"/>
          <w:szCs w:val="17"/>
        </w:rPr>
        <w:t> </w:t>
      </w:r>
      <w:r w:rsidR="00485A33" w:rsidRPr="00783C39">
        <w:rPr>
          <w:rFonts w:ascii="Times New Roman" w:hAnsi="Times New Roman"/>
          <w:spacing w:val="-2"/>
          <w:sz w:val="17"/>
          <w:szCs w:val="17"/>
        </w:rPr>
        <w:t>9)</w:t>
      </w:r>
    </w:p>
    <w:p w14:paraId="1DBC4C3D" w14:textId="49807817" w:rsidR="00CF0329" w:rsidRPr="00783C39" w:rsidRDefault="00375065" w:rsidP="00783C39">
      <w:pPr>
        <w:widowControl/>
        <w:tabs>
          <w:tab w:val="left" w:pos="-720"/>
          <w:tab w:val="left" w:pos="567"/>
          <w:tab w:val="left" w:pos="864"/>
          <w:tab w:val="left" w:pos="1116"/>
          <w:tab w:val="left" w:pos="1404"/>
          <w:tab w:val="left" w:pos="1692"/>
          <w:tab w:val="left" w:pos="1980"/>
          <w:tab w:val="left" w:pos="2268"/>
          <w:tab w:val="left" w:pos="2880"/>
        </w:tabs>
        <w:ind w:left="568" w:hanging="284"/>
        <w:jc w:val="both"/>
        <w:rPr>
          <w:rFonts w:ascii="Times New Roman" w:hAnsi="Times New Roman"/>
          <w:spacing w:val="-2"/>
          <w:sz w:val="17"/>
          <w:szCs w:val="17"/>
          <w:u w:val="single"/>
        </w:rPr>
      </w:pPr>
      <w:r w:rsidRPr="00783C39">
        <w:rPr>
          <w:rFonts w:ascii="Times New Roman" w:hAnsi="Times New Roman"/>
          <w:spacing w:val="-2"/>
          <w:sz w:val="17"/>
          <w:szCs w:val="17"/>
          <w:u w:val="single"/>
        </w:rPr>
        <w:t>3.</w:t>
      </w:r>
      <w:r w:rsidR="00890423" w:rsidRPr="00783C39">
        <w:rPr>
          <w:rFonts w:ascii="Times New Roman" w:hAnsi="Times New Roman"/>
          <w:spacing w:val="-2"/>
          <w:sz w:val="17"/>
          <w:szCs w:val="17"/>
          <w:u w:val="single"/>
        </w:rPr>
        <w:tab/>
      </w:r>
      <w:r w:rsidR="003E3B7D" w:rsidRPr="00783C39">
        <w:rPr>
          <w:rFonts w:ascii="Times New Roman" w:hAnsi="Times New Roman"/>
          <w:spacing w:val="-2"/>
          <w:sz w:val="17"/>
          <w:szCs w:val="17"/>
          <w:u w:val="single"/>
        </w:rPr>
        <w:t>Anfangs</w:t>
      </w:r>
      <w:r w:rsidR="003439A9" w:rsidRPr="00783C39">
        <w:rPr>
          <w:rFonts w:ascii="Times New Roman" w:hAnsi="Times New Roman"/>
          <w:spacing w:val="-2"/>
          <w:sz w:val="17"/>
          <w:szCs w:val="17"/>
          <w:u w:val="single"/>
        </w:rPr>
        <w:t>verdacht</w:t>
      </w:r>
    </w:p>
    <w:p w14:paraId="5BC57954" w14:textId="77777777" w:rsidR="00375065" w:rsidRPr="00783C39" w:rsidRDefault="00375065" w:rsidP="00783C39">
      <w:pPr>
        <w:widowControl/>
        <w:tabs>
          <w:tab w:val="left" w:pos="-720"/>
          <w:tab w:val="left" w:pos="567"/>
          <w:tab w:val="left" w:pos="864"/>
          <w:tab w:val="left" w:pos="1116"/>
          <w:tab w:val="left" w:pos="1404"/>
          <w:tab w:val="left" w:pos="1692"/>
          <w:tab w:val="left" w:pos="1980"/>
          <w:tab w:val="left" w:pos="2268"/>
          <w:tab w:val="left" w:pos="2880"/>
        </w:tabs>
        <w:ind w:left="568" w:hanging="284"/>
        <w:jc w:val="both"/>
        <w:rPr>
          <w:rFonts w:ascii="Times New Roman" w:hAnsi="Times New Roman"/>
          <w:spacing w:val="-2"/>
          <w:sz w:val="17"/>
          <w:szCs w:val="17"/>
        </w:rPr>
      </w:pPr>
      <w:r w:rsidRPr="00783C39">
        <w:rPr>
          <w:rFonts w:ascii="Times New Roman" w:hAnsi="Times New Roman"/>
          <w:spacing w:val="-2"/>
          <w:sz w:val="17"/>
          <w:szCs w:val="17"/>
          <w:u w:val="single"/>
        </w:rPr>
        <w:t>4.</w:t>
      </w:r>
      <w:r w:rsidR="00890423" w:rsidRPr="00783C39">
        <w:rPr>
          <w:rFonts w:ascii="Times New Roman" w:hAnsi="Times New Roman"/>
          <w:spacing w:val="-2"/>
          <w:sz w:val="17"/>
          <w:szCs w:val="17"/>
          <w:u w:val="single"/>
        </w:rPr>
        <w:tab/>
      </w:r>
      <w:r w:rsidR="003439A9" w:rsidRPr="00783C39">
        <w:rPr>
          <w:rFonts w:ascii="Times New Roman" w:hAnsi="Times New Roman"/>
          <w:spacing w:val="-2"/>
          <w:sz w:val="17"/>
          <w:szCs w:val="17"/>
          <w:u w:val="single"/>
        </w:rPr>
        <w:t>Zweck:</w:t>
      </w:r>
      <w:r w:rsidR="003439A9" w:rsidRPr="00783C39">
        <w:rPr>
          <w:rFonts w:ascii="Times New Roman" w:hAnsi="Times New Roman"/>
          <w:spacing w:val="-2"/>
          <w:sz w:val="17"/>
          <w:szCs w:val="17"/>
        </w:rPr>
        <w:t xml:space="preserve"> körperliche Untersuchung zulässig zur „Feststellung von Tatsachen, die für das Verfahren von Bedeutung sind“, § 81a I 1 StPO</w:t>
      </w:r>
    </w:p>
    <w:p w14:paraId="41CC7C0F" w14:textId="77777777" w:rsidR="00375065" w:rsidRPr="00783C39" w:rsidRDefault="00375065" w:rsidP="00783C39">
      <w:pPr>
        <w:widowControl/>
        <w:tabs>
          <w:tab w:val="left" w:pos="-720"/>
          <w:tab w:val="left" w:pos="567"/>
          <w:tab w:val="left" w:pos="864"/>
          <w:tab w:val="left" w:pos="1116"/>
          <w:tab w:val="left" w:pos="1404"/>
          <w:tab w:val="left" w:pos="1692"/>
          <w:tab w:val="left" w:pos="1980"/>
          <w:tab w:val="left" w:pos="2268"/>
          <w:tab w:val="left" w:pos="2880"/>
        </w:tabs>
        <w:ind w:left="568" w:hanging="284"/>
        <w:jc w:val="both"/>
        <w:rPr>
          <w:rFonts w:ascii="Times New Roman" w:hAnsi="Times New Roman"/>
          <w:spacing w:val="-2"/>
          <w:sz w:val="17"/>
          <w:szCs w:val="17"/>
          <w:u w:val="single"/>
        </w:rPr>
      </w:pPr>
      <w:r w:rsidRPr="00783C39">
        <w:rPr>
          <w:rFonts w:ascii="Times New Roman" w:hAnsi="Times New Roman"/>
          <w:spacing w:val="-2"/>
          <w:sz w:val="17"/>
          <w:szCs w:val="17"/>
          <w:u w:val="single"/>
        </w:rPr>
        <w:t>5.</w:t>
      </w:r>
      <w:r w:rsidR="00890423" w:rsidRPr="00783C39">
        <w:rPr>
          <w:rFonts w:ascii="Times New Roman" w:hAnsi="Times New Roman"/>
          <w:spacing w:val="-2"/>
          <w:sz w:val="17"/>
          <w:szCs w:val="17"/>
          <w:u w:val="single"/>
        </w:rPr>
        <w:tab/>
      </w:r>
      <w:r w:rsidR="003439A9" w:rsidRPr="00783C39">
        <w:rPr>
          <w:rFonts w:ascii="Times New Roman" w:hAnsi="Times New Roman"/>
          <w:spacing w:val="-2"/>
          <w:sz w:val="17"/>
          <w:szCs w:val="17"/>
          <w:u w:val="single"/>
        </w:rPr>
        <w:t>kein Nachteil für die Gesundheit zu befürchten</w:t>
      </w:r>
    </w:p>
    <w:p w14:paraId="5CC01E8B" w14:textId="77777777" w:rsidR="00631F20" w:rsidRPr="00783C39" w:rsidRDefault="00375065" w:rsidP="00783C39">
      <w:pPr>
        <w:widowControl/>
        <w:tabs>
          <w:tab w:val="left" w:pos="-720"/>
          <w:tab w:val="left" w:pos="567"/>
          <w:tab w:val="left" w:pos="864"/>
          <w:tab w:val="left" w:pos="1116"/>
          <w:tab w:val="left" w:pos="1404"/>
          <w:tab w:val="left" w:pos="1692"/>
          <w:tab w:val="left" w:pos="1980"/>
          <w:tab w:val="left" w:pos="2268"/>
          <w:tab w:val="left" w:pos="2880"/>
        </w:tabs>
        <w:ind w:left="568" w:hanging="284"/>
        <w:jc w:val="both"/>
        <w:rPr>
          <w:rFonts w:ascii="Times New Roman" w:hAnsi="Times New Roman"/>
          <w:spacing w:val="-2"/>
          <w:sz w:val="17"/>
          <w:szCs w:val="17"/>
        </w:rPr>
      </w:pPr>
      <w:r w:rsidRPr="00783C39">
        <w:rPr>
          <w:rFonts w:ascii="Times New Roman" w:hAnsi="Times New Roman"/>
          <w:spacing w:val="-2"/>
          <w:sz w:val="17"/>
          <w:szCs w:val="17"/>
          <w:u w:val="single"/>
        </w:rPr>
        <w:t>6.</w:t>
      </w:r>
      <w:r w:rsidR="00890423" w:rsidRPr="00783C39">
        <w:rPr>
          <w:rFonts w:ascii="Times New Roman" w:hAnsi="Times New Roman"/>
          <w:spacing w:val="-2"/>
          <w:sz w:val="17"/>
          <w:szCs w:val="17"/>
          <w:u w:val="single"/>
        </w:rPr>
        <w:tab/>
      </w:r>
      <w:r w:rsidR="00F825E5" w:rsidRPr="00783C39">
        <w:rPr>
          <w:rFonts w:ascii="Times New Roman" w:hAnsi="Times New Roman"/>
          <w:spacing w:val="-2"/>
          <w:sz w:val="17"/>
          <w:szCs w:val="17"/>
          <w:u w:val="single"/>
        </w:rPr>
        <w:t>Durch</w:t>
      </w:r>
      <w:r w:rsidR="00AC306F" w:rsidRPr="00783C39">
        <w:rPr>
          <w:rFonts w:ascii="Times New Roman" w:hAnsi="Times New Roman"/>
          <w:spacing w:val="-2"/>
          <w:sz w:val="17"/>
          <w:szCs w:val="17"/>
          <w:u w:val="single"/>
        </w:rPr>
        <w:t xml:space="preserve">führung </w:t>
      </w:r>
      <w:r w:rsidR="00F825E5" w:rsidRPr="00783C39">
        <w:rPr>
          <w:rFonts w:ascii="Times New Roman" w:hAnsi="Times New Roman"/>
          <w:spacing w:val="-2"/>
          <w:sz w:val="17"/>
          <w:szCs w:val="17"/>
          <w:u w:val="single"/>
        </w:rPr>
        <w:t>durch Arzt:</w:t>
      </w:r>
      <w:r w:rsidR="00F825E5" w:rsidRPr="00783C39">
        <w:rPr>
          <w:rFonts w:ascii="Times New Roman" w:hAnsi="Times New Roman"/>
          <w:spacing w:val="-2"/>
          <w:sz w:val="17"/>
          <w:szCs w:val="17"/>
        </w:rPr>
        <w:t xml:space="preserve"> </w:t>
      </w:r>
      <w:r w:rsidR="003439A9" w:rsidRPr="00783C39">
        <w:rPr>
          <w:rFonts w:ascii="Times New Roman" w:hAnsi="Times New Roman"/>
          <w:spacing w:val="-2"/>
          <w:sz w:val="17"/>
          <w:szCs w:val="17"/>
        </w:rPr>
        <w:t>Blutproben und andere körperliche Eingriffe dürfen nur vom Arzt durchgeführt werden (vgl. ferner § 81d StPO) – Eingriffe durch andere Personen sind unzulässig, es sei denn der Beschuldigte willigt nach Belehrung ein</w:t>
      </w:r>
    </w:p>
    <w:p w14:paraId="5160A531" w14:textId="77777777" w:rsidR="003439A9" w:rsidRPr="00783C39" w:rsidRDefault="00631F20" w:rsidP="00783C39">
      <w:pPr>
        <w:widowControl/>
        <w:tabs>
          <w:tab w:val="left" w:pos="-720"/>
          <w:tab w:val="left" w:pos="567"/>
          <w:tab w:val="left" w:pos="864"/>
          <w:tab w:val="left" w:pos="1116"/>
          <w:tab w:val="left" w:pos="1404"/>
          <w:tab w:val="left" w:pos="1692"/>
          <w:tab w:val="left" w:pos="1980"/>
          <w:tab w:val="left" w:pos="2268"/>
          <w:tab w:val="left" w:pos="2880"/>
        </w:tabs>
        <w:ind w:left="568" w:hanging="284"/>
        <w:jc w:val="both"/>
        <w:rPr>
          <w:rFonts w:ascii="Times New Roman" w:hAnsi="Times New Roman"/>
          <w:spacing w:val="-2"/>
          <w:sz w:val="17"/>
          <w:szCs w:val="17"/>
          <w:u w:val="single"/>
        </w:rPr>
      </w:pPr>
      <w:r w:rsidRPr="00783C39">
        <w:rPr>
          <w:rFonts w:ascii="Times New Roman" w:hAnsi="Times New Roman"/>
          <w:spacing w:val="-2"/>
          <w:sz w:val="17"/>
          <w:szCs w:val="17"/>
          <w:u w:val="single"/>
        </w:rPr>
        <w:t>7.</w:t>
      </w:r>
      <w:r w:rsidR="00890423" w:rsidRPr="00783C39">
        <w:rPr>
          <w:rFonts w:ascii="Times New Roman" w:hAnsi="Times New Roman"/>
          <w:spacing w:val="-2"/>
          <w:sz w:val="17"/>
          <w:szCs w:val="17"/>
          <w:u w:val="single"/>
        </w:rPr>
        <w:tab/>
      </w:r>
      <w:r w:rsidR="003439A9" w:rsidRPr="00783C39">
        <w:rPr>
          <w:rFonts w:ascii="Times New Roman" w:hAnsi="Times New Roman"/>
          <w:spacing w:val="-2"/>
          <w:sz w:val="17"/>
          <w:szCs w:val="17"/>
          <w:u w:val="single"/>
        </w:rPr>
        <w:t>Verhältnismäßigkeit</w:t>
      </w:r>
    </w:p>
    <w:p w14:paraId="03AE3BD2" w14:textId="77777777" w:rsidR="00BD029C" w:rsidRPr="00783C39" w:rsidRDefault="00BD029C" w:rsidP="00783C39">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7"/>
          <w:szCs w:val="17"/>
        </w:rPr>
      </w:pPr>
    </w:p>
    <w:p w14:paraId="4E3993CC" w14:textId="09A7A651" w:rsidR="00BD029C" w:rsidRPr="00783C39" w:rsidRDefault="00375065" w:rsidP="00783C39">
      <w:pPr>
        <w:widowControl/>
        <w:ind w:left="284" w:hanging="284"/>
        <w:jc w:val="both"/>
        <w:rPr>
          <w:rFonts w:ascii="Times New Roman" w:hAnsi="Times New Roman"/>
          <w:spacing w:val="-2"/>
          <w:sz w:val="17"/>
          <w:szCs w:val="17"/>
        </w:rPr>
      </w:pPr>
      <w:r w:rsidRPr="00783C39">
        <w:rPr>
          <w:rFonts w:ascii="Times New Roman" w:hAnsi="Times New Roman"/>
          <w:b/>
          <w:spacing w:val="-2"/>
          <w:sz w:val="17"/>
          <w:szCs w:val="17"/>
          <w:u w:val="single"/>
        </w:rPr>
        <w:t>III</w:t>
      </w:r>
      <w:r w:rsidR="0017068D" w:rsidRPr="00783C39">
        <w:rPr>
          <w:rFonts w:ascii="Times New Roman" w:hAnsi="Times New Roman"/>
          <w:b/>
          <w:spacing w:val="-2"/>
          <w:sz w:val="17"/>
          <w:szCs w:val="17"/>
          <w:u w:val="single"/>
        </w:rPr>
        <w:t>.</w:t>
      </w:r>
      <w:r w:rsidR="007E1DF9" w:rsidRPr="00783C39">
        <w:rPr>
          <w:rFonts w:ascii="Times New Roman" w:hAnsi="Times New Roman"/>
          <w:b/>
          <w:spacing w:val="-2"/>
          <w:sz w:val="17"/>
          <w:szCs w:val="17"/>
          <w:u w:val="single"/>
        </w:rPr>
        <w:tab/>
      </w:r>
      <w:r w:rsidR="003439A9" w:rsidRPr="00783C39">
        <w:rPr>
          <w:rFonts w:ascii="Times New Roman" w:hAnsi="Times New Roman"/>
          <w:b/>
          <w:spacing w:val="-2"/>
          <w:sz w:val="17"/>
          <w:szCs w:val="17"/>
          <w:u w:val="single"/>
        </w:rPr>
        <w:t>Zulässige Maßnahmen:</w:t>
      </w:r>
      <w:r w:rsidR="003439A9" w:rsidRPr="00783C39">
        <w:rPr>
          <w:rFonts w:ascii="Times New Roman" w:hAnsi="Times New Roman"/>
          <w:spacing w:val="-2"/>
          <w:sz w:val="17"/>
          <w:szCs w:val="17"/>
        </w:rPr>
        <w:t xml:space="preserve"> </w:t>
      </w:r>
      <w:r w:rsidR="00A67318" w:rsidRPr="00783C39">
        <w:rPr>
          <w:rFonts w:ascii="Times New Roman" w:hAnsi="Times New Roman"/>
          <w:spacing w:val="-2"/>
          <w:sz w:val="17"/>
          <w:szCs w:val="17"/>
        </w:rPr>
        <w:t>Zulässig sind z.B. Blutentnahme, Computer-Tomographie, Magenaushebung, Röntgenaufnahmen</w:t>
      </w:r>
      <w:r w:rsidR="00890423" w:rsidRPr="00783C39">
        <w:rPr>
          <w:rFonts w:ascii="Times New Roman" w:hAnsi="Times New Roman"/>
          <w:spacing w:val="-2"/>
          <w:sz w:val="17"/>
          <w:szCs w:val="17"/>
        </w:rPr>
        <w:t>.</w:t>
      </w:r>
      <w:r w:rsidR="00A67318" w:rsidRPr="00783C39">
        <w:rPr>
          <w:rFonts w:ascii="Times New Roman" w:hAnsi="Times New Roman"/>
          <w:spacing w:val="-2"/>
          <w:sz w:val="17"/>
          <w:szCs w:val="17"/>
        </w:rPr>
        <w:t xml:space="preserve"> </w:t>
      </w:r>
      <w:r w:rsidR="00890423" w:rsidRPr="00783C39">
        <w:rPr>
          <w:rFonts w:ascii="Times New Roman" w:hAnsi="Times New Roman"/>
          <w:spacing w:val="-2"/>
          <w:sz w:val="17"/>
          <w:szCs w:val="17"/>
        </w:rPr>
        <w:t>N</w:t>
      </w:r>
      <w:r w:rsidR="00A67318" w:rsidRPr="00783C39">
        <w:rPr>
          <w:rFonts w:ascii="Times New Roman" w:hAnsi="Times New Roman"/>
          <w:spacing w:val="-2"/>
          <w:sz w:val="17"/>
          <w:szCs w:val="17"/>
        </w:rPr>
        <w:t xml:space="preserve">ach </w:t>
      </w:r>
      <w:proofErr w:type="spellStart"/>
      <w:r w:rsidR="00A67318" w:rsidRPr="00783C39">
        <w:rPr>
          <w:rFonts w:ascii="Times New Roman" w:hAnsi="Times New Roman"/>
          <w:spacing w:val="-2"/>
          <w:sz w:val="17"/>
          <w:szCs w:val="17"/>
        </w:rPr>
        <w:t>h.M</w:t>
      </w:r>
      <w:proofErr w:type="spellEnd"/>
      <w:r w:rsidR="00A67318" w:rsidRPr="00783C39">
        <w:rPr>
          <w:rFonts w:ascii="Times New Roman" w:hAnsi="Times New Roman"/>
          <w:spacing w:val="-2"/>
          <w:sz w:val="17"/>
          <w:szCs w:val="17"/>
        </w:rPr>
        <w:t>. ist auch das Festhalten und Festbinden sowie das zwangsweise Verbringen zur körperlichen Untersuchung als Annexkompetenz umfasst, da die Anordnung der Untersuchung sonst zwecklos wäre</w:t>
      </w:r>
      <w:r w:rsidR="003439A9" w:rsidRPr="00783C39">
        <w:rPr>
          <w:rFonts w:ascii="Times New Roman" w:hAnsi="Times New Roman"/>
          <w:spacing w:val="-2"/>
          <w:sz w:val="17"/>
          <w:szCs w:val="17"/>
        </w:rPr>
        <w:t xml:space="preserve">; </w:t>
      </w:r>
      <w:r w:rsidR="003439A9" w:rsidRPr="00783C39">
        <w:rPr>
          <w:rFonts w:ascii="Times New Roman" w:hAnsi="Times New Roman"/>
          <w:b/>
          <w:spacing w:val="-2"/>
          <w:sz w:val="17"/>
          <w:szCs w:val="17"/>
        </w:rPr>
        <w:t>Probleme</w:t>
      </w:r>
      <w:r w:rsidR="003439A9" w:rsidRPr="00783C39">
        <w:rPr>
          <w:rFonts w:ascii="Times New Roman" w:hAnsi="Times New Roman"/>
          <w:spacing w:val="-2"/>
          <w:sz w:val="17"/>
          <w:szCs w:val="17"/>
        </w:rPr>
        <w:t xml:space="preserve"> bestehen z.B. bei:</w:t>
      </w:r>
    </w:p>
    <w:p w14:paraId="11E7CEE8" w14:textId="14002473" w:rsidR="003439A9" w:rsidRPr="00783C39" w:rsidRDefault="00375065" w:rsidP="00783C39">
      <w:pPr>
        <w:widowControl/>
        <w:tabs>
          <w:tab w:val="left" w:pos="-720"/>
          <w:tab w:val="left" w:pos="284"/>
          <w:tab w:val="left" w:pos="851"/>
          <w:tab w:val="left" w:pos="1116"/>
          <w:tab w:val="left" w:pos="1404"/>
          <w:tab w:val="left" w:pos="1692"/>
          <w:tab w:val="left" w:pos="1980"/>
          <w:tab w:val="left" w:pos="2268"/>
          <w:tab w:val="left" w:pos="2880"/>
        </w:tabs>
        <w:ind w:left="851" w:hanging="284"/>
        <w:jc w:val="both"/>
        <w:rPr>
          <w:spacing w:val="-2"/>
          <w:sz w:val="17"/>
          <w:szCs w:val="17"/>
        </w:rPr>
      </w:pPr>
      <w:r w:rsidRPr="00783C39">
        <w:rPr>
          <w:rFonts w:ascii="Times New Roman" w:hAnsi="Times New Roman"/>
          <w:spacing w:val="-2"/>
          <w:sz w:val="17"/>
          <w:szCs w:val="17"/>
        </w:rPr>
        <w:t>1.</w:t>
      </w:r>
      <w:r w:rsidR="003439A9" w:rsidRPr="00783C39">
        <w:rPr>
          <w:rFonts w:ascii="Times New Roman" w:hAnsi="Times New Roman"/>
          <w:spacing w:val="-2"/>
          <w:sz w:val="17"/>
          <w:szCs w:val="17"/>
        </w:rPr>
        <w:t xml:space="preserve"> </w:t>
      </w:r>
      <w:r w:rsidR="00486C3C" w:rsidRPr="00783C39">
        <w:rPr>
          <w:rFonts w:ascii="Times New Roman" w:hAnsi="Times New Roman"/>
          <w:spacing w:val="-2"/>
          <w:sz w:val="17"/>
          <w:szCs w:val="17"/>
        </w:rPr>
        <w:tab/>
      </w:r>
      <w:r w:rsidR="003439A9" w:rsidRPr="00783C39">
        <w:rPr>
          <w:rFonts w:ascii="Times New Roman" w:hAnsi="Times New Roman"/>
          <w:spacing w:val="-2"/>
          <w:sz w:val="17"/>
          <w:szCs w:val="17"/>
        </w:rPr>
        <w:t xml:space="preserve">der Vergabe von </w:t>
      </w:r>
      <w:r w:rsidR="003439A9" w:rsidRPr="00783C39">
        <w:rPr>
          <w:rFonts w:ascii="Times New Roman" w:hAnsi="Times New Roman"/>
          <w:b/>
          <w:spacing w:val="-2"/>
          <w:sz w:val="17"/>
          <w:szCs w:val="17"/>
        </w:rPr>
        <w:t>Brechmitteln</w:t>
      </w:r>
      <w:r w:rsidR="003439A9" w:rsidRPr="00783C39">
        <w:rPr>
          <w:rFonts w:ascii="Times New Roman" w:hAnsi="Times New Roman"/>
          <w:spacing w:val="-2"/>
          <w:sz w:val="17"/>
          <w:szCs w:val="17"/>
        </w:rPr>
        <w:t xml:space="preserve"> [hier kann z.B. ein Nachteil für die Gesundheit bestehen; i.Ü. wird teilweise ein Verstoß gegen den </w:t>
      </w:r>
      <w:r w:rsidR="00F04CE5">
        <w:rPr>
          <w:rFonts w:ascii="Times New Roman" w:hAnsi="Times New Roman"/>
          <w:b/>
          <w:spacing w:val="-2"/>
          <w:sz w:val="17"/>
          <w:szCs w:val="17"/>
        </w:rPr>
        <w:t>N</w:t>
      </w:r>
      <w:r w:rsidR="003439A9" w:rsidRPr="00783C39">
        <w:rPr>
          <w:rFonts w:ascii="Times New Roman" w:hAnsi="Times New Roman"/>
          <w:b/>
          <w:spacing w:val="-2"/>
          <w:sz w:val="17"/>
          <w:szCs w:val="17"/>
        </w:rPr>
        <w:t>emo-tenetur-Grundsatz</w:t>
      </w:r>
      <w:r w:rsidR="003439A9" w:rsidRPr="00783C39">
        <w:rPr>
          <w:rFonts w:ascii="Times New Roman" w:hAnsi="Times New Roman"/>
          <w:spacing w:val="-2"/>
          <w:sz w:val="17"/>
          <w:szCs w:val="17"/>
        </w:rPr>
        <w:t xml:space="preserve"> durch Zwang zur aktiven Mitwirkung oder ein Verstoß gegen die Menschenwürde oder das Recht auf körperliche Unversehrtheit gesehen (OLG Frankfurt NJW 1997, 1647) – nach </w:t>
      </w:r>
      <w:proofErr w:type="spellStart"/>
      <w:r w:rsidR="003439A9" w:rsidRPr="00783C39">
        <w:rPr>
          <w:rFonts w:ascii="Times New Roman" w:hAnsi="Times New Roman"/>
          <w:spacing w:val="-2"/>
          <w:sz w:val="17"/>
          <w:szCs w:val="17"/>
        </w:rPr>
        <w:t>a.A</w:t>
      </w:r>
      <w:proofErr w:type="spellEnd"/>
      <w:r w:rsidR="003439A9" w:rsidRPr="00783C39">
        <w:rPr>
          <w:rFonts w:ascii="Times New Roman" w:hAnsi="Times New Roman"/>
          <w:spacing w:val="-2"/>
          <w:sz w:val="17"/>
          <w:szCs w:val="17"/>
        </w:rPr>
        <w:t xml:space="preserve">. (KG StV 2002, 122) aber zulässig, da milderes Mittel </w:t>
      </w:r>
      <w:proofErr w:type="spellStart"/>
      <w:r w:rsidR="003439A9" w:rsidRPr="00783C39">
        <w:rPr>
          <w:rFonts w:ascii="Times New Roman" w:hAnsi="Times New Roman"/>
          <w:spacing w:val="-2"/>
          <w:sz w:val="17"/>
          <w:szCs w:val="17"/>
        </w:rPr>
        <w:t>ggü</w:t>
      </w:r>
      <w:proofErr w:type="spellEnd"/>
      <w:r w:rsidR="003439A9" w:rsidRPr="00783C39">
        <w:rPr>
          <w:rFonts w:ascii="Times New Roman" w:hAnsi="Times New Roman"/>
          <w:spacing w:val="-2"/>
          <w:sz w:val="17"/>
          <w:szCs w:val="17"/>
        </w:rPr>
        <w:t>. dem Auspumpen</w:t>
      </w:r>
      <w:r w:rsidR="003439A9" w:rsidRPr="00783C39">
        <w:rPr>
          <w:spacing w:val="-2"/>
          <w:sz w:val="17"/>
          <w:szCs w:val="17"/>
        </w:rPr>
        <w:t xml:space="preserve"> des Magens; sehr </w:t>
      </w:r>
      <w:proofErr w:type="spellStart"/>
      <w:r w:rsidR="003439A9" w:rsidRPr="00783C39">
        <w:rPr>
          <w:spacing w:val="-2"/>
          <w:sz w:val="17"/>
          <w:szCs w:val="17"/>
        </w:rPr>
        <w:t>str.</w:t>
      </w:r>
      <w:proofErr w:type="spellEnd"/>
      <w:r w:rsidR="003439A9" w:rsidRPr="00783C39">
        <w:rPr>
          <w:spacing w:val="-2"/>
          <w:sz w:val="17"/>
          <w:szCs w:val="17"/>
        </w:rPr>
        <w:t xml:space="preserve">]; der </w:t>
      </w:r>
      <w:r w:rsidR="003439A9" w:rsidRPr="00783C39">
        <w:rPr>
          <w:b/>
          <w:spacing w:val="-2"/>
          <w:sz w:val="17"/>
          <w:szCs w:val="17"/>
        </w:rPr>
        <w:t>EGMR</w:t>
      </w:r>
      <w:r w:rsidR="003439A9" w:rsidRPr="00783C39">
        <w:rPr>
          <w:spacing w:val="-2"/>
          <w:sz w:val="17"/>
          <w:szCs w:val="17"/>
        </w:rPr>
        <w:t xml:space="preserve"> (</w:t>
      </w:r>
      <w:r w:rsidR="003439A9" w:rsidRPr="00783C39">
        <w:rPr>
          <w:rFonts w:ascii="Times New Roman" w:hAnsi="Times New Roman"/>
          <w:b/>
          <w:spacing w:val="-2"/>
          <w:sz w:val="17"/>
          <w:szCs w:val="17"/>
        </w:rPr>
        <w:t>NJW 2006, 3117</w:t>
      </w:r>
      <w:r w:rsidR="003439A9" w:rsidRPr="00783C39">
        <w:rPr>
          <w:rFonts w:ascii="Times New Roman" w:hAnsi="Times New Roman"/>
          <w:spacing w:val="-2"/>
          <w:sz w:val="17"/>
          <w:szCs w:val="17"/>
        </w:rPr>
        <w:t>)</w:t>
      </w:r>
      <w:r w:rsidR="003439A9" w:rsidRPr="00783C39">
        <w:rPr>
          <w:rFonts w:ascii="Times New Roman" w:hAnsi="Times New Roman"/>
          <w:b/>
          <w:spacing w:val="-2"/>
          <w:sz w:val="17"/>
          <w:szCs w:val="17"/>
        </w:rPr>
        <w:t xml:space="preserve"> </w:t>
      </w:r>
      <w:r w:rsidR="003439A9" w:rsidRPr="00783C39">
        <w:rPr>
          <w:spacing w:val="-2"/>
          <w:sz w:val="17"/>
          <w:szCs w:val="17"/>
        </w:rPr>
        <w:t xml:space="preserve">nahm in einer Konstellation einen Verstoß gegen </w:t>
      </w:r>
      <w:r w:rsidR="003439A9" w:rsidRPr="00783C39">
        <w:rPr>
          <w:b/>
          <w:spacing w:val="-2"/>
          <w:sz w:val="17"/>
          <w:szCs w:val="17"/>
        </w:rPr>
        <w:t>Art. 3, 6 EMRK</w:t>
      </w:r>
      <w:r w:rsidR="003439A9" w:rsidRPr="00783C39">
        <w:rPr>
          <w:spacing w:val="-2"/>
          <w:sz w:val="17"/>
          <w:szCs w:val="17"/>
        </w:rPr>
        <w:t xml:space="preserve"> an; inzwischen hat auch der </w:t>
      </w:r>
      <w:r w:rsidR="003439A9" w:rsidRPr="00783C39">
        <w:rPr>
          <w:b/>
          <w:spacing w:val="-2"/>
          <w:sz w:val="17"/>
          <w:szCs w:val="17"/>
        </w:rPr>
        <w:t>BGH</w:t>
      </w:r>
      <w:r w:rsidR="003439A9" w:rsidRPr="00783C39">
        <w:rPr>
          <w:spacing w:val="-2"/>
          <w:sz w:val="17"/>
          <w:szCs w:val="17"/>
        </w:rPr>
        <w:t xml:space="preserve"> (</w:t>
      </w:r>
      <w:r w:rsidR="003439A9" w:rsidRPr="00783C39">
        <w:rPr>
          <w:b/>
          <w:spacing w:val="-2"/>
          <w:sz w:val="17"/>
          <w:szCs w:val="17"/>
        </w:rPr>
        <w:t>NJW 2010, 2595</w:t>
      </w:r>
      <w:r w:rsidR="003439A9" w:rsidRPr="00783C39">
        <w:rPr>
          <w:spacing w:val="-2"/>
          <w:sz w:val="17"/>
          <w:szCs w:val="17"/>
        </w:rPr>
        <w:t>) eine Rechtfertigung des Brechmitteleinsatzes nach § 81a StPO abgelehnt;</w:t>
      </w:r>
    </w:p>
    <w:p w14:paraId="04F94CF0" w14:textId="78735731" w:rsidR="003439A9" w:rsidRPr="00783C39" w:rsidRDefault="00375065" w:rsidP="00783C39">
      <w:pPr>
        <w:widowControl/>
        <w:tabs>
          <w:tab w:val="left" w:pos="-720"/>
          <w:tab w:val="left" w:pos="284"/>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7"/>
          <w:szCs w:val="17"/>
        </w:rPr>
      </w:pPr>
      <w:r w:rsidRPr="00783C39">
        <w:rPr>
          <w:spacing w:val="-2"/>
          <w:sz w:val="17"/>
          <w:szCs w:val="17"/>
        </w:rPr>
        <w:t>2.</w:t>
      </w:r>
      <w:r w:rsidR="003439A9" w:rsidRPr="00783C39">
        <w:rPr>
          <w:spacing w:val="-2"/>
          <w:sz w:val="17"/>
          <w:szCs w:val="17"/>
        </w:rPr>
        <w:t xml:space="preserve"> </w:t>
      </w:r>
      <w:r w:rsidR="00486C3C" w:rsidRPr="00783C39">
        <w:rPr>
          <w:spacing w:val="-2"/>
          <w:sz w:val="17"/>
          <w:szCs w:val="17"/>
        </w:rPr>
        <w:tab/>
      </w:r>
      <w:r w:rsidR="003439A9" w:rsidRPr="00783C39">
        <w:rPr>
          <w:spacing w:val="-2"/>
          <w:sz w:val="17"/>
          <w:szCs w:val="17"/>
        </w:rPr>
        <w:t>d</w:t>
      </w:r>
      <w:r w:rsidR="00BD029C" w:rsidRPr="00783C39">
        <w:rPr>
          <w:spacing w:val="-2"/>
          <w:sz w:val="17"/>
          <w:szCs w:val="17"/>
        </w:rPr>
        <w:t>er</w:t>
      </w:r>
      <w:r w:rsidR="003439A9" w:rsidRPr="00783C39">
        <w:rPr>
          <w:rFonts w:ascii="Times New Roman" w:hAnsi="Times New Roman"/>
          <w:spacing w:val="-2"/>
          <w:sz w:val="17"/>
          <w:szCs w:val="17"/>
        </w:rPr>
        <w:t xml:space="preserve"> </w:t>
      </w:r>
      <w:r w:rsidR="003439A9" w:rsidRPr="00783C39">
        <w:rPr>
          <w:rFonts w:ascii="Times New Roman" w:hAnsi="Times New Roman"/>
          <w:b/>
          <w:spacing w:val="-2"/>
          <w:sz w:val="17"/>
          <w:szCs w:val="17"/>
        </w:rPr>
        <w:t>Gegenüberstellung mit Zeugen</w:t>
      </w:r>
      <w:r w:rsidR="003439A9" w:rsidRPr="00783C39">
        <w:rPr>
          <w:rFonts w:ascii="Times New Roman" w:hAnsi="Times New Roman"/>
          <w:spacing w:val="-2"/>
          <w:sz w:val="17"/>
          <w:szCs w:val="17"/>
        </w:rPr>
        <w:t xml:space="preserve"> (nach </w:t>
      </w:r>
      <w:proofErr w:type="spellStart"/>
      <w:r w:rsidR="003439A9" w:rsidRPr="00783C39">
        <w:rPr>
          <w:rFonts w:ascii="Times New Roman" w:hAnsi="Times New Roman"/>
          <w:spacing w:val="-2"/>
          <w:sz w:val="17"/>
          <w:szCs w:val="17"/>
        </w:rPr>
        <w:t>t</w:t>
      </w:r>
      <w:r w:rsidR="00890423" w:rsidRPr="00783C39">
        <w:rPr>
          <w:rFonts w:ascii="Times New Roman" w:hAnsi="Times New Roman"/>
          <w:spacing w:val="-2"/>
          <w:sz w:val="17"/>
          <w:szCs w:val="17"/>
        </w:rPr>
        <w:t>.</w:t>
      </w:r>
      <w:r w:rsidR="003439A9" w:rsidRPr="00783C39">
        <w:rPr>
          <w:rFonts w:ascii="Times New Roman" w:hAnsi="Times New Roman"/>
          <w:spacing w:val="-2"/>
          <w:sz w:val="17"/>
          <w:szCs w:val="17"/>
        </w:rPr>
        <w:t>v</w:t>
      </w:r>
      <w:r w:rsidR="00890423" w:rsidRPr="00783C39">
        <w:rPr>
          <w:rFonts w:ascii="Times New Roman" w:hAnsi="Times New Roman"/>
          <w:spacing w:val="-2"/>
          <w:sz w:val="17"/>
          <w:szCs w:val="17"/>
        </w:rPr>
        <w:t>.</w:t>
      </w:r>
      <w:r w:rsidR="003439A9" w:rsidRPr="00783C39">
        <w:rPr>
          <w:rFonts w:ascii="Times New Roman" w:hAnsi="Times New Roman"/>
          <w:spacing w:val="-2"/>
          <w:sz w:val="17"/>
          <w:szCs w:val="17"/>
        </w:rPr>
        <w:t>A</w:t>
      </w:r>
      <w:proofErr w:type="spellEnd"/>
      <w:r w:rsidR="00890423" w:rsidRPr="00783C39">
        <w:rPr>
          <w:rFonts w:ascii="Times New Roman" w:hAnsi="Times New Roman"/>
          <w:spacing w:val="-2"/>
          <w:sz w:val="17"/>
          <w:szCs w:val="17"/>
        </w:rPr>
        <w:t>.</w:t>
      </w:r>
      <w:r w:rsidR="003439A9" w:rsidRPr="00783C39">
        <w:rPr>
          <w:rFonts w:ascii="Times New Roman" w:hAnsi="Times New Roman"/>
          <w:spacing w:val="-2"/>
          <w:sz w:val="17"/>
          <w:szCs w:val="17"/>
        </w:rPr>
        <w:t xml:space="preserve"> von § 58 II StPO umfasst – nach </w:t>
      </w:r>
      <w:proofErr w:type="spellStart"/>
      <w:r w:rsidR="003439A9" w:rsidRPr="00783C39">
        <w:rPr>
          <w:rFonts w:ascii="Times New Roman" w:hAnsi="Times New Roman"/>
          <w:spacing w:val="-2"/>
          <w:sz w:val="17"/>
          <w:szCs w:val="17"/>
        </w:rPr>
        <w:t>a.A</w:t>
      </w:r>
      <w:proofErr w:type="spellEnd"/>
      <w:r w:rsidR="003439A9" w:rsidRPr="00783C39">
        <w:rPr>
          <w:rFonts w:ascii="Times New Roman" w:hAnsi="Times New Roman"/>
          <w:spacing w:val="-2"/>
          <w:sz w:val="17"/>
          <w:szCs w:val="17"/>
        </w:rPr>
        <w:t>. greift § 58 II StPO nicht für den Beschuldigten, daher wird § 81a StPO angewandt);</w:t>
      </w:r>
    </w:p>
    <w:p w14:paraId="6579B5E0" w14:textId="77777777" w:rsidR="000F44E7" w:rsidRPr="00783C39" w:rsidRDefault="00375065" w:rsidP="00783C39">
      <w:pPr>
        <w:widowControl/>
        <w:tabs>
          <w:tab w:val="left" w:pos="-720"/>
          <w:tab w:val="left" w:pos="284"/>
          <w:tab w:val="left" w:pos="851"/>
          <w:tab w:val="left" w:pos="1116"/>
          <w:tab w:val="left" w:pos="1404"/>
          <w:tab w:val="left" w:pos="1692"/>
          <w:tab w:val="left" w:pos="1980"/>
          <w:tab w:val="left" w:pos="2268"/>
          <w:tab w:val="left" w:pos="2880"/>
        </w:tabs>
        <w:ind w:left="851" w:hanging="284"/>
        <w:jc w:val="both"/>
        <w:rPr>
          <w:rFonts w:ascii="Times New Roman" w:hAnsi="Times New Roman"/>
          <w:spacing w:val="-2"/>
          <w:sz w:val="17"/>
          <w:szCs w:val="17"/>
        </w:rPr>
      </w:pPr>
      <w:r w:rsidRPr="00783C39">
        <w:rPr>
          <w:rFonts w:ascii="Times New Roman" w:hAnsi="Times New Roman"/>
          <w:spacing w:val="-2"/>
          <w:sz w:val="17"/>
          <w:szCs w:val="17"/>
        </w:rPr>
        <w:t>3.</w:t>
      </w:r>
      <w:r w:rsidR="003439A9" w:rsidRPr="00783C39">
        <w:rPr>
          <w:rFonts w:ascii="Times New Roman" w:hAnsi="Times New Roman"/>
          <w:spacing w:val="-2"/>
          <w:sz w:val="17"/>
          <w:szCs w:val="17"/>
        </w:rPr>
        <w:t xml:space="preserve"> </w:t>
      </w:r>
      <w:r w:rsidR="00486C3C" w:rsidRPr="00783C39">
        <w:rPr>
          <w:rFonts w:ascii="Times New Roman" w:hAnsi="Times New Roman"/>
          <w:spacing w:val="-2"/>
          <w:sz w:val="17"/>
          <w:szCs w:val="17"/>
        </w:rPr>
        <w:tab/>
      </w:r>
      <w:r w:rsidR="003439A9" w:rsidRPr="00783C39">
        <w:rPr>
          <w:rFonts w:ascii="Times New Roman" w:hAnsi="Times New Roman"/>
          <w:spacing w:val="-2"/>
          <w:sz w:val="17"/>
          <w:szCs w:val="17"/>
        </w:rPr>
        <w:t>d</w:t>
      </w:r>
      <w:r w:rsidR="00BD029C" w:rsidRPr="00783C39">
        <w:rPr>
          <w:rFonts w:ascii="Times New Roman" w:hAnsi="Times New Roman"/>
          <w:spacing w:val="-2"/>
          <w:sz w:val="17"/>
          <w:szCs w:val="17"/>
        </w:rPr>
        <w:t>er</w:t>
      </w:r>
      <w:r w:rsidR="003439A9" w:rsidRPr="00783C39">
        <w:rPr>
          <w:rFonts w:ascii="Times New Roman" w:hAnsi="Times New Roman"/>
          <w:spacing w:val="-2"/>
          <w:sz w:val="17"/>
          <w:szCs w:val="17"/>
        </w:rPr>
        <w:t xml:space="preserve"> </w:t>
      </w:r>
      <w:r w:rsidR="003439A9" w:rsidRPr="00783C39">
        <w:rPr>
          <w:rFonts w:ascii="Times New Roman" w:hAnsi="Times New Roman"/>
          <w:b/>
          <w:spacing w:val="-2"/>
          <w:sz w:val="17"/>
          <w:szCs w:val="17"/>
        </w:rPr>
        <w:t>Veränderung von Haar- und Barttracht</w:t>
      </w:r>
      <w:r w:rsidR="003439A9" w:rsidRPr="00783C39">
        <w:rPr>
          <w:rFonts w:ascii="Times New Roman" w:hAnsi="Times New Roman"/>
          <w:spacing w:val="-2"/>
          <w:sz w:val="17"/>
          <w:szCs w:val="17"/>
        </w:rPr>
        <w:t xml:space="preserve"> etwa für eine Gegenüberstellung (nach </w:t>
      </w:r>
      <w:proofErr w:type="spellStart"/>
      <w:r w:rsidR="003439A9" w:rsidRPr="00783C39">
        <w:rPr>
          <w:rFonts w:ascii="Times New Roman" w:hAnsi="Times New Roman"/>
          <w:spacing w:val="-2"/>
          <w:sz w:val="17"/>
          <w:szCs w:val="17"/>
        </w:rPr>
        <w:t>t</w:t>
      </w:r>
      <w:r w:rsidR="00890423" w:rsidRPr="00783C39">
        <w:rPr>
          <w:rFonts w:ascii="Times New Roman" w:hAnsi="Times New Roman"/>
          <w:spacing w:val="-2"/>
          <w:sz w:val="17"/>
          <w:szCs w:val="17"/>
        </w:rPr>
        <w:t>.</w:t>
      </w:r>
      <w:r w:rsidR="003439A9" w:rsidRPr="00783C39">
        <w:rPr>
          <w:rFonts w:ascii="Times New Roman" w:hAnsi="Times New Roman"/>
          <w:spacing w:val="-2"/>
          <w:sz w:val="17"/>
          <w:szCs w:val="17"/>
        </w:rPr>
        <w:t>v</w:t>
      </w:r>
      <w:r w:rsidR="00890423" w:rsidRPr="00783C39">
        <w:rPr>
          <w:rFonts w:ascii="Times New Roman" w:hAnsi="Times New Roman"/>
          <w:spacing w:val="-2"/>
          <w:sz w:val="17"/>
          <w:szCs w:val="17"/>
        </w:rPr>
        <w:t>.</w:t>
      </w:r>
      <w:r w:rsidR="003439A9" w:rsidRPr="00783C39">
        <w:rPr>
          <w:rFonts w:ascii="Times New Roman" w:hAnsi="Times New Roman"/>
          <w:spacing w:val="-2"/>
          <w:sz w:val="17"/>
          <w:szCs w:val="17"/>
        </w:rPr>
        <w:t>A</w:t>
      </w:r>
      <w:proofErr w:type="spellEnd"/>
      <w:r w:rsidR="00890423" w:rsidRPr="00783C39">
        <w:rPr>
          <w:rFonts w:ascii="Times New Roman" w:hAnsi="Times New Roman"/>
          <w:spacing w:val="-2"/>
          <w:sz w:val="17"/>
          <w:szCs w:val="17"/>
        </w:rPr>
        <w:t>.</w:t>
      </w:r>
      <w:r w:rsidR="003439A9" w:rsidRPr="00783C39">
        <w:rPr>
          <w:rFonts w:ascii="Times New Roman" w:hAnsi="Times New Roman"/>
          <w:spacing w:val="-2"/>
          <w:sz w:val="17"/>
          <w:szCs w:val="17"/>
        </w:rPr>
        <w:t xml:space="preserve"> von § 81a </w:t>
      </w:r>
      <w:r w:rsidR="009D395C" w:rsidRPr="00783C39">
        <w:rPr>
          <w:rFonts w:ascii="Times New Roman" w:hAnsi="Times New Roman"/>
          <w:spacing w:val="-2"/>
          <w:sz w:val="17"/>
          <w:szCs w:val="17"/>
        </w:rPr>
        <w:t xml:space="preserve">I </w:t>
      </w:r>
      <w:r w:rsidR="003439A9" w:rsidRPr="00783C39">
        <w:rPr>
          <w:rFonts w:ascii="Times New Roman" w:hAnsi="Times New Roman"/>
          <w:spacing w:val="-2"/>
          <w:sz w:val="17"/>
          <w:szCs w:val="17"/>
        </w:rPr>
        <w:t xml:space="preserve">StPO erfasst – nach </w:t>
      </w:r>
      <w:proofErr w:type="spellStart"/>
      <w:r w:rsidR="003439A9" w:rsidRPr="00783C39">
        <w:rPr>
          <w:rFonts w:ascii="Times New Roman" w:hAnsi="Times New Roman"/>
          <w:spacing w:val="-2"/>
          <w:sz w:val="17"/>
          <w:szCs w:val="17"/>
        </w:rPr>
        <w:t>a.A</w:t>
      </w:r>
      <w:proofErr w:type="spellEnd"/>
      <w:r w:rsidR="003439A9" w:rsidRPr="00783C39">
        <w:rPr>
          <w:rFonts w:ascii="Times New Roman" w:hAnsi="Times New Roman"/>
          <w:spacing w:val="-2"/>
          <w:sz w:val="17"/>
          <w:szCs w:val="17"/>
        </w:rPr>
        <w:t>. greift § 81b </w:t>
      </w:r>
      <w:r w:rsidR="009D395C" w:rsidRPr="00783C39">
        <w:rPr>
          <w:rFonts w:ascii="Times New Roman" w:hAnsi="Times New Roman"/>
          <w:spacing w:val="-2"/>
          <w:sz w:val="17"/>
          <w:szCs w:val="17"/>
        </w:rPr>
        <w:t xml:space="preserve">I </w:t>
      </w:r>
      <w:r w:rsidR="003439A9" w:rsidRPr="00783C39">
        <w:rPr>
          <w:rFonts w:ascii="Times New Roman" w:hAnsi="Times New Roman"/>
          <w:spacing w:val="-2"/>
          <w:sz w:val="17"/>
          <w:szCs w:val="17"/>
        </w:rPr>
        <w:t>StPO).</w:t>
      </w:r>
    </w:p>
    <w:p w14:paraId="6B093E92" w14:textId="772B2BCA" w:rsidR="003439A9" w:rsidRPr="00783C39" w:rsidRDefault="003439A9" w:rsidP="00783C39">
      <w:pPr>
        <w:widowControl/>
        <w:tabs>
          <w:tab w:val="left" w:pos="-720"/>
          <w:tab w:val="left" w:pos="284"/>
          <w:tab w:val="left" w:pos="851"/>
          <w:tab w:val="left" w:pos="1116"/>
          <w:tab w:val="left" w:pos="1404"/>
          <w:tab w:val="left" w:pos="1692"/>
          <w:tab w:val="left" w:pos="1980"/>
          <w:tab w:val="left" w:pos="2268"/>
          <w:tab w:val="left" w:pos="2880"/>
        </w:tabs>
        <w:ind w:left="284"/>
        <w:jc w:val="both"/>
        <w:rPr>
          <w:rFonts w:ascii="Times New Roman" w:hAnsi="Times New Roman"/>
          <w:spacing w:val="-2"/>
          <w:sz w:val="17"/>
          <w:szCs w:val="17"/>
        </w:rPr>
      </w:pPr>
      <w:r w:rsidRPr="00783C39">
        <w:rPr>
          <w:rFonts w:ascii="Times New Roman" w:hAnsi="Times New Roman"/>
          <w:spacing w:val="-2"/>
          <w:sz w:val="17"/>
          <w:szCs w:val="17"/>
        </w:rPr>
        <w:t>§ 81a I 2 StPO und § 81c II 2 StPO legen fest, dass Blutproben und andere körperliche Eingriffe nur von einem Arzt vorgenommen werden dürfen; ist die Untersuchung darüber hinaus geeignet, das Schamgefühl des Betroffenen zu verletzen, so müssen Arzt oder Ärztin gleichen Geschlechts wie die untersuchte Person sein bzw. dem Wunsch des Untersuchten entsprochen werden, die Untersuchung einer Person eines bestimmten Geschlechts zu übertragen, § 81d I StPO.</w:t>
      </w:r>
    </w:p>
    <w:p w14:paraId="5CB24765" w14:textId="77777777" w:rsidR="003439A9" w:rsidRPr="00783C39" w:rsidRDefault="003439A9" w:rsidP="00076798">
      <w:pPr>
        <w:widowControl/>
        <w:tabs>
          <w:tab w:val="left" w:pos="-720"/>
          <w:tab w:val="left" w:pos="284"/>
          <w:tab w:val="left" w:pos="864"/>
          <w:tab w:val="left" w:pos="1116"/>
          <w:tab w:val="left" w:pos="1404"/>
          <w:tab w:val="left" w:pos="1692"/>
          <w:tab w:val="left" w:pos="1980"/>
          <w:tab w:val="left" w:pos="2268"/>
          <w:tab w:val="left" w:pos="2880"/>
        </w:tabs>
        <w:spacing w:line="160" w:lineRule="exact"/>
        <w:ind w:right="57"/>
        <w:jc w:val="both"/>
        <w:rPr>
          <w:rFonts w:ascii="Times New Roman" w:hAnsi="Times New Roman"/>
          <w:spacing w:val="-2"/>
          <w:sz w:val="17"/>
          <w:szCs w:val="17"/>
        </w:rPr>
      </w:pPr>
    </w:p>
    <w:p w14:paraId="3E69DE4F" w14:textId="5DA47813" w:rsidR="003439A9" w:rsidRPr="00C32AFE" w:rsidRDefault="003439A9" w:rsidP="00076798">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line="160" w:lineRule="exact"/>
        <w:ind w:left="1980" w:right="57" w:hanging="1980"/>
        <w:jc w:val="both"/>
        <w:rPr>
          <w:rFonts w:ascii="Times New Roman" w:hAnsi="Times New Roman"/>
          <w:spacing w:val="-2"/>
          <w:sz w:val="15"/>
          <w:szCs w:val="15"/>
        </w:rPr>
      </w:pPr>
      <w:r w:rsidRPr="00C32AFE">
        <w:rPr>
          <w:rFonts w:ascii="Times New Roman" w:hAnsi="Times New Roman"/>
          <w:b/>
          <w:spacing w:val="-2"/>
          <w:sz w:val="15"/>
          <w:szCs w:val="15"/>
        </w:rPr>
        <w:t xml:space="preserve">Literatur/Lehrbücher: </w:t>
      </w:r>
      <w:r w:rsidRPr="00C32AFE">
        <w:rPr>
          <w:rFonts w:ascii="Times New Roman" w:hAnsi="Times New Roman"/>
          <w:b/>
          <w:spacing w:val="-2"/>
          <w:sz w:val="15"/>
          <w:szCs w:val="15"/>
        </w:rPr>
        <w:tab/>
      </w:r>
      <w:r w:rsidR="00356E01" w:rsidRPr="00C32AFE">
        <w:rPr>
          <w:rFonts w:ascii="Times New Roman" w:hAnsi="Times New Roman"/>
          <w:i/>
          <w:spacing w:val="-2"/>
          <w:sz w:val="15"/>
          <w:szCs w:val="15"/>
        </w:rPr>
        <w:t>Heinrich/Reinbacher</w:t>
      </w:r>
      <w:r w:rsidR="00356E01" w:rsidRPr="00C32AFE">
        <w:rPr>
          <w:rFonts w:ascii="Times New Roman" w:hAnsi="Times New Roman"/>
          <w:spacing w:val="-2"/>
          <w:sz w:val="15"/>
          <w:szCs w:val="15"/>
        </w:rPr>
        <w:t>, Examinatorium Strafprozessrecht,</w:t>
      </w:r>
      <w:r w:rsidR="007D05C3" w:rsidRPr="00C32AFE">
        <w:rPr>
          <w:rFonts w:ascii="Times New Roman" w:hAnsi="Times New Roman"/>
          <w:spacing w:val="-2"/>
          <w:sz w:val="15"/>
          <w:szCs w:val="15"/>
        </w:rPr>
        <w:t xml:space="preserve"> </w:t>
      </w:r>
      <w:r w:rsidR="009D395C">
        <w:rPr>
          <w:rFonts w:ascii="Times New Roman" w:hAnsi="Times New Roman"/>
          <w:spacing w:val="-2"/>
          <w:sz w:val="15"/>
          <w:szCs w:val="15"/>
        </w:rPr>
        <w:t>4</w:t>
      </w:r>
      <w:r w:rsidR="007D05C3" w:rsidRPr="00C32AFE">
        <w:rPr>
          <w:rFonts w:ascii="Times New Roman" w:hAnsi="Times New Roman"/>
          <w:spacing w:val="-2"/>
          <w:sz w:val="15"/>
          <w:szCs w:val="15"/>
        </w:rPr>
        <w:t>. Auflage 20</w:t>
      </w:r>
      <w:r w:rsidR="00D55D9C">
        <w:rPr>
          <w:rFonts w:ascii="Times New Roman" w:hAnsi="Times New Roman"/>
          <w:spacing w:val="-2"/>
          <w:sz w:val="15"/>
          <w:szCs w:val="15"/>
        </w:rPr>
        <w:t>2</w:t>
      </w:r>
      <w:r w:rsidR="009D395C">
        <w:rPr>
          <w:rFonts w:ascii="Times New Roman" w:hAnsi="Times New Roman"/>
          <w:spacing w:val="-2"/>
          <w:sz w:val="15"/>
          <w:szCs w:val="15"/>
        </w:rPr>
        <w:t>3</w:t>
      </w:r>
      <w:r w:rsidR="007D05C3" w:rsidRPr="00C32AFE">
        <w:rPr>
          <w:rFonts w:ascii="Times New Roman" w:hAnsi="Times New Roman"/>
          <w:spacing w:val="-2"/>
          <w:sz w:val="15"/>
          <w:szCs w:val="15"/>
        </w:rPr>
        <w:t>,</w:t>
      </w:r>
      <w:r w:rsidR="00356E01" w:rsidRPr="00C32AFE">
        <w:rPr>
          <w:rFonts w:ascii="Times New Roman" w:hAnsi="Times New Roman"/>
          <w:spacing w:val="-2"/>
          <w:sz w:val="15"/>
          <w:szCs w:val="15"/>
        </w:rPr>
        <w:t xml:space="preserve"> Problem</w:t>
      </w:r>
      <w:r w:rsidR="000F44E7">
        <w:rPr>
          <w:rFonts w:ascii="Times New Roman" w:hAnsi="Times New Roman"/>
          <w:spacing w:val="-2"/>
          <w:sz w:val="15"/>
          <w:szCs w:val="15"/>
        </w:rPr>
        <w:t> </w:t>
      </w:r>
      <w:r w:rsidR="00356E01" w:rsidRPr="00C32AFE">
        <w:rPr>
          <w:rFonts w:ascii="Times New Roman" w:hAnsi="Times New Roman"/>
          <w:spacing w:val="-2"/>
          <w:sz w:val="15"/>
          <w:szCs w:val="15"/>
        </w:rPr>
        <w:t>16.</w:t>
      </w:r>
    </w:p>
    <w:p w14:paraId="7E8256C2" w14:textId="6BD568B5" w:rsidR="003439A9" w:rsidRPr="00C32AFE" w:rsidRDefault="003439A9" w:rsidP="00486C3C">
      <w:pPr>
        <w:widowControl/>
        <w:tabs>
          <w:tab w:val="left" w:pos="-720"/>
          <w:tab w:val="left" w:pos="0"/>
          <w:tab w:val="left" w:pos="288"/>
          <w:tab w:val="left" w:pos="576"/>
          <w:tab w:val="left" w:pos="864"/>
          <w:tab w:val="left" w:pos="1116"/>
          <w:tab w:val="left" w:pos="1404"/>
          <w:tab w:val="left" w:pos="1701"/>
          <w:tab w:val="left" w:pos="2268"/>
          <w:tab w:val="left" w:pos="2880"/>
        </w:tabs>
        <w:spacing w:line="160" w:lineRule="exact"/>
        <w:ind w:left="1701" w:right="57" w:hanging="1701"/>
        <w:jc w:val="both"/>
        <w:rPr>
          <w:rFonts w:ascii="Times New Roman" w:hAnsi="Times New Roman"/>
          <w:spacing w:val="-2"/>
          <w:sz w:val="15"/>
          <w:szCs w:val="15"/>
        </w:rPr>
      </w:pPr>
      <w:r w:rsidRPr="00C32AFE">
        <w:rPr>
          <w:rFonts w:ascii="Times New Roman" w:hAnsi="Times New Roman"/>
          <w:b/>
          <w:spacing w:val="-2"/>
          <w:sz w:val="15"/>
          <w:szCs w:val="15"/>
        </w:rPr>
        <w:t>Literatur/Fälle:</w:t>
      </w:r>
      <w:r w:rsidRPr="00C32AFE">
        <w:rPr>
          <w:rFonts w:ascii="Times New Roman" w:hAnsi="Times New Roman"/>
          <w:b/>
          <w:spacing w:val="-2"/>
          <w:sz w:val="15"/>
          <w:szCs w:val="15"/>
        </w:rPr>
        <w:tab/>
      </w:r>
      <w:r w:rsidRPr="00C32AFE">
        <w:rPr>
          <w:rFonts w:ascii="Times New Roman" w:hAnsi="Times New Roman"/>
          <w:b/>
          <w:spacing w:val="-2"/>
          <w:sz w:val="15"/>
          <w:szCs w:val="15"/>
        </w:rPr>
        <w:tab/>
      </w:r>
      <w:r w:rsidR="00C354D6" w:rsidRPr="00C32AFE">
        <w:rPr>
          <w:rFonts w:ascii="Times New Roman" w:hAnsi="Times New Roman"/>
          <w:b/>
          <w:spacing w:val="-2"/>
          <w:sz w:val="15"/>
          <w:szCs w:val="15"/>
        </w:rPr>
        <w:tab/>
      </w:r>
      <w:r w:rsidR="00CC04A5" w:rsidRPr="00C32AFE">
        <w:rPr>
          <w:rFonts w:ascii="Times New Roman" w:hAnsi="Times New Roman"/>
          <w:i/>
          <w:spacing w:val="-2"/>
          <w:sz w:val="15"/>
          <w:szCs w:val="15"/>
        </w:rPr>
        <w:t>Bosch</w:t>
      </w:r>
      <w:r w:rsidR="00CC04A5" w:rsidRPr="00C32AFE">
        <w:rPr>
          <w:rFonts w:ascii="Times New Roman" w:hAnsi="Times New Roman"/>
          <w:spacing w:val="-2"/>
          <w:sz w:val="15"/>
          <w:szCs w:val="15"/>
        </w:rPr>
        <w:t xml:space="preserve">, Die körperliche Untersuchung des Beschuldigten (§ 81a StPO), JURA 2014, 50; </w:t>
      </w:r>
      <w:r w:rsidRPr="00C32AFE">
        <w:rPr>
          <w:rFonts w:ascii="Times New Roman" w:hAnsi="Times New Roman"/>
          <w:i/>
          <w:spacing w:val="-2"/>
          <w:sz w:val="15"/>
          <w:szCs w:val="15"/>
        </w:rPr>
        <w:t>Fahl</w:t>
      </w:r>
      <w:r w:rsidRPr="00C32AFE">
        <w:rPr>
          <w:rFonts w:ascii="Times New Roman" w:hAnsi="Times New Roman"/>
          <w:spacing w:val="-2"/>
          <w:sz w:val="15"/>
          <w:szCs w:val="15"/>
        </w:rPr>
        <w:t xml:space="preserve">, Schlau hilft, </w:t>
      </w:r>
      <w:proofErr w:type="spellStart"/>
      <w:r w:rsidRPr="00C32AFE">
        <w:rPr>
          <w:rFonts w:ascii="Times New Roman" w:hAnsi="Times New Roman"/>
          <w:spacing w:val="-2"/>
          <w:sz w:val="15"/>
          <w:szCs w:val="15"/>
        </w:rPr>
        <w:t>JuS</w:t>
      </w:r>
      <w:proofErr w:type="spellEnd"/>
      <w:r w:rsidRPr="00C32AFE">
        <w:rPr>
          <w:rFonts w:ascii="Times New Roman" w:hAnsi="Times New Roman"/>
          <w:spacing w:val="-2"/>
          <w:sz w:val="15"/>
          <w:szCs w:val="15"/>
        </w:rPr>
        <w:t xml:space="preserve"> 2001, 47;</w:t>
      </w:r>
      <w:r w:rsidRPr="00C32AFE">
        <w:rPr>
          <w:rFonts w:ascii="Times New Roman" w:hAnsi="Times New Roman"/>
          <w:i/>
          <w:spacing w:val="-2"/>
          <w:sz w:val="15"/>
          <w:szCs w:val="15"/>
        </w:rPr>
        <w:t xml:space="preserve"> </w:t>
      </w:r>
      <w:proofErr w:type="spellStart"/>
      <w:r w:rsidR="0056489F" w:rsidRPr="00C32AFE">
        <w:rPr>
          <w:rFonts w:ascii="Times New Roman" w:hAnsi="Times New Roman"/>
          <w:i/>
          <w:spacing w:val="-2"/>
          <w:sz w:val="15"/>
          <w:szCs w:val="15"/>
        </w:rPr>
        <w:t>Goldkamp</w:t>
      </w:r>
      <w:proofErr w:type="spellEnd"/>
      <w:r w:rsidR="0056489F" w:rsidRPr="00C32AFE">
        <w:rPr>
          <w:rFonts w:ascii="Times New Roman" w:hAnsi="Times New Roman"/>
          <w:spacing w:val="-2"/>
          <w:sz w:val="15"/>
          <w:szCs w:val="15"/>
        </w:rPr>
        <w:t>, Wahllichtbildvorlage und Wahlgegenüberstellung im</w:t>
      </w:r>
      <w:r w:rsidR="0056489F" w:rsidRPr="009D395C">
        <w:rPr>
          <w:rFonts w:ascii="Times New Roman" w:hAnsi="Times New Roman"/>
          <w:spacing w:val="-2"/>
          <w:sz w:val="15"/>
          <w:szCs w:val="15"/>
        </w:rPr>
        <w:t xml:space="preserve"> Verkehrsrecht, NZV 2019, 217; </w:t>
      </w:r>
      <w:r w:rsidR="00CC04A5" w:rsidRPr="00894C40">
        <w:rPr>
          <w:rFonts w:ascii="Times New Roman" w:hAnsi="Times New Roman"/>
          <w:i/>
          <w:spacing w:val="-2"/>
          <w:sz w:val="15"/>
          <w:szCs w:val="15"/>
        </w:rPr>
        <w:t>Graulich</w:t>
      </w:r>
      <w:r w:rsidR="00CC04A5" w:rsidRPr="00C32AFE">
        <w:rPr>
          <w:rFonts w:ascii="Times New Roman" w:hAnsi="Times New Roman"/>
          <w:spacing w:val="-2"/>
          <w:sz w:val="15"/>
          <w:szCs w:val="15"/>
        </w:rPr>
        <w:t>,</w:t>
      </w:r>
      <w:r w:rsidR="00E956CC" w:rsidRPr="00C32AFE">
        <w:rPr>
          <w:rFonts w:ascii="Times New Roman" w:hAnsi="Times New Roman"/>
          <w:spacing w:val="-2"/>
          <w:sz w:val="15"/>
          <w:szCs w:val="15"/>
        </w:rPr>
        <w:t xml:space="preserve"> </w:t>
      </w:r>
      <w:r w:rsidR="00CC04A5" w:rsidRPr="00C32AFE">
        <w:rPr>
          <w:rFonts w:ascii="Times New Roman" w:hAnsi="Times New Roman"/>
          <w:spacing w:val="-2"/>
          <w:sz w:val="15"/>
          <w:szCs w:val="15"/>
        </w:rPr>
        <w:t>Strafverfo</w:t>
      </w:r>
      <w:r w:rsidR="004C7C0C" w:rsidRPr="00C32AFE">
        <w:rPr>
          <w:rFonts w:ascii="Times New Roman" w:hAnsi="Times New Roman"/>
          <w:spacing w:val="-2"/>
          <w:sz w:val="15"/>
          <w:szCs w:val="15"/>
        </w:rPr>
        <w:t xml:space="preserve">lgungsvorsorge, </w:t>
      </w:r>
      <w:proofErr w:type="spellStart"/>
      <w:r w:rsidR="004C7C0C" w:rsidRPr="00C32AFE">
        <w:rPr>
          <w:rFonts w:ascii="Times New Roman" w:hAnsi="Times New Roman"/>
          <w:spacing w:val="-2"/>
          <w:sz w:val="15"/>
          <w:szCs w:val="15"/>
        </w:rPr>
        <w:t>NVwZ</w:t>
      </w:r>
      <w:proofErr w:type="spellEnd"/>
      <w:r w:rsidR="004C7C0C" w:rsidRPr="00C32AFE">
        <w:rPr>
          <w:rFonts w:ascii="Times New Roman" w:hAnsi="Times New Roman"/>
          <w:spacing w:val="-2"/>
          <w:sz w:val="15"/>
          <w:szCs w:val="15"/>
        </w:rPr>
        <w:t xml:space="preserve"> 2014, 685;</w:t>
      </w:r>
      <w:r w:rsidR="00CC04A5" w:rsidRPr="00C32AFE">
        <w:rPr>
          <w:rFonts w:ascii="Times New Roman" w:hAnsi="Times New Roman"/>
          <w:i/>
          <w:spacing w:val="-2"/>
          <w:sz w:val="15"/>
          <w:szCs w:val="15"/>
        </w:rPr>
        <w:t xml:space="preserve"> </w:t>
      </w:r>
      <w:r w:rsidR="00B54565" w:rsidRPr="009D395C">
        <w:rPr>
          <w:rStyle w:val="Betonungkursiv"/>
          <w:rFonts w:ascii="Times New Roman" w:hAnsi="Times New Roman"/>
          <w:color w:val="auto"/>
          <w:sz w:val="15"/>
          <w:szCs w:val="15"/>
        </w:rPr>
        <w:t>Kraft</w:t>
      </w:r>
      <w:r w:rsidR="00B54565" w:rsidRPr="009D395C">
        <w:rPr>
          <w:rFonts w:ascii="Times New Roman" w:hAnsi="Times New Roman"/>
          <w:sz w:val="15"/>
          <w:szCs w:val="15"/>
        </w:rPr>
        <w:t xml:space="preserve">, Die Blutentnahme nach § 81a StPO, </w:t>
      </w:r>
      <w:proofErr w:type="spellStart"/>
      <w:r w:rsidR="00B54565" w:rsidRPr="009D395C">
        <w:rPr>
          <w:rFonts w:ascii="Times New Roman" w:hAnsi="Times New Roman"/>
          <w:sz w:val="15"/>
          <w:szCs w:val="15"/>
        </w:rPr>
        <w:t>JuS</w:t>
      </w:r>
      <w:proofErr w:type="spellEnd"/>
      <w:r w:rsidR="00B54565" w:rsidRPr="009D395C">
        <w:rPr>
          <w:rFonts w:ascii="Times New Roman" w:hAnsi="Times New Roman"/>
          <w:sz w:val="15"/>
          <w:szCs w:val="15"/>
        </w:rPr>
        <w:t> 2011, 591;</w:t>
      </w:r>
      <w:r w:rsidR="00B54565">
        <w:t xml:space="preserve"> </w:t>
      </w:r>
      <w:proofErr w:type="spellStart"/>
      <w:r w:rsidR="00CC04A5" w:rsidRPr="00C32AFE">
        <w:rPr>
          <w:rFonts w:ascii="Times New Roman" w:hAnsi="Times New Roman"/>
          <w:i/>
          <w:spacing w:val="-2"/>
          <w:sz w:val="15"/>
          <w:szCs w:val="15"/>
        </w:rPr>
        <w:t>Peglau</w:t>
      </w:r>
      <w:proofErr w:type="spellEnd"/>
      <w:r w:rsidR="00CC04A5" w:rsidRPr="00C32AFE">
        <w:rPr>
          <w:rFonts w:ascii="Times New Roman" w:hAnsi="Times New Roman"/>
          <w:spacing w:val="-2"/>
          <w:sz w:val="15"/>
          <w:szCs w:val="15"/>
        </w:rPr>
        <w:t>, Richtervorbehalt bei Blutprobenentnahme – Anforderungen</w:t>
      </w:r>
      <w:r w:rsidR="004C7C0C" w:rsidRPr="00C32AFE">
        <w:rPr>
          <w:rFonts w:ascii="Times New Roman" w:hAnsi="Times New Roman"/>
          <w:spacing w:val="-2"/>
          <w:sz w:val="15"/>
          <w:szCs w:val="15"/>
        </w:rPr>
        <w:t xml:space="preserve"> </w:t>
      </w:r>
      <w:r w:rsidR="00CC04A5" w:rsidRPr="00C32AFE">
        <w:rPr>
          <w:rFonts w:ascii="Times New Roman" w:hAnsi="Times New Roman"/>
          <w:spacing w:val="-2"/>
          <w:sz w:val="15"/>
          <w:szCs w:val="15"/>
        </w:rPr>
        <w:t>des BVerfG, NJW 2010, 2850</w:t>
      </w:r>
      <w:r w:rsidR="00486C3C" w:rsidRPr="00C32AFE">
        <w:rPr>
          <w:rFonts w:ascii="Times New Roman" w:hAnsi="Times New Roman"/>
          <w:spacing w:val="-2"/>
          <w:sz w:val="15"/>
          <w:szCs w:val="15"/>
        </w:rPr>
        <w:t xml:space="preserve">; </w:t>
      </w:r>
      <w:proofErr w:type="spellStart"/>
      <w:r w:rsidR="00486C3C" w:rsidRPr="00C32AFE">
        <w:rPr>
          <w:rFonts w:ascii="Times New Roman" w:hAnsi="Times New Roman"/>
          <w:i/>
          <w:spacing w:val="-2"/>
          <w:sz w:val="15"/>
          <w:szCs w:val="15"/>
        </w:rPr>
        <w:t>Stam</w:t>
      </w:r>
      <w:proofErr w:type="spellEnd"/>
      <w:r w:rsidR="00486C3C" w:rsidRPr="00C32AFE">
        <w:rPr>
          <w:rFonts w:ascii="Times New Roman" w:hAnsi="Times New Roman"/>
          <w:spacing w:val="-2"/>
          <w:sz w:val="15"/>
          <w:szCs w:val="15"/>
        </w:rPr>
        <w:t>, Die partielle Abschaffung des Richtervorbehalts bei Blutprobenentnahmen nach § 81 a II 2 StPO – Abschied von einem prozessualen Stolperstein, NZV 2018, 155.</w:t>
      </w:r>
    </w:p>
    <w:p w14:paraId="69475D6A" w14:textId="20FC4396" w:rsidR="003439A9" w:rsidRPr="00C32AFE" w:rsidRDefault="003439A9" w:rsidP="00076798">
      <w:pPr>
        <w:widowControl/>
        <w:tabs>
          <w:tab w:val="left" w:pos="-720"/>
          <w:tab w:val="left" w:pos="0"/>
          <w:tab w:val="left" w:pos="288"/>
          <w:tab w:val="left" w:pos="576"/>
          <w:tab w:val="left" w:pos="864"/>
          <w:tab w:val="left" w:pos="1116"/>
          <w:tab w:val="left" w:pos="1418"/>
          <w:tab w:val="left" w:pos="1692"/>
          <w:tab w:val="left" w:pos="2268"/>
          <w:tab w:val="left" w:pos="2880"/>
        </w:tabs>
        <w:spacing w:line="160" w:lineRule="exact"/>
        <w:ind w:left="1692" w:right="57" w:hanging="1692"/>
        <w:jc w:val="both"/>
        <w:rPr>
          <w:sz w:val="15"/>
          <w:szCs w:val="15"/>
        </w:rPr>
      </w:pPr>
      <w:r w:rsidRPr="00C32AFE">
        <w:rPr>
          <w:rFonts w:ascii="Times New Roman" w:hAnsi="Times New Roman"/>
          <w:b/>
          <w:spacing w:val="-2"/>
          <w:sz w:val="15"/>
          <w:szCs w:val="15"/>
        </w:rPr>
        <w:t>Rechtsprechung:</w:t>
      </w:r>
      <w:r w:rsidRPr="00C32AFE">
        <w:rPr>
          <w:rFonts w:ascii="Times New Roman" w:hAnsi="Times New Roman"/>
          <w:b/>
          <w:spacing w:val="-2"/>
          <w:sz w:val="15"/>
          <w:szCs w:val="15"/>
        </w:rPr>
        <w:tab/>
      </w:r>
      <w:r w:rsidRPr="00C32AFE">
        <w:rPr>
          <w:rFonts w:ascii="Times New Roman" w:hAnsi="Times New Roman"/>
          <w:b/>
          <w:spacing w:val="-2"/>
          <w:sz w:val="15"/>
          <w:szCs w:val="15"/>
        </w:rPr>
        <w:tab/>
      </w:r>
      <w:r w:rsidR="00FA3433">
        <w:rPr>
          <w:rFonts w:ascii="Times New Roman" w:hAnsi="Times New Roman"/>
          <w:b/>
          <w:spacing w:val="-2"/>
          <w:sz w:val="15"/>
          <w:szCs w:val="15"/>
        </w:rPr>
        <w:tab/>
      </w:r>
      <w:r w:rsidRPr="00C32AFE">
        <w:rPr>
          <w:rFonts w:ascii="Times New Roman" w:hAnsi="Times New Roman"/>
          <w:b/>
          <w:spacing w:val="-2"/>
          <w:sz w:val="15"/>
          <w:szCs w:val="15"/>
        </w:rPr>
        <w:t xml:space="preserve">EGMR NJW 2006, 3117 </w:t>
      </w:r>
      <w:r w:rsidR="002016D5" w:rsidRPr="00C32AFE">
        <w:rPr>
          <w:rFonts w:ascii="Times New Roman" w:hAnsi="Times New Roman"/>
          <w:spacing w:val="-2"/>
          <w:sz w:val="15"/>
          <w:szCs w:val="15"/>
        </w:rPr>
        <w:t xml:space="preserve">– </w:t>
      </w:r>
      <w:r w:rsidRPr="00C32AFE">
        <w:rPr>
          <w:rFonts w:ascii="Times New Roman" w:hAnsi="Times New Roman"/>
          <w:spacing w:val="-2"/>
          <w:sz w:val="15"/>
          <w:szCs w:val="15"/>
        </w:rPr>
        <w:t>Brechmittel (Brechmitteleinsatz verstößt gegen EMRK);</w:t>
      </w:r>
      <w:r w:rsidR="004C7C0C" w:rsidRPr="00C32AFE">
        <w:rPr>
          <w:rFonts w:ascii="Arial" w:hAnsi="Arial"/>
          <w:b/>
          <w:bCs/>
          <w:color w:val="339966"/>
          <w:sz w:val="15"/>
          <w:szCs w:val="15"/>
        </w:rPr>
        <w:t xml:space="preserve"> </w:t>
      </w:r>
      <w:r w:rsidR="004C7C0C" w:rsidRPr="00C32AFE">
        <w:rPr>
          <w:rFonts w:ascii="Times New Roman" w:hAnsi="Times New Roman"/>
          <w:b/>
          <w:bCs/>
          <w:spacing w:val="-2"/>
          <w:sz w:val="15"/>
          <w:szCs w:val="15"/>
        </w:rPr>
        <w:t>BVerfGE 47, 239</w:t>
      </w:r>
      <w:r w:rsidR="004C7C0C" w:rsidRPr="00C32AFE">
        <w:rPr>
          <w:rFonts w:ascii="Times New Roman" w:hAnsi="Times New Roman"/>
          <w:bCs/>
          <w:spacing w:val="-2"/>
          <w:sz w:val="15"/>
          <w:szCs w:val="15"/>
        </w:rPr>
        <w:t xml:space="preserve"> – Zwangsweiser Haarschnitt (§ 81a StPO als Ermächtigungsgrundlage);</w:t>
      </w:r>
      <w:r w:rsidRPr="00C32AFE">
        <w:rPr>
          <w:rFonts w:ascii="Times New Roman" w:hAnsi="Times New Roman"/>
          <w:spacing w:val="-2"/>
          <w:sz w:val="15"/>
          <w:szCs w:val="15"/>
        </w:rPr>
        <w:t xml:space="preserve"> </w:t>
      </w:r>
      <w:r w:rsidRPr="00C32AFE">
        <w:rPr>
          <w:rFonts w:ascii="Times New Roman" w:hAnsi="Times New Roman"/>
          <w:b/>
          <w:spacing w:val="-2"/>
          <w:sz w:val="15"/>
          <w:szCs w:val="15"/>
        </w:rPr>
        <w:t xml:space="preserve">BVerfG NJW 2010, 2864 </w:t>
      </w:r>
      <w:r w:rsidRPr="00C32AFE">
        <w:rPr>
          <w:rFonts w:ascii="Times New Roman" w:hAnsi="Times New Roman"/>
          <w:spacing w:val="-2"/>
          <w:sz w:val="15"/>
          <w:szCs w:val="15"/>
        </w:rPr>
        <w:t xml:space="preserve">– </w:t>
      </w:r>
      <w:r w:rsidR="000A078A" w:rsidRPr="00C32AFE">
        <w:rPr>
          <w:rFonts w:ascii="Times New Roman" w:hAnsi="Times New Roman"/>
          <w:spacing w:val="-2"/>
          <w:sz w:val="15"/>
          <w:szCs w:val="15"/>
        </w:rPr>
        <w:t xml:space="preserve">Gefahr im Verzug </w:t>
      </w:r>
      <w:r w:rsidR="000A078A">
        <w:rPr>
          <w:rFonts w:ascii="Times New Roman" w:hAnsi="Times New Roman"/>
          <w:spacing w:val="-2"/>
          <w:sz w:val="15"/>
          <w:szCs w:val="15"/>
        </w:rPr>
        <w:t>(</w:t>
      </w:r>
      <w:r w:rsidRPr="00C32AFE">
        <w:rPr>
          <w:rFonts w:ascii="Times New Roman" w:hAnsi="Times New Roman"/>
          <w:spacing w:val="-2"/>
          <w:sz w:val="15"/>
          <w:szCs w:val="15"/>
        </w:rPr>
        <w:t>Umfang richterlicher Überprüfung gemäß §§ 81a, 105 I StPO</w:t>
      </w:r>
      <w:r w:rsidR="000A078A">
        <w:rPr>
          <w:rFonts w:ascii="Times New Roman" w:hAnsi="Times New Roman"/>
          <w:spacing w:val="-2"/>
          <w:sz w:val="15"/>
          <w:szCs w:val="15"/>
        </w:rPr>
        <w:t>)</w:t>
      </w:r>
      <w:r w:rsidRPr="00C32AFE">
        <w:rPr>
          <w:rFonts w:ascii="Times New Roman" w:hAnsi="Times New Roman"/>
          <w:spacing w:val="-2"/>
          <w:sz w:val="15"/>
          <w:szCs w:val="15"/>
        </w:rPr>
        <w:t xml:space="preserve">; </w:t>
      </w:r>
      <w:r w:rsidRPr="00C32AFE">
        <w:rPr>
          <w:rFonts w:ascii="Times New Roman" w:hAnsi="Times New Roman"/>
          <w:b/>
          <w:spacing w:val="-2"/>
          <w:sz w:val="15"/>
          <w:szCs w:val="15"/>
        </w:rPr>
        <w:t xml:space="preserve">BVerfG </w:t>
      </w:r>
      <w:proofErr w:type="spellStart"/>
      <w:r w:rsidRPr="00C32AFE">
        <w:rPr>
          <w:rFonts w:ascii="Times New Roman" w:hAnsi="Times New Roman"/>
          <w:b/>
          <w:spacing w:val="-2"/>
          <w:sz w:val="15"/>
          <w:szCs w:val="15"/>
        </w:rPr>
        <w:t>StraFo</w:t>
      </w:r>
      <w:proofErr w:type="spellEnd"/>
      <w:r w:rsidRPr="00C32AFE">
        <w:rPr>
          <w:rFonts w:ascii="Times New Roman" w:hAnsi="Times New Roman"/>
          <w:b/>
          <w:spacing w:val="-2"/>
          <w:sz w:val="15"/>
          <w:szCs w:val="15"/>
        </w:rPr>
        <w:t xml:space="preserve"> 2011, 145 </w:t>
      </w:r>
      <w:r w:rsidRPr="00C32AFE">
        <w:rPr>
          <w:rFonts w:ascii="Times New Roman" w:hAnsi="Times New Roman"/>
          <w:spacing w:val="-2"/>
          <w:sz w:val="15"/>
          <w:szCs w:val="15"/>
        </w:rPr>
        <w:t>– Blutentnahme ohne richterliche Anordnung (kein Verwertungsverbot bei Nicht-Einrichtung eines richterlichen Bereitschaftsdienstes);</w:t>
      </w:r>
      <w:r w:rsidR="002F77F4" w:rsidRPr="00C32AFE">
        <w:rPr>
          <w:rFonts w:ascii="Times New Roman" w:hAnsi="Times New Roman"/>
          <w:spacing w:val="-2"/>
          <w:sz w:val="15"/>
          <w:szCs w:val="15"/>
        </w:rPr>
        <w:t xml:space="preserve"> </w:t>
      </w:r>
      <w:r w:rsidRPr="00C32AFE">
        <w:rPr>
          <w:rFonts w:ascii="Times New Roman" w:hAnsi="Times New Roman"/>
          <w:b/>
          <w:spacing w:val="-2"/>
          <w:sz w:val="15"/>
          <w:szCs w:val="15"/>
        </w:rPr>
        <w:t>BGH NJW 2010, 2595</w:t>
      </w:r>
      <w:r w:rsidR="00E7236F" w:rsidRPr="00C32AFE">
        <w:rPr>
          <w:rFonts w:ascii="Times New Roman" w:hAnsi="Times New Roman"/>
          <w:spacing w:val="-2"/>
          <w:sz w:val="15"/>
          <w:szCs w:val="15"/>
        </w:rPr>
        <w:t xml:space="preserve"> – Brechmittel (K</w:t>
      </w:r>
      <w:r w:rsidRPr="00C32AFE">
        <w:rPr>
          <w:rFonts w:ascii="Times New Roman" w:hAnsi="Times New Roman"/>
          <w:spacing w:val="-2"/>
          <w:sz w:val="15"/>
          <w:szCs w:val="15"/>
        </w:rPr>
        <w:t>eine Rechtfertigung nach § 81a StPO);</w:t>
      </w:r>
      <w:r w:rsidR="004C7C0C" w:rsidRPr="00C32AFE">
        <w:rPr>
          <w:rFonts w:ascii="Arial" w:hAnsi="Arial"/>
          <w:b/>
          <w:bCs/>
          <w:spacing w:val="-2"/>
          <w:sz w:val="15"/>
          <w:szCs w:val="15"/>
        </w:rPr>
        <w:t xml:space="preserve"> </w:t>
      </w:r>
      <w:r w:rsidR="004C7C0C" w:rsidRPr="00C32AFE">
        <w:rPr>
          <w:rFonts w:ascii="Times New Roman" w:hAnsi="Times New Roman"/>
          <w:b/>
          <w:bCs/>
          <w:spacing w:val="-2"/>
          <w:sz w:val="15"/>
          <w:szCs w:val="15"/>
        </w:rPr>
        <w:t>BGH NJW 2012, 2453</w:t>
      </w:r>
      <w:r w:rsidR="004C7C0C" w:rsidRPr="00C32AFE">
        <w:rPr>
          <w:rFonts w:ascii="Times New Roman" w:hAnsi="Times New Roman"/>
          <w:bCs/>
          <w:spacing w:val="-2"/>
          <w:sz w:val="15"/>
          <w:szCs w:val="15"/>
        </w:rPr>
        <w:t xml:space="preserve"> – Brechmitteleinsatz (Vorhersehbarkeit der Todesfolge);</w:t>
      </w:r>
      <w:r w:rsidRPr="00C32AFE">
        <w:rPr>
          <w:rFonts w:ascii="Times New Roman" w:hAnsi="Times New Roman"/>
          <w:spacing w:val="-2"/>
          <w:sz w:val="15"/>
          <w:szCs w:val="15"/>
        </w:rPr>
        <w:t xml:space="preserve"> </w:t>
      </w:r>
      <w:r w:rsidRPr="00C32AFE">
        <w:rPr>
          <w:rFonts w:ascii="Times New Roman" w:hAnsi="Times New Roman"/>
          <w:b/>
          <w:sz w:val="15"/>
          <w:szCs w:val="15"/>
          <w:lang w:bidi="x-none"/>
        </w:rPr>
        <w:t>OLG Bamberg NJW 2009, 2146</w:t>
      </w:r>
      <w:r w:rsidRPr="00C32AFE">
        <w:rPr>
          <w:rFonts w:ascii="Times New Roman" w:hAnsi="Times New Roman"/>
          <w:sz w:val="15"/>
          <w:szCs w:val="15"/>
          <w:lang w:bidi="x-none"/>
        </w:rPr>
        <w:t xml:space="preserve"> – </w:t>
      </w:r>
      <w:r w:rsidRPr="00C32AFE">
        <w:rPr>
          <w:rFonts w:ascii="Times New Roman" w:hAnsi="Times New Roman"/>
          <w:spacing w:val="-2"/>
          <w:sz w:val="15"/>
          <w:szCs w:val="15"/>
        </w:rPr>
        <w:t xml:space="preserve">Richtervorbehalt (Verwertungsverbot nur bei gezielter und willkürlicher Umgehung); </w:t>
      </w:r>
      <w:r w:rsidRPr="00C32AFE">
        <w:rPr>
          <w:rFonts w:ascii="Times New Roman" w:hAnsi="Times New Roman"/>
          <w:b/>
          <w:spacing w:val="-2"/>
          <w:sz w:val="15"/>
          <w:szCs w:val="15"/>
        </w:rPr>
        <w:t>OLG Dresden NJW 2001, 3643</w:t>
      </w:r>
      <w:r w:rsidRPr="00C32AFE">
        <w:rPr>
          <w:rFonts w:ascii="Times New Roman" w:hAnsi="Times New Roman"/>
          <w:spacing w:val="-2"/>
          <w:sz w:val="15"/>
          <w:szCs w:val="15"/>
        </w:rPr>
        <w:t xml:space="preserve"> – Blutentnahme (zwangsweise Verbringung ins Krankenhaus); </w:t>
      </w:r>
      <w:r w:rsidRPr="00C32AFE">
        <w:rPr>
          <w:rFonts w:ascii="Times New Roman" w:hAnsi="Times New Roman"/>
          <w:b/>
          <w:spacing w:val="-2"/>
          <w:sz w:val="15"/>
          <w:szCs w:val="15"/>
        </w:rPr>
        <w:t>OLG Frankfurt NJW 1997, 1647</w:t>
      </w:r>
      <w:r w:rsidRPr="00C32AFE">
        <w:rPr>
          <w:rFonts w:ascii="Times New Roman" w:hAnsi="Times New Roman"/>
          <w:spacing w:val="-2"/>
          <w:sz w:val="15"/>
          <w:szCs w:val="15"/>
        </w:rPr>
        <w:t xml:space="preserve"> – Brechmittel (Verstoß gegen Menschenwürde und </w:t>
      </w:r>
      <w:proofErr w:type="spellStart"/>
      <w:r w:rsidRPr="00C32AFE">
        <w:rPr>
          <w:rFonts w:ascii="Times New Roman" w:hAnsi="Times New Roman"/>
          <w:spacing w:val="-2"/>
          <w:sz w:val="15"/>
          <w:szCs w:val="15"/>
        </w:rPr>
        <w:t>nemo</w:t>
      </w:r>
      <w:proofErr w:type="spellEnd"/>
      <w:r w:rsidRPr="00C32AFE">
        <w:rPr>
          <w:rFonts w:ascii="Times New Roman" w:hAnsi="Times New Roman"/>
          <w:spacing w:val="-2"/>
          <w:sz w:val="15"/>
          <w:szCs w:val="15"/>
        </w:rPr>
        <w:t xml:space="preserve">-tenetur); </w:t>
      </w:r>
      <w:r w:rsidRPr="00C32AFE">
        <w:rPr>
          <w:rFonts w:ascii="Times New Roman" w:hAnsi="Times New Roman"/>
          <w:b/>
          <w:spacing w:val="-2"/>
          <w:sz w:val="15"/>
          <w:szCs w:val="15"/>
        </w:rPr>
        <w:t>OLG Hamburg NJW 2008, 2597</w:t>
      </w:r>
      <w:r w:rsidRPr="00C32AFE">
        <w:rPr>
          <w:rFonts w:ascii="Times New Roman" w:hAnsi="Times New Roman"/>
          <w:spacing w:val="-2"/>
          <w:sz w:val="15"/>
          <w:szCs w:val="15"/>
        </w:rPr>
        <w:t xml:space="preserve"> – Blutentnahme (Gefahr im Verzug, Anordnung durch die Polizeibeamten)</w:t>
      </w:r>
      <w:r w:rsidR="002A6ED4" w:rsidRPr="00C32AFE">
        <w:rPr>
          <w:rFonts w:ascii="Times New Roman" w:hAnsi="Times New Roman"/>
          <w:spacing w:val="-2"/>
          <w:sz w:val="15"/>
          <w:szCs w:val="15"/>
        </w:rPr>
        <w:t>;</w:t>
      </w:r>
      <w:r w:rsidR="00BD7C4B" w:rsidRPr="00C32AFE">
        <w:rPr>
          <w:rFonts w:ascii="Times New Roman" w:hAnsi="Times New Roman"/>
          <w:b/>
          <w:spacing w:val="-2"/>
          <w:sz w:val="15"/>
          <w:szCs w:val="15"/>
        </w:rPr>
        <w:t xml:space="preserve"> KG StV 2002, 122 </w:t>
      </w:r>
      <w:r w:rsidR="00BD7C4B" w:rsidRPr="00C32AFE">
        <w:rPr>
          <w:rFonts w:ascii="Times New Roman" w:hAnsi="Times New Roman"/>
          <w:spacing w:val="-2"/>
          <w:sz w:val="15"/>
          <w:szCs w:val="15"/>
        </w:rPr>
        <w:t>– Brechmittel (Zulässigkeit nach § 81a StPO);</w:t>
      </w:r>
      <w:r w:rsidR="00BD7C4B" w:rsidRPr="00C32AFE">
        <w:rPr>
          <w:rFonts w:ascii="Times New Roman" w:hAnsi="Times New Roman"/>
          <w:b/>
          <w:bCs/>
          <w:spacing w:val="-2"/>
          <w:sz w:val="15"/>
          <w:szCs w:val="15"/>
        </w:rPr>
        <w:t xml:space="preserve"> </w:t>
      </w:r>
      <w:r w:rsidR="002A6ED4" w:rsidRPr="00C32AFE">
        <w:rPr>
          <w:rFonts w:ascii="Times New Roman" w:hAnsi="Times New Roman"/>
          <w:b/>
          <w:spacing w:val="-2"/>
          <w:sz w:val="15"/>
          <w:szCs w:val="15"/>
        </w:rPr>
        <w:t>KG</w:t>
      </w:r>
      <w:r w:rsidR="009E2CF6" w:rsidRPr="00C32AFE">
        <w:rPr>
          <w:rFonts w:ascii="Times New Roman" w:hAnsi="Times New Roman"/>
          <w:b/>
          <w:spacing w:val="-2"/>
          <w:sz w:val="15"/>
          <w:szCs w:val="15"/>
        </w:rPr>
        <w:t xml:space="preserve"> </w:t>
      </w:r>
      <w:r w:rsidR="00033042" w:rsidRPr="00C32AFE">
        <w:rPr>
          <w:rFonts w:ascii="Times New Roman" w:hAnsi="Times New Roman"/>
          <w:b/>
          <w:spacing w:val="-2"/>
          <w:sz w:val="15"/>
          <w:szCs w:val="15"/>
        </w:rPr>
        <w:t>NStZ-RR 2015, 25</w:t>
      </w:r>
      <w:r w:rsidR="00033042" w:rsidRPr="00C32AFE">
        <w:rPr>
          <w:rFonts w:ascii="Times New Roman" w:hAnsi="Times New Roman"/>
          <w:spacing w:val="-2"/>
          <w:sz w:val="15"/>
          <w:szCs w:val="15"/>
        </w:rPr>
        <w:t xml:space="preserve"> -</w:t>
      </w:r>
      <w:r w:rsidR="002A6ED4" w:rsidRPr="00C32AFE">
        <w:rPr>
          <w:rFonts w:ascii="Times New Roman" w:hAnsi="Times New Roman"/>
          <w:spacing w:val="-2"/>
          <w:sz w:val="15"/>
          <w:szCs w:val="15"/>
        </w:rPr>
        <w:t xml:space="preserve"> Blutentnahme (</w:t>
      </w:r>
      <w:r w:rsidR="00C354D6" w:rsidRPr="00C32AFE">
        <w:rPr>
          <w:rFonts w:ascii="Times New Roman" w:hAnsi="Times New Roman"/>
          <w:spacing w:val="-2"/>
          <w:sz w:val="15"/>
          <w:szCs w:val="15"/>
        </w:rPr>
        <w:t xml:space="preserve">Anforderungen an die </w:t>
      </w:r>
      <w:r w:rsidR="002A6ED4" w:rsidRPr="00C32AFE">
        <w:rPr>
          <w:rFonts w:ascii="Times New Roman" w:hAnsi="Times New Roman"/>
          <w:spacing w:val="-2"/>
          <w:sz w:val="15"/>
          <w:szCs w:val="15"/>
        </w:rPr>
        <w:t>Einwilligungsfähigkeit)</w:t>
      </w:r>
      <w:r w:rsidR="00CE6C9C">
        <w:rPr>
          <w:rFonts w:ascii="Times New Roman" w:hAnsi="Times New Roman"/>
          <w:spacing w:val="-2"/>
          <w:sz w:val="15"/>
          <w:szCs w:val="15"/>
        </w:rPr>
        <w:t>.</w:t>
      </w:r>
    </w:p>
    <w:sectPr w:rsidR="003439A9" w:rsidRPr="00C32AFE" w:rsidSect="003439A9">
      <w:pgSz w:w="11906" w:h="16838"/>
      <w:pgMar w:top="567" w:right="624" w:bottom="397" w:left="1077"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92F7" w14:textId="77777777" w:rsidR="0073617E" w:rsidRDefault="0073617E">
      <w:pPr>
        <w:widowControl/>
        <w:spacing w:line="-20" w:lineRule="auto"/>
      </w:pPr>
    </w:p>
  </w:endnote>
  <w:endnote w:type="continuationSeparator" w:id="0">
    <w:p w14:paraId="3C3C938E" w14:textId="77777777" w:rsidR="0073617E" w:rsidRDefault="0073617E">
      <w:r>
        <w:t xml:space="preserve"> </w:t>
      </w:r>
    </w:p>
  </w:endnote>
  <w:endnote w:type="continuationNotice" w:id="1">
    <w:p w14:paraId="35AE0FBB" w14:textId="77777777" w:rsidR="0073617E" w:rsidRDefault="007361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FFE0" w14:textId="77777777" w:rsidR="0073617E" w:rsidRDefault="0073617E">
      <w:r>
        <w:separator/>
      </w:r>
    </w:p>
  </w:footnote>
  <w:footnote w:type="continuationSeparator" w:id="0">
    <w:p w14:paraId="07BFEA92" w14:textId="77777777" w:rsidR="0073617E" w:rsidRDefault="00736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4B00B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C78BE"/>
    <w:multiLevelType w:val="singleLevel"/>
    <w:tmpl w:val="BF5CCD7C"/>
    <w:lvl w:ilvl="0">
      <w:start w:val="2"/>
      <w:numFmt w:val="decimal"/>
      <w:lvlText w:val="%1."/>
      <w:lvlJc w:val="left"/>
      <w:pPr>
        <w:tabs>
          <w:tab w:val="num" w:pos="645"/>
        </w:tabs>
        <w:ind w:left="645" w:hanging="360"/>
      </w:pPr>
      <w:rPr>
        <w:rFonts w:hint="default"/>
      </w:rPr>
    </w:lvl>
  </w:abstractNum>
  <w:abstractNum w:abstractNumId="2" w15:restartNumberingAfterBreak="0">
    <w:nsid w:val="111A343A"/>
    <w:multiLevelType w:val="singleLevel"/>
    <w:tmpl w:val="81DC4B96"/>
    <w:lvl w:ilvl="0">
      <w:start w:val="4"/>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3" w15:restartNumberingAfterBreak="0">
    <w:nsid w:val="21A91AD6"/>
    <w:multiLevelType w:val="singleLevel"/>
    <w:tmpl w:val="C282A050"/>
    <w:lvl w:ilvl="0">
      <w:start w:val="1"/>
      <w:numFmt w:val="lowerLetter"/>
      <w:lvlText w:val="%1)"/>
      <w:legacy w:legacy="1" w:legacySpace="0" w:legacyIndent="283"/>
      <w:lvlJc w:val="left"/>
      <w:pPr>
        <w:ind w:left="709" w:hanging="283"/>
      </w:pPr>
      <w:rPr>
        <w:rFonts w:ascii="Times New Roman" w:eastAsia="Times New Roman" w:hAnsi="Times New Roman" w:cs="Times New Roman"/>
        <w:b w:val="0"/>
        <w:i w:val="0"/>
        <w:sz w:val="20"/>
        <w:u w:val="none"/>
      </w:rPr>
    </w:lvl>
  </w:abstractNum>
  <w:abstractNum w:abstractNumId="4" w15:restartNumberingAfterBreak="0">
    <w:nsid w:val="25ED24C0"/>
    <w:multiLevelType w:val="singleLevel"/>
    <w:tmpl w:val="4260E6B4"/>
    <w:lvl w:ilvl="0">
      <w:start w:val="5"/>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5" w15:restartNumberingAfterBreak="0">
    <w:nsid w:val="4FD146B7"/>
    <w:multiLevelType w:val="singleLevel"/>
    <w:tmpl w:val="3F18D0A6"/>
    <w:lvl w:ilvl="0">
      <w:start w:val="3"/>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6" w15:restartNumberingAfterBreak="0">
    <w:nsid w:val="52486AC5"/>
    <w:multiLevelType w:val="singleLevel"/>
    <w:tmpl w:val="712E5232"/>
    <w:lvl w:ilvl="0">
      <w:start w:val="1"/>
      <w:numFmt w:val="decimal"/>
      <w:lvlText w:val="%1. "/>
      <w:legacy w:legacy="1" w:legacySpace="0" w:legacyIndent="283"/>
      <w:lvlJc w:val="left"/>
      <w:pPr>
        <w:ind w:left="567" w:hanging="283"/>
      </w:pPr>
      <w:rPr>
        <w:rFonts w:ascii="Times New Roman" w:hAnsi="Times New Roman" w:cs="Times New Roman" w:hint="default"/>
        <w:b/>
        <w:i w:val="0"/>
        <w:sz w:val="20"/>
        <w:u w:val="none"/>
      </w:rPr>
    </w:lvl>
  </w:abstractNum>
  <w:abstractNum w:abstractNumId="7" w15:restartNumberingAfterBreak="0">
    <w:nsid w:val="570B7937"/>
    <w:multiLevelType w:val="singleLevel"/>
    <w:tmpl w:val="220EE028"/>
    <w:lvl w:ilvl="0">
      <w:start w:val="1"/>
      <w:numFmt w:val="decimal"/>
      <w:lvlText w:val="%1."/>
      <w:lvlJc w:val="left"/>
      <w:pPr>
        <w:tabs>
          <w:tab w:val="num" w:pos="646"/>
        </w:tabs>
        <w:ind w:left="646" w:hanging="360"/>
      </w:pPr>
      <w:rPr>
        <w:rFonts w:hint="default"/>
      </w:rPr>
    </w:lvl>
  </w:abstractNum>
  <w:abstractNum w:abstractNumId="8" w15:restartNumberingAfterBreak="0">
    <w:nsid w:val="6ADC5A5D"/>
    <w:multiLevelType w:val="singleLevel"/>
    <w:tmpl w:val="D7789D0E"/>
    <w:lvl w:ilvl="0">
      <w:start w:val="1"/>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abstractNum w:abstractNumId="9" w15:restartNumberingAfterBreak="0">
    <w:nsid w:val="73C64379"/>
    <w:multiLevelType w:val="singleLevel"/>
    <w:tmpl w:val="557E5D62"/>
    <w:lvl w:ilvl="0">
      <w:start w:val="2"/>
      <w:numFmt w:val="decimal"/>
      <w:lvlText w:val="%1."/>
      <w:lvlJc w:val="left"/>
      <w:pPr>
        <w:tabs>
          <w:tab w:val="num" w:pos="646"/>
        </w:tabs>
        <w:ind w:left="646" w:hanging="360"/>
      </w:pPr>
      <w:rPr>
        <w:rFonts w:hint="default"/>
        <w:b/>
      </w:rPr>
    </w:lvl>
  </w:abstractNum>
  <w:abstractNum w:abstractNumId="10" w15:restartNumberingAfterBreak="0">
    <w:nsid w:val="7DBF4BD1"/>
    <w:multiLevelType w:val="singleLevel"/>
    <w:tmpl w:val="9DF68026"/>
    <w:lvl w:ilvl="0">
      <w:start w:val="2"/>
      <w:numFmt w:val="upperRoman"/>
      <w:lvlText w:val="%1. "/>
      <w:legacy w:legacy="1" w:legacySpace="0" w:legacyIndent="283"/>
      <w:lvlJc w:val="left"/>
      <w:pPr>
        <w:ind w:left="283" w:hanging="283"/>
      </w:pPr>
      <w:rPr>
        <w:rFonts w:ascii="Times New Roman" w:hAnsi="Times New Roman" w:cs="Times New Roman" w:hint="default"/>
        <w:b/>
        <w:i w:val="0"/>
        <w:sz w:val="20"/>
        <w:u w:val="none"/>
      </w:rPr>
    </w:lvl>
  </w:abstractNum>
  <w:num w:numId="1" w16cid:durableId="836074487">
    <w:abstractNumId w:val="8"/>
  </w:num>
  <w:num w:numId="2" w16cid:durableId="1555001691">
    <w:abstractNumId w:val="10"/>
  </w:num>
  <w:num w:numId="3" w16cid:durableId="2007398862">
    <w:abstractNumId w:val="5"/>
  </w:num>
  <w:num w:numId="4" w16cid:durableId="1567565339">
    <w:abstractNumId w:val="2"/>
  </w:num>
  <w:num w:numId="5" w16cid:durableId="120150950">
    <w:abstractNumId w:val="4"/>
  </w:num>
  <w:num w:numId="6" w16cid:durableId="904493779">
    <w:abstractNumId w:val="3"/>
  </w:num>
  <w:num w:numId="7" w16cid:durableId="138109153">
    <w:abstractNumId w:val="6"/>
  </w:num>
  <w:num w:numId="8" w16cid:durableId="773357158">
    <w:abstractNumId w:val="7"/>
  </w:num>
  <w:num w:numId="9" w16cid:durableId="1127120629">
    <w:abstractNumId w:val="9"/>
  </w:num>
  <w:num w:numId="10" w16cid:durableId="1648824091">
    <w:abstractNumId w:val="1"/>
  </w:num>
  <w:num w:numId="11" w16cid:durableId="172799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trackRevisions/>
  <w:defaultTabStop w:val="284"/>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CA"/>
    <w:rsid w:val="000226B4"/>
    <w:rsid w:val="000302D4"/>
    <w:rsid w:val="00033042"/>
    <w:rsid w:val="00041AE3"/>
    <w:rsid w:val="000539B5"/>
    <w:rsid w:val="0006048B"/>
    <w:rsid w:val="000639FB"/>
    <w:rsid w:val="00076798"/>
    <w:rsid w:val="000A078A"/>
    <w:rsid w:val="000C5FB2"/>
    <w:rsid w:val="000F44E7"/>
    <w:rsid w:val="00122345"/>
    <w:rsid w:val="00133CA1"/>
    <w:rsid w:val="0013504A"/>
    <w:rsid w:val="00145A95"/>
    <w:rsid w:val="00153363"/>
    <w:rsid w:val="00154FE1"/>
    <w:rsid w:val="00162099"/>
    <w:rsid w:val="0017068D"/>
    <w:rsid w:val="00192A55"/>
    <w:rsid w:val="002016D5"/>
    <w:rsid w:val="00221AA8"/>
    <w:rsid w:val="002400E2"/>
    <w:rsid w:val="00241CEF"/>
    <w:rsid w:val="00253737"/>
    <w:rsid w:val="002721FF"/>
    <w:rsid w:val="00285027"/>
    <w:rsid w:val="00293544"/>
    <w:rsid w:val="002A305F"/>
    <w:rsid w:val="002A6ED4"/>
    <w:rsid w:val="002B0636"/>
    <w:rsid w:val="002B0F47"/>
    <w:rsid w:val="002C5914"/>
    <w:rsid w:val="002E0A57"/>
    <w:rsid w:val="002F6E1A"/>
    <w:rsid w:val="002F77F4"/>
    <w:rsid w:val="00304DA8"/>
    <w:rsid w:val="0030611C"/>
    <w:rsid w:val="003226CB"/>
    <w:rsid w:val="00323963"/>
    <w:rsid w:val="00325F82"/>
    <w:rsid w:val="00334802"/>
    <w:rsid w:val="003439A9"/>
    <w:rsid w:val="00351B57"/>
    <w:rsid w:val="00356E01"/>
    <w:rsid w:val="00370F24"/>
    <w:rsid w:val="00375065"/>
    <w:rsid w:val="003B4B0F"/>
    <w:rsid w:val="003C19DF"/>
    <w:rsid w:val="003E3B7D"/>
    <w:rsid w:val="00484334"/>
    <w:rsid w:val="00485A33"/>
    <w:rsid w:val="00486C3C"/>
    <w:rsid w:val="004976AF"/>
    <w:rsid w:val="004A7916"/>
    <w:rsid w:val="004C7C0C"/>
    <w:rsid w:val="004E5FDE"/>
    <w:rsid w:val="00547672"/>
    <w:rsid w:val="00560B74"/>
    <w:rsid w:val="0056489F"/>
    <w:rsid w:val="00595ACF"/>
    <w:rsid w:val="005B421A"/>
    <w:rsid w:val="005B5396"/>
    <w:rsid w:val="00627E2A"/>
    <w:rsid w:val="00631F20"/>
    <w:rsid w:val="00666829"/>
    <w:rsid w:val="00675548"/>
    <w:rsid w:val="0067595A"/>
    <w:rsid w:val="00680140"/>
    <w:rsid w:val="00680733"/>
    <w:rsid w:val="00680B69"/>
    <w:rsid w:val="006961CA"/>
    <w:rsid w:val="006E2A4E"/>
    <w:rsid w:val="00701B60"/>
    <w:rsid w:val="007216BC"/>
    <w:rsid w:val="0073617E"/>
    <w:rsid w:val="0077253F"/>
    <w:rsid w:val="00783C39"/>
    <w:rsid w:val="00784045"/>
    <w:rsid w:val="007A7B13"/>
    <w:rsid w:val="007D05C3"/>
    <w:rsid w:val="007E1DF9"/>
    <w:rsid w:val="007F5F73"/>
    <w:rsid w:val="00803EF6"/>
    <w:rsid w:val="008139D9"/>
    <w:rsid w:val="00817D11"/>
    <w:rsid w:val="00840D40"/>
    <w:rsid w:val="00847307"/>
    <w:rsid w:val="008711BE"/>
    <w:rsid w:val="008776D7"/>
    <w:rsid w:val="00890423"/>
    <w:rsid w:val="008934D3"/>
    <w:rsid w:val="00894C40"/>
    <w:rsid w:val="008B295D"/>
    <w:rsid w:val="008E2C38"/>
    <w:rsid w:val="008F0E8D"/>
    <w:rsid w:val="0095578B"/>
    <w:rsid w:val="009A58D3"/>
    <w:rsid w:val="009B6C6E"/>
    <w:rsid w:val="009D25FD"/>
    <w:rsid w:val="009D2B62"/>
    <w:rsid w:val="009D395C"/>
    <w:rsid w:val="009E2CF6"/>
    <w:rsid w:val="00A33345"/>
    <w:rsid w:val="00A6189F"/>
    <w:rsid w:val="00A67318"/>
    <w:rsid w:val="00A74075"/>
    <w:rsid w:val="00AC306F"/>
    <w:rsid w:val="00AE1EAB"/>
    <w:rsid w:val="00B42B2C"/>
    <w:rsid w:val="00B54565"/>
    <w:rsid w:val="00B65944"/>
    <w:rsid w:val="00B81346"/>
    <w:rsid w:val="00BA0A5C"/>
    <w:rsid w:val="00BD029C"/>
    <w:rsid w:val="00BD7C4B"/>
    <w:rsid w:val="00BE3783"/>
    <w:rsid w:val="00BF3B90"/>
    <w:rsid w:val="00BF3D0F"/>
    <w:rsid w:val="00C20884"/>
    <w:rsid w:val="00C32AFE"/>
    <w:rsid w:val="00C354D6"/>
    <w:rsid w:val="00C502CC"/>
    <w:rsid w:val="00C5724C"/>
    <w:rsid w:val="00C633BD"/>
    <w:rsid w:val="00C63B65"/>
    <w:rsid w:val="00C840FA"/>
    <w:rsid w:val="00C84C1D"/>
    <w:rsid w:val="00CC04A5"/>
    <w:rsid w:val="00CE6C9C"/>
    <w:rsid w:val="00CE7169"/>
    <w:rsid w:val="00CF0329"/>
    <w:rsid w:val="00D10405"/>
    <w:rsid w:val="00D2211B"/>
    <w:rsid w:val="00D235C3"/>
    <w:rsid w:val="00D5332B"/>
    <w:rsid w:val="00D55D9C"/>
    <w:rsid w:val="00D5719B"/>
    <w:rsid w:val="00D75D01"/>
    <w:rsid w:val="00D77A7D"/>
    <w:rsid w:val="00D97F2C"/>
    <w:rsid w:val="00DA1067"/>
    <w:rsid w:val="00DB5DF6"/>
    <w:rsid w:val="00DD0A31"/>
    <w:rsid w:val="00DE0833"/>
    <w:rsid w:val="00DE19BD"/>
    <w:rsid w:val="00E361FA"/>
    <w:rsid w:val="00E37525"/>
    <w:rsid w:val="00E7236F"/>
    <w:rsid w:val="00E956CC"/>
    <w:rsid w:val="00E97D67"/>
    <w:rsid w:val="00EC7D87"/>
    <w:rsid w:val="00F04CE5"/>
    <w:rsid w:val="00F075C1"/>
    <w:rsid w:val="00F342A8"/>
    <w:rsid w:val="00F43AF4"/>
    <w:rsid w:val="00F55380"/>
    <w:rsid w:val="00F63EC9"/>
    <w:rsid w:val="00F70F49"/>
    <w:rsid w:val="00F825E5"/>
    <w:rsid w:val="00F851A8"/>
    <w:rsid w:val="00F87D4D"/>
    <w:rsid w:val="00F9626E"/>
    <w:rsid w:val="00FA3433"/>
    <w:rsid w:val="00FB6229"/>
    <w:rsid w:val="00FD016B"/>
    <w:rsid w:val="00FD182A"/>
    <w:rsid w:val="00FD76CA"/>
    <w:rsid w:val="00FE7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880AC0"/>
  <w15:chartTrackingRefBased/>
  <w15:docId w15:val="{0FA6486C-A2A1-4237-920F-87C64A67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29C"/>
    <w:pPr>
      <w:widowControl w:val="0"/>
      <w:overflowPunct w:val="0"/>
      <w:autoSpaceDE w:val="0"/>
      <w:autoSpaceDN w:val="0"/>
      <w:adjustRightInd w:val="0"/>
      <w:textAlignment w:val="baseline"/>
    </w:pPr>
    <w:rPr>
      <w:rFonts w:ascii="Dutch Roman 12pt" w:hAnsi="Dutch Roman 12p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8710F7"/>
    <w:rPr>
      <w:rFonts w:ascii="Tahoma" w:hAnsi="Tahoma" w:cs="Tahoma"/>
      <w:sz w:val="16"/>
      <w:szCs w:val="16"/>
    </w:rPr>
  </w:style>
  <w:style w:type="character" w:styleId="Kommentarzeichen">
    <w:name w:val="annotation reference"/>
    <w:uiPriority w:val="99"/>
    <w:semiHidden/>
    <w:unhideWhenUsed/>
    <w:rsid w:val="00CC04A5"/>
    <w:rPr>
      <w:sz w:val="18"/>
      <w:szCs w:val="18"/>
    </w:rPr>
  </w:style>
  <w:style w:type="paragraph" w:styleId="Kommentartext">
    <w:name w:val="annotation text"/>
    <w:basedOn w:val="Standard"/>
    <w:link w:val="KommentartextZchn"/>
    <w:uiPriority w:val="99"/>
    <w:semiHidden/>
    <w:unhideWhenUsed/>
    <w:rsid w:val="00CC04A5"/>
    <w:rPr>
      <w:szCs w:val="24"/>
    </w:rPr>
  </w:style>
  <w:style w:type="character" w:customStyle="1" w:styleId="KommentartextZchn">
    <w:name w:val="Kommentartext Zchn"/>
    <w:link w:val="Kommentartext"/>
    <w:uiPriority w:val="99"/>
    <w:semiHidden/>
    <w:rsid w:val="00CC04A5"/>
    <w:rPr>
      <w:rFonts w:ascii="Dutch Roman 12pt" w:hAnsi="Dutch Roman 12pt"/>
      <w:sz w:val="24"/>
      <w:szCs w:val="24"/>
    </w:rPr>
  </w:style>
  <w:style w:type="paragraph" w:styleId="Kommentarthema">
    <w:name w:val="annotation subject"/>
    <w:basedOn w:val="Kommentartext"/>
    <w:next w:val="Kommentartext"/>
    <w:link w:val="KommentarthemaZchn"/>
    <w:uiPriority w:val="99"/>
    <w:semiHidden/>
    <w:unhideWhenUsed/>
    <w:rsid w:val="00CC04A5"/>
    <w:rPr>
      <w:b/>
      <w:bCs/>
      <w:sz w:val="20"/>
      <w:szCs w:val="20"/>
    </w:rPr>
  </w:style>
  <w:style w:type="character" w:customStyle="1" w:styleId="KommentarthemaZchn">
    <w:name w:val="Kommentarthema Zchn"/>
    <w:link w:val="Kommentarthema"/>
    <w:uiPriority w:val="99"/>
    <w:semiHidden/>
    <w:rsid w:val="00CC04A5"/>
    <w:rPr>
      <w:rFonts w:ascii="Dutch Roman 12pt" w:hAnsi="Dutch Roman 12pt"/>
      <w:b/>
      <w:bCs/>
      <w:sz w:val="24"/>
      <w:szCs w:val="24"/>
    </w:rPr>
  </w:style>
  <w:style w:type="paragraph" w:customStyle="1" w:styleId="FarbigeSchattierung-Akzent11">
    <w:name w:val="Farbige Schattierung - Akzent 11"/>
    <w:hidden/>
    <w:uiPriority w:val="71"/>
    <w:rsid w:val="00BD029C"/>
    <w:rPr>
      <w:rFonts w:ascii="Dutch Roman 12pt" w:hAnsi="Dutch Roman 12pt"/>
      <w:sz w:val="24"/>
    </w:rPr>
  </w:style>
  <w:style w:type="paragraph" w:styleId="berarbeitung">
    <w:name w:val="Revision"/>
    <w:hidden/>
    <w:uiPriority w:val="71"/>
    <w:rsid w:val="009D395C"/>
    <w:rPr>
      <w:rFonts w:ascii="Dutch Roman 12pt" w:hAnsi="Dutch Roman 12pt"/>
      <w:sz w:val="24"/>
    </w:rPr>
  </w:style>
  <w:style w:type="character" w:customStyle="1" w:styleId="Betonungkursiv">
    <w:name w:val="Betonung kursiv"/>
    <w:rsid w:val="009D395C"/>
    <w:rPr>
      <w:i/>
      <w:color w:val="339966"/>
    </w:rPr>
  </w:style>
  <w:style w:type="paragraph" w:styleId="Listenabsatz">
    <w:name w:val="List Paragraph"/>
    <w:basedOn w:val="Standard"/>
    <w:uiPriority w:val="72"/>
    <w:qFormat/>
    <w:rsid w:val="00154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126FC-2F21-437D-9239-F9F6A0D1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906</Words>
  <Characters>5712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dc:description/>
  <cp:lastModifiedBy>Judith Schult</cp:lastModifiedBy>
  <cp:revision>2</cp:revision>
  <cp:lastPrinted>2019-07-03T11:03:00Z</cp:lastPrinted>
  <dcterms:created xsi:type="dcterms:W3CDTF">2024-10-09T14:34:00Z</dcterms:created>
  <dcterms:modified xsi:type="dcterms:W3CDTF">2024-10-09T14:34:00Z</dcterms:modified>
</cp:coreProperties>
</file>