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3782" w14:textId="74E0C537" w:rsidR="00532F61" w:rsidRDefault="00532F61">
      <w:pPr>
        <w:tabs>
          <w:tab w:val="right" w:pos="10206"/>
        </w:tabs>
        <w:jc w:val="both"/>
        <w:rPr>
          <w:b/>
          <w:spacing w:val="-3"/>
        </w:rPr>
      </w:pPr>
      <w:r>
        <w:rPr>
          <w:b/>
          <w:spacing w:val="-3"/>
        </w:rPr>
        <w:t xml:space="preserve">Prof. Dr. </w:t>
      </w:r>
      <w:r w:rsidR="000D4FAF">
        <w:rPr>
          <w:b/>
          <w:spacing w:val="-3"/>
        </w:rPr>
        <w:t xml:space="preserve">Dr. h.c. </w:t>
      </w:r>
      <w:r>
        <w:rPr>
          <w:b/>
          <w:spacing w:val="-3"/>
        </w:rPr>
        <w:t>Bernd Heinrich/</w:t>
      </w:r>
      <w:r w:rsidR="00967A29">
        <w:rPr>
          <w:b/>
          <w:spacing w:val="-3"/>
        </w:rPr>
        <w:t>Pr</w:t>
      </w:r>
      <w:r w:rsidR="003A7F03">
        <w:rPr>
          <w:b/>
          <w:spacing w:val="-3"/>
        </w:rPr>
        <w:t>of</w:t>
      </w:r>
      <w:r w:rsidR="00967A29">
        <w:rPr>
          <w:b/>
          <w:spacing w:val="-3"/>
        </w:rPr>
        <w:t xml:space="preserve">. </w:t>
      </w:r>
      <w:r>
        <w:rPr>
          <w:b/>
          <w:spacing w:val="-3"/>
        </w:rPr>
        <w:t>Dr. Tobias Reinbacher</w:t>
      </w:r>
      <w:r>
        <w:rPr>
          <w:b/>
          <w:spacing w:val="-3"/>
        </w:rPr>
        <w:tab/>
        <w:t xml:space="preserve">Stand: 1. </w:t>
      </w:r>
      <w:r w:rsidR="00330D91">
        <w:rPr>
          <w:b/>
          <w:spacing w:val="-3"/>
        </w:rPr>
        <w:t>Oktober</w:t>
      </w:r>
      <w:r w:rsidR="005952F0">
        <w:rPr>
          <w:b/>
          <w:spacing w:val="-3"/>
        </w:rPr>
        <w:t xml:space="preserve"> </w:t>
      </w:r>
      <w:r w:rsidR="009C5C6A">
        <w:rPr>
          <w:b/>
          <w:spacing w:val="-3"/>
        </w:rPr>
        <w:t>20</w:t>
      </w:r>
      <w:r w:rsidR="00C81977">
        <w:rPr>
          <w:b/>
          <w:spacing w:val="-3"/>
        </w:rPr>
        <w:t>2</w:t>
      </w:r>
      <w:r w:rsidR="009B5BF2">
        <w:rPr>
          <w:b/>
          <w:spacing w:val="-3"/>
        </w:rPr>
        <w:t>4</w:t>
      </w:r>
    </w:p>
    <w:p w14:paraId="740F2641" w14:textId="77777777" w:rsidR="00532F61" w:rsidRDefault="00532F61">
      <w:pPr>
        <w:tabs>
          <w:tab w:val="left" w:pos="-720"/>
        </w:tabs>
        <w:jc w:val="both"/>
        <w:rPr>
          <w:spacing w:val="-3"/>
        </w:rPr>
      </w:pPr>
    </w:p>
    <w:p w14:paraId="043B7604" w14:textId="7B418610" w:rsidR="00532F61" w:rsidRDefault="00532F61" w:rsidP="00532F6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9B5BF2">
        <w:rPr>
          <w:b/>
          <w:spacing w:val="-3"/>
        </w:rPr>
        <w:t> </w:t>
      </w:r>
      <w:r>
        <w:rPr>
          <w:b/>
          <w:spacing w:val="-3"/>
        </w:rPr>
        <w:t>20</w:t>
      </w:r>
    </w:p>
    <w:p w14:paraId="782B283A" w14:textId="58D652E0" w:rsidR="00532F61" w:rsidRPr="002F1EC9" w:rsidRDefault="00532F61" w:rsidP="00532F6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2F1EC9">
        <w:rPr>
          <w:b/>
          <w:spacing w:val="-7"/>
          <w:sz w:val="52"/>
          <w:szCs w:val="52"/>
        </w:rPr>
        <w:t>Einsatz technischer Mittel</w:t>
      </w:r>
      <w:r w:rsidR="00311CE5">
        <w:rPr>
          <w:b/>
          <w:spacing w:val="-7"/>
          <w:sz w:val="52"/>
          <w:szCs w:val="52"/>
        </w:rPr>
        <w:t>,</w:t>
      </w:r>
    </w:p>
    <w:p w14:paraId="2AB342CA" w14:textId="77777777" w:rsidR="00532F61" w:rsidRPr="002F1EC9" w:rsidRDefault="00532F61" w:rsidP="00532F6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2F1EC9">
        <w:rPr>
          <w:b/>
          <w:spacing w:val="-7"/>
          <w:sz w:val="52"/>
          <w:szCs w:val="52"/>
        </w:rPr>
        <w:t>§§ </w:t>
      </w:r>
      <w:r w:rsidR="008740C2" w:rsidRPr="002F1EC9">
        <w:rPr>
          <w:b/>
          <w:spacing w:val="-7"/>
          <w:sz w:val="52"/>
          <w:szCs w:val="52"/>
        </w:rPr>
        <w:t>100</w:t>
      </w:r>
      <w:r w:rsidR="005F07DB">
        <w:rPr>
          <w:b/>
          <w:spacing w:val="-7"/>
          <w:sz w:val="52"/>
          <w:szCs w:val="52"/>
        </w:rPr>
        <w:t>c</w:t>
      </w:r>
      <w:r w:rsidRPr="002F1EC9">
        <w:rPr>
          <w:b/>
          <w:spacing w:val="-7"/>
          <w:sz w:val="52"/>
          <w:szCs w:val="52"/>
        </w:rPr>
        <w:t>-100f, 100h StPO</w:t>
      </w:r>
    </w:p>
    <w:p w14:paraId="3A1613D4" w14:textId="77777777" w:rsidR="00532F61" w:rsidRDefault="00532F61">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36680C">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7114E2">
        <w:rPr>
          <w:rFonts w:ascii="Times New Roman" w:hAnsi="Times New Roman"/>
          <w:noProof/>
          <w:vanish/>
          <w:spacing w:val="-7"/>
          <w:sz w:val="60"/>
        </w:rPr>
        <w:t>1</w:t>
      </w:r>
      <w:r>
        <w:rPr>
          <w:rFonts w:ascii="Times New Roman" w:hAnsi="Times New Roman"/>
          <w:vanish/>
          <w:spacing w:val="-7"/>
          <w:sz w:val="60"/>
        </w:rPr>
        <w:fldChar w:fldCharType="end"/>
      </w:r>
    </w:p>
    <w:p w14:paraId="7C037AB0" w14:textId="530EC391" w:rsidR="00532F61" w:rsidRDefault="00532F61" w:rsidP="00973F72">
      <w:pPr>
        <w:widowControl/>
        <w:tabs>
          <w:tab w:val="left" w:pos="-720"/>
          <w:tab w:val="left" w:pos="288"/>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5952F0">
        <w:rPr>
          <w:rFonts w:ascii="Times New Roman" w:hAnsi="Times New Roman"/>
          <w:b/>
          <w:spacing w:val="-2"/>
          <w:sz w:val="16"/>
          <w:szCs w:val="16"/>
        </w:rPr>
        <w:t xml:space="preserve">I. </w:t>
      </w:r>
      <w:r w:rsidRPr="005952F0">
        <w:rPr>
          <w:rFonts w:ascii="Times New Roman" w:hAnsi="Times New Roman"/>
          <w:b/>
          <w:spacing w:val="-2"/>
          <w:sz w:val="16"/>
          <w:szCs w:val="16"/>
        </w:rPr>
        <w:tab/>
        <w:t>Allgemeines</w:t>
      </w:r>
      <w:r w:rsidRPr="005952F0">
        <w:rPr>
          <w:rFonts w:ascii="Times New Roman" w:hAnsi="Times New Roman"/>
          <w:spacing w:val="-2"/>
          <w:sz w:val="16"/>
          <w:szCs w:val="16"/>
        </w:rPr>
        <w:t xml:space="preserve">: Die Zulässigkeit des Einsatzes </w:t>
      </w:r>
      <w:r w:rsidR="00F5796B">
        <w:rPr>
          <w:rFonts w:ascii="Times New Roman" w:hAnsi="Times New Roman"/>
          <w:spacing w:val="-2"/>
          <w:sz w:val="16"/>
          <w:szCs w:val="16"/>
        </w:rPr>
        <w:t xml:space="preserve">(weiterer) </w:t>
      </w:r>
      <w:r w:rsidRPr="005952F0">
        <w:rPr>
          <w:rFonts w:ascii="Times New Roman" w:hAnsi="Times New Roman"/>
          <w:spacing w:val="-2"/>
          <w:sz w:val="16"/>
          <w:szCs w:val="16"/>
        </w:rPr>
        <w:t>technischer Mittel bestimmt sich nach den §§</w:t>
      </w:r>
      <w:r w:rsidR="009B5BF2">
        <w:rPr>
          <w:rFonts w:ascii="Times New Roman" w:hAnsi="Times New Roman"/>
          <w:spacing w:val="-2"/>
          <w:sz w:val="16"/>
          <w:szCs w:val="16"/>
        </w:rPr>
        <w:t> </w:t>
      </w:r>
      <w:r w:rsidR="005F07DB">
        <w:rPr>
          <w:rFonts w:ascii="Times New Roman" w:hAnsi="Times New Roman"/>
          <w:spacing w:val="-2"/>
          <w:sz w:val="16"/>
          <w:szCs w:val="16"/>
        </w:rPr>
        <w:t>100c</w:t>
      </w:r>
      <w:r w:rsidRPr="005952F0">
        <w:rPr>
          <w:rFonts w:ascii="Times New Roman" w:hAnsi="Times New Roman"/>
          <w:spacing w:val="-2"/>
          <w:sz w:val="16"/>
          <w:szCs w:val="16"/>
        </w:rPr>
        <w:t>-100f und §</w:t>
      </w:r>
      <w:r w:rsidR="009B5BF2">
        <w:rPr>
          <w:rFonts w:ascii="Times New Roman" w:hAnsi="Times New Roman"/>
          <w:spacing w:val="-2"/>
          <w:sz w:val="16"/>
          <w:szCs w:val="16"/>
        </w:rPr>
        <w:t> </w:t>
      </w:r>
      <w:r w:rsidRPr="005952F0">
        <w:rPr>
          <w:rFonts w:ascii="Times New Roman" w:hAnsi="Times New Roman"/>
          <w:spacing w:val="-2"/>
          <w:sz w:val="16"/>
          <w:szCs w:val="16"/>
        </w:rPr>
        <w:t>100h StPO. E</w:t>
      </w:r>
      <w:r w:rsidR="009D5ABA" w:rsidRPr="005952F0">
        <w:rPr>
          <w:rFonts w:ascii="Times New Roman" w:hAnsi="Times New Roman"/>
          <w:spacing w:val="-2"/>
          <w:sz w:val="16"/>
          <w:szCs w:val="16"/>
        </w:rPr>
        <w:t>in solcher</w:t>
      </w:r>
      <w:r w:rsidRPr="005952F0">
        <w:rPr>
          <w:rFonts w:ascii="Times New Roman" w:hAnsi="Times New Roman"/>
          <w:spacing w:val="-2"/>
          <w:sz w:val="16"/>
          <w:szCs w:val="16"/>
        </w:rPr>
        <w:t xml:space="preserve"> ist in mehreren Formen denkbar (vgl. unten II). Die Vorschriften stellen </w:t>
      </w:r>
      <w:r w:rsidRPr="005952F0">
        <w:rPr>
          <w:rFonts w:ascii="Times New Roman" w:hAnsi="Times New Roman"/>
          <w:b/>
          <w:spacing w:val="-2"/>
          <w:sz w:val="16"/>
          <w:szCs w:val="16"/>
        </w:rPr>
        <w:t>strafprozessuale Zwangsmaßnahmen</w:t>
      </w:r>
      <w:r w:rsidRPr="005952F0">
        <w:rPr>
          <w:rFonts w:ascii="Times New Roman" w:hAnsi="Times New Roman"/>
          <w:spacing w:val="-2"/>
          <w:sz w:val="16"/>
          <w:szCs w:val="16"/>
        </w:rPr>
        <w:t xml:space="preserve"> (vgl. Arbeitsblatt Nr.</w:t>
      </w:r>
      <w:r w:rsidR="009D5ABA" w:rsidRPr="005952F0">
        <w:rPr>
          <w:rFonts w:ascii="Times New Roman" w:hAnsi="Times New Roman"/>
          <w:spacing w:val="-2"/>
          <w:sz w:val="16"/>
          <w:szCs w:val="16"/>
        </w:rPr>
        <w:t> 12</w:t>
      </w:r>
      <w:r w:rsidRPr="005952F0">
        <w:rPr>
          <w:rFonts w:ascii="Times New Roman" w:hAnsi="Times New Roman"/>
          <w:spacing w:val="-2"/>
          <w:sz w:val="16"/>
          <w:szCs w:val="16"/>
        </w:rPr>
        <w:t>) dar. Sie sind regelmäßig mit einem Grundrechtseingriff verbunden, weswegen besondere Anforderungen an die gesetzliche Ermächtigungsgrundlage zu stellen sind. Bei allen genannten Maßnahmen ist zu unterscheiden, ob sie sich gegen den Beschuldigten oder gegen Dritte richten (dann gelten durchweg engere Voraussetzungen).</w:t>
      </w:r>
    </w:p>
    <w:p w14:paraId="37782CEB" w14:textId="77777777" w:rsidR="00973F72" w:rsidRPr="005952F0" w:rsidRDefault="00973F72" w:rsidP="00BC55AC">
      <w:pPr>
        <w:widowControl/>
        <w:tabs>
          <w:tab w:val="left" w:pos="-720"/>
          <w:tab w:val="left" w:pos="288"/>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p>
    <w:p w14:paraId="2C86A780" w14:textId="5EED2DC8" w:rsidR="00532F61" w:rsidRPr="005952F0" w:rsidRDefault="00532F61" w:rsidP="00BC55AC">
      <w:pPr>
        <w:widowControl/>
        <w:tabs>
          <w:tab w:val="left" w:pos="-720"/>
          <w:tab w:val="left" w:pos="0"/>
          <w:tab w:val="left" w:pos="288"/>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6"/>
          <w:szCs w:val="16"/>
        </w:rPr>
      </w:pPr>
      <w:r w:rsidRPr="005952F0">
        <w:rPr>
          <w:rFonts w:ascii="Times New Roman" w:hAnsi="Times New Roman"/>
          <w:b/>
          <w:spacing w:val="-2"/>
          <w:sz w:val="16"/>
          <w:szCs w:val="16"/>
        </w:rPr>
        <w:t xml:space="preserve">II. </w:t>
      </w:r>
      <w:r w:rsidRPr="005952F0">
        <w:rPr>
          <w:rFonts w:ascii="Times New Roman" w:hAnsi="Times New Roman"/>
          <w:b/>
          <w:spacing w:val="-2"/>
          <w:sz w:val="16"/>
          <w:szCs w:val="16"/>
        </w:rPr>
        <w:tab/>
        <w:t>Einsatz technischer Mittel im Einzelnen, §§</w:t>
      </w:r>
      <w:r w:rsidR="009B5BF2">
        <w:rPr>
          <w:rFonts w:ascii="Times New Roman" w:hAnsi="Times New Roman"/>
          <w:b/>
          <w:spacing w:val="-2"/>
          <w:sz w:val="16"/>
          <w:szCs w:val="16"/>
        </w:rPr>
        <w:t> </w:t>
      </w:r>
      <w:r w:rsidR="008740C2" w:rsidRPr="005952F0">
        <w:rPr>
          <w:rFonts w:ascii="Times New Roman" w:hAnsi="Times New Roman"/>
          <w:b/>
          <w:spacing w:val="-2"/>
          <w:sz w:val="16"/>
          <w:szCs w:val="16"/>
        </w:rPr>
        <w:t>100</w:t>
      </w:r>
      <w:r w:rsidR="009B5BF2">
        <w:rPr>
          <w:rFonts w:ascii="Times New Roman" w:hAnsi="Times New Roman"/>
          <w:b/>
          <w:spacing w:val="-2"/>
          <w:sz w:val="16"/>
          <w:szCs w:val="16"/>
        </w:rPr>
        <w:t>c</w:t>
      </w:r>
      <w:r w:rsidRPr="005952F0">
        <w:rPr>
          <w:rFonts w:ascii="Times New Roman" w:hAnsi="Times New Roman"/>
          <w:b/>
          <w:spacing w:val="-2"/>
          <w:sz w:val="16"/>
          <w:szCs w:val="16"/>
        </w:rPr>
        <w:t>-100f, 100h StPO:</w:t>
      </w:r>
      <w:r w:rsidRPr="005952F0">
        <w:rPr>
          <w:rFonts w:ascii="Times New Roman" w:hAnsi="Times New Roman"/>
          <w:spacing w:val="-2"/>
          <w:sz w:val="16"/>
          <w:szCs w:val="16"/>
        </w:rPr>
        <w:t xml:space="preserve"> </w:t>
      </w:r>
    </w:p>
    <w:p w14:paraId="44D4B330" w14:textId="3C7D9418" w:rsidR="00532F61" w:rsidRPr="005952F0" w:rsidRDefault="008740C2" w:rsidP="00BC55AC">
      <w:pPr>
        <w:widowControl/>
        <w:tabs>
          <w:tab w:val="left" w:pos="-720"/>
          <w:tab w:val="left" w:pos="0"/>
          <w:tab w:val="left" w:pos="288"/>
          <w:tab w:val="left" w:pos="567"/>
          <w:tab w:val="left" w:pos="864"/>
          <w:tab w:val="left" w:pos="1116"/>
          <w:tab w:val="left" w:pos="1404"/>
          <w:tab w:val="left" w:pos="1692"/>
          <w:tab w:val="left" w:pos="1980"/>
          <w:tab w:val="left" w:pos="2268"/>
          <w:tab w:val="left" w:pos="2880"/>
        </w:tabs>
        <w:ind w:left="560" w:hanging="560"/>
        <w:jc w:val="both"/>
        <w:rPr>
          <w:rFonts w:ascii="Times New Roman" w:hAnsi="Times New Roman"/>
          <w:spacing w:val="-2"/>
          <w:sz w:val="16"/>
          <w:szCs w:val="16"/>
        </w:rPr>
      </w:pPr>
      <w:r w:rsidRPr="005952F0">
        <w:rPr>
          <w:rFonts w:ascii="Times New Roman" w:hAnsi="Times New Roman"/>
          <w:spacing w:val="-2"/>
          <w:sz w:val="16"/>
          <w:szCs w:val="16"/>
        </w:rPr>
        <w:tab/>
      </w:r>
      <w:r w:rsidR="005F07DB">
        <w:rPr>
          <w:rFonts w:ascii="Times New Roman" w:hAnsi="Times New Roman"/>
          <w:spacing w:val="-2"/>
          <w:sz w:val="16"/>
          <w:szCs w:val="16"/>
          <w:u w:val="single"/>
        </w:rPr>
        <w:t>1</w:t>
      </w:r>
      <w:r w:rsidR="00532F61" w:rsidRPr="00CE4F08">
        <w:rPr>
          <w:rFonts w:ascii="Times New Roman" w:hAnsi="Times New Roman"/>
          <w:spacing w:val="-2"/>
          <w:sz w:val="16"/>
          <w:szCs w:val="16"/>
          <w:u w:val="single"/>
        </w:rPr>
        <w:t xml:space="preserve">. </w:t>
      </w:r>
      <w:r w:rsidR="00532F61" w:rsidRPr="00CE4F08">
        <w:rPr>
          <w:rFonts w:ascii="Times New Roman" w:hAnsi="Times New Roman"/>
          <w:spacing w:val="-2"/>
          <w:sz w:val="16"/>
          <w:szCs w:val="16"/>
          <w:u w:val="single"/>
        </w:rPr>
        <w:tab/>
        <w:t>Der „große“ Lauschangriff</w:t>
      </w:r>
      <w:r w:rsidR="00532F61" w:rsidRPr="00CE4F08">
        <w:rPr>
          <w:rFonts w:ascii="Times New Roman" w:hAnsi="Times New Roman"/>
          <w:b/>
          <w:spacing w:val="-2"/>
          <w:sz w:val="16"/>
          <w:szCs w:val="16"/>
          <w:u w:val="single"/>
        </w:rPr>
        <w:t xml:space="preserve"> </w:t>
      </w:r>
      <w:r w:rsidR="00532F61" w:rsidRPr="005952F0">
        <w:rPr>
          <w:rFonts w:ascii="Times New Roman" w:hAnsi="Times New Roman"/>
          <w:spacing w:val="-2"/>
          <w:sz w:val="16"/>
          <w:szCs w:val="16"/>
          <w:u w:val="single"/>
        </w:rPr>
        <w:t>(</w:t>
      </w:r>
      <w:r w:rsidR="00532F61" w:rsidRPr="005952F0">
        <w:rPr>
          <w:rFonts w:ascii="Times New Roman" w:hAnsi="Times New Roman"/>
          <w:b/>
          <w:spacing w:val="-2"/>
          <w:sz w:val="16"/>
          <w:szCs w:val="16"/>
          <w:u w:val="single"/>
        </w:rPr>
        <w:t>§§</w:t>
      </w:r>
      <w:r w:rsidR="009B5BF2">
        <w:rPr>
          <w:rFonts w:ascii="Times New Roman" w:hAnsi="Times New Roman"/>
          <w:b/>
          <w:spacing w:val="-2"/>
          <w:sz w:val="16"/>
          <w:szCs w:val="16"/>
          <w:u w:val="single"/>
        </w:rPr>
        <w:t> </w:t>
      </w:r>
      <w:r w:rsidR="00532F61" w:rsidRPr="005952F0">
        <w:rPr>
          <w:rFonts w:ascii="Times New Roman" w:hAnsi="Times New Roman"/>
          <w:b/>
          <w:spacing w:val="-2"/>
          <w:sz w:val="16"/>
          <w:szCs w:val="16"/>
          <w:u w:val="single"/>
        </w:rPr>
        <w:t>100c,</w:t>
      </w:r>
      <w:r w:rsidR="009B5BF2">
        <w:rPr>
          <w:rFonts w:ascii="Times New Roman" w:hAnsi="Times New Roman"/>
          <w:b/>
          <w:spacing w:val="-2"/>
          <w:sz w:val="16"/>
          <w:szCs w:val="16"/>
          <w:u w:val="single"/>
        </w:rPr>
        <w:t xml:space="preserve"> </w:t>
      </w:r>
      <w:r w:rsidR="00532F61" w:rsidRPr="005952F0">
        <w:rPr>
          <w:rFonts w:ascii="Times New Roman" w:hAnsi="Times New Roman"/>
          <w:b/>
          <w:spacing w:val="-2"/>
          <w:sz w:val="16"/>
          <w:szCs w:val="16"/>
          <w:u w:val="single"/>
        </w:rPr>
        <w:t>100d</w:t>
      </w:r>
      <w:r w:rsidRPr="005952F0">
        <w:rPr>
          <w:rFonts w:ascii="Times New Roman" w:hAnsi="Times New Roman"/>
          <w:b/>
          <w:spacing w:val="-2"/>
          <w:sz w:val="16"/>
          <w:szCs w:val="16"/>
          <w:u w:val="single"/>
        </w:rPr>
        <w:t>, 100e</w:t>
      </w:r>
      <w:r w:rsidR="00532F61" w:rsidRPr="005952F0">
        <w:rPr>
          <w:rFonts w:ascii="Times New Roman" w:hAnsi="Times New Roman"/>
          <w:b/>
          <w:spacing w:val="-2"/>
          <w:sz w:val="16"/>
          <w:szCs w:val="16"/>
          <w:u w:val="single"/>
        </w:rPr>
        <w:t xml:space="preserve"> StPO</w:t>
      </w:r>
      <w:r w:rsidR="00532F61" w:rsidRPr="005952F0">
        <w:rPr>
          <w:rFonts w:ascii="Times New Roman" w:hAnsi="Times New Roman"/>
          <w:spacing w:val="-2"/>
          <w:sz w:val="16"/>
          <w:szCs w:val="16"/>
          <w:u w:val="single"/>
        </w:rPr>
        <w:t>):</w:t>
      </w:r>
      <w:r w:rsidR="00506653">
        <w:rPr>
          <w:rFonts w:ascii="Times New Roman" w:hAnsi="Times New Roman"/>
          <w:spacing w:val="-2"/>
          <w:sz w:val="16"/>
          <w:szCs w:val="16"/>
        </w:rPr>
        <w:t xml:space="preserve"> b</w:t>
      </w:r>
      <w:r w:rsidR="00532F61" w:rsidRPr="005952F0">
        <w:rPr>
          <w:rFonts w:ascii="Times New Roman" w:hAnsi="Times New Roman"/>
          <w:spacing w:val="-2"/>
          <w:sz w:val="16"/>
          <w:szCs w:val="16"/>
        </w:rPr>
        <w:t xml:space="preserve">etrifft das Abhören und Aufzeichnen von Gesprächen </w:t>
      </w:r>
      <w:r w:rsidR="00532F61" w:rsidRPr="005952F0">
        <w:rPr>
          <w:rFonts w:ascii="Times New Roman" w:hAnsi="Times New Roman"/>
          <w:b/>
          <w:spacing w:val="-2"/>
          <w:sz w:val="16"/>
          <w:szCs w:val="16"/>
        </w:rPr>
        <w:t>in Wohnungen</w:t>
      </w:r>
      <w:r w:rsidR="00532F61" w:rsidRPr="005952F0">
        <w:rPr>
          <w:rFonts w:ascii="Times New Roman" w:hAnsi="Times New Roman"/>
          <w:spacing w:val="-2"/>
          <w:sz w:val="16"/>
          <w:szCs w:val="16"/>
        </w:rPr>
        <w:t xml:space="preserve"> (hierzu </w:t>
      </w:r>
      <w:r w:rsidR="00420385">
        <w:rPr>
          <w:rFonts w:ascii="Times New Roman" w:hAnsi="Times New Roman"/>
          <w:spacing w:val="-2"/>
          <w:sz w:val="16"/>
          <w:szCs w:val="16"/>
        </w:rPr>
        <w:t>gehören</w:t>
      </w:r>
      <w:r w:rsidR="00420385" w:rsidRPr="005952F0">
        <w:rPr>
          <w:rFonts w:ascii="Times New Roman" w:hAnsi="Times New Roman"/>
          <w:spacing w:val="-2"/>
          <w:sz w:val="16"/>
          <w:szCs w:val="16"/>
        </w:rPr>
        <w:t xml:space="preserve"> </w:t>
      </w:r>
      <w:r w:rsidR="00532F61" w:rsidRPr="005952F0">
        <w:rPr>
          <w:rFonts w:ascii="Times New Roman" w:hAnsi="Times New Roman"/>
          <w:spacing w:val="-2"/>
          <w:sz w:val="16"/>
          <w:szCs w:val="16"/>
        </w:rPr>
        <w:t>auch Arbeits</w:t>
      </w:r>
      <w:r w:rsidR="00420385">
        <w:rPr>
          <w:rFonts w:ascii="Times New Roman" w:hAnsi="Times New Roman"/>
          <w:spacing w:val="-2"/>
          <w:sz w:val="16"/>
          <w:szCs w:val="16"/>
        </w:rPr>
        <w:t>-,</w:t>
      </w:r>
      <w:r w:rsidR="00532F61" w:rsidRPr="005952F0">
        <w:rPr>
          <w:rFonts w:ascii="Times New Roman" w:hAnsi="Times New Roman"/>
          <w:spacing w:val="-2"/>
          <w:sz w:val="16"/>
          <w:szCs w:val="16"/>
        </w:rPr>
        <w:t xml:space="preserve"> Betriebs- und Geschäftsräume sowie Vorgärten von Wohnhäusern).</w:t>
      </w:r>
    </w:p>
    <w:p w14:paraId="2EEB228A" w14:textId="77777777" w:rsidR="00532F61" w:rsidRPr="005952F0" w:rsidRDefault="00532F61" w:rsidP="00BC55AC">
      <w:pPr>
        <w:widowControl/>
        <w:tabs>
          <w:tab w:val="left" w:pos="-720"/>
          <w:tab w:val="left" w:pos="-142"/>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5952F0">
        <w:rPr>
          <w:rFonts w:ascii="Times New Roman" w:hAnsi="Times New Roman"/>
          <w:spacing w:val="-2"/>
          <w:sz w:val="16"/>
          <w:szCs w:val="16"/>
        </w:rPr>
        <w:tab/>
      </w:r>
      <w:r w:rsidRPr="005952F0">
        <w:rPr>
          <w:rFonts w:ascii="Times New Roman" w:hAnsi="Times New Roman"/>
          <w:b/>
          <w:spacing w:val="-2"/>
          <w:sz w:val="16"/>
          <w:szCs w:val="16"/>
        </w:rPr>
        <w:t>Anordnungsbefugt</w:t>
      </w:r>
      <w:r w:rsidRPr="005952F0">
        <w:rPr>
          <w:rFonts w:ascii="Times New Roman" w:hAnsi="Times New Roman"/>
          <w:spacing w:val="-2"/>
          <w:sz w:val="16"/>
          <w:szCs w:val="16"/>
        </w:rPr>
        <w:t xml:space="preserve"> ist nur die zuständige Strafkammer beim LG, bei Gefahr im Verzug auch deren Vorsitzender, § </w:t>
      </w:r>
      <w:r w:rsidR="008740C2" w:rsidRPr="005952F0">
        <w:rPr>
          <w:rFonts w:ascii="Times New Roman" w:hAnsi="Times New Roman"/>
          <w:spacing w:val="-2"/>
          <w:sz w:val="16"/>
          <w:szCs w:val="16"/>
        </w:rPr>
        <w:t>100e </w:t>
      </w:r>
      <w:r w:rsidRPr="005952F0">
        <w:rPr>
          <w:rFonts w:ascii="Times New Roman" w:hAnsi="Times New Roman"/>
          <w:spacing w:val="-2"/>
          <w:sz w:val="16"/>
          <w:szCs w:val="16"/>
        </w:rPr>
        <w:t>I</w:t>
      </w:r>
      <w:r w:rsidR="008740C2" w:rsidRPr="005952F0">
        <w:rPr>
          <w:rFonts w:ascii="Times New Roman" w:hAnsi="Times New Roman"/>
          <w:spacing w:val="-2"/>
          <w:sz w:val="16"/>
          <w:szCs w:val="16"/>
        </w:rPr>
        <w:t>I</w:t>
      </w:r>
      <w:r w:rsidRPr="005952F0">
        <w:rPr>
          <w:rFonts w:ascii="Times New Roman" w:hAnsi="Times New Roman"/>
          <w:spacing w:val="-2"/>
          <w:sz w:val="16"/>
          <w:szCs w:val="16"/>
        </w:rPr>
        <w:t> StPO.</w:t>
      </w:r>
    </w:p>
    <w:p w14:paraId="0D98C368" w14:textId="77777777" w:rsidR="00532F61" w:rsidRPr="005952F0" w:rsidRDefault="00532F61" w:rsidP="00BC55AC">
      <w:pPr>
        <w:widowControl/>
        <w:tabs>
          <w:tab w:val="left" w:pos="-720"/>
          <w:tab w:val="left" w:pos="-142"/>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5952F0">
        <w:rPr>
          <w:rFonts w:ascii="Times New Roman" w:hAnsi="Times New Roman"/>
          <w:spacing w:val="-2"/>
          <w:sz w:val="16"/>
          <w:szCs w:val="16"/>
        </w:rPr>
        <w:tab/>
        <w:t xml:space="preserve">Die </w:t>
      </w:r>
      <w:r w:rsidRPr="005952F0">
        <w:rPr>
          <w:rFonts w:ascii="Times New Roman" w:hAnsi="Times New Roman"/>
          <w:b/>
          <w:spacing w:val="-2"/>
          <w:sz w:val="16"/>
          <w:szCs w:val="16"/>
        </w:rPr>
        <w:t>Voraussetzungen</w:t>
      </w:r>
      <w:r w:rsidRPr="005952F0">
        <w:rPr>
          <w:rFonts w:ascii="Times New Roman" w:hAnsi="Times New Roman"/>
          <w:spacing w:val="-2"/>
          <w:sz w:val="16"/>
          <w:szCs w:val="16"/>
        </w:rPr>
        <w:t xml:space="preserve"> für die Anordnung gegenüber dem Beschuldigten lauten: </w:t>
      </w:r>
    </w:p>
    <w:p w14:paraId="388D13E5" w14:textId="1B1D5C00" w:rsidR="00532F61" w:rsidRPr="005952F0"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a) </w:t>
      </w:r>
      <w:r w:rsidRPr="005952F0">
        <w:rPr>
          <w:rFonts w:ascii="Times New Roman" w:hAnsi="Times New Roman"/>
          <w:spacing w:val="-2"/>
          <w:sz w:val="16"/>
          <w:szCs w:val="16"/>
        </w:rPr>
        <w:tab/>
        <w:t xml:space="preserve">Vorliegen eines Tatverdachts hinsichtlich einer </w:t>
      </w:r>
      <w:r w:rsidRPr="005952F0">
        <w:rPr>
          <w:rFonts w:ascii="Times New Roman" w:hAnsi="Times New Roman"/>
          <w:b/>
          <w:spacing w:val="-2"/>
          <w:sz w:val="16"/>
          <w:szCs w:val="16"/>
        </w:rPr>
        <w:t xml:space="preserve">Katalogtat </w:t>
      </w:r>
      <w:r w:rsidRPr="005952F0">
        <w:rPr>
          <w:rFonts w:ascii="Times New Roman" w:hAnsi="Times New Roman"/>
          <w:spacing w:val="-2"/>
          <w:sz w:val="16"/>
          <w:szCs w:val="16"/>
        </w:rPr>
        <w:t>des §</w:t>
      </w:r>
      <w:r w:rsidR="00420385">
        <w:rPr>
          <w:rFonts w:ascii="Times New Roman" w:hAnsi="Times New Roman"/>
          <w:spacing w:val="-2"/>
          <w:sz w:val="16"/>
          <w:szCs w:val="16"/>
        </w:rPr>
        <w:t>§</w:t>
      </w:r>
      <w:r w:rsidR="009B5BF2">
        <w:rPr>
          <w:rFonts w:ascii="Times New Roman" w:hAnsi="Times New Roman"/>
          <w:spacing w:val="-2"/>
          <w:sz w:val="16"/>
          <w:szCs w:val="16"/>
        </w:rPr>
        <w:t> </w:t>
      </w:r>
      <w:r w:rsidR="00420385">
        <w:rPr>
          <w:rFonts w:ascii="Times New Roman" w:hAnsi="Times New Roman"/>
          <w:spacing w:val="-2"/>
          <w:sz w:val="16"/>
          <w:szCs w:val="16"/>
        </w:rPr>
        <w:t xml:space="preserve">100c I Nr. 1 </w:t>
      </w:r>
      <w:proofErr w:type="spellStart"/>
      <w:r w:rsidR="00420385">
        <w:rPr>
          <w:rFonts w:ascii="Times New Roman" w:hAnsi="Times New Roman"/>
          <w:spacing w:val="-2"/>
          <w:sz w:val="16"/>
          <w:szCs w:val="16"/>
        </w:rPr>
        <w:t>i.V.m</w:t>
      </w:r>
      <w:proofErr w:type="spellEnd"/>
      <w:r w:rsidR="00420385">
        <w:rPr>
          <w:rFonts w:ascii="Times New Roman" w:hAnsi="Times New Roman"/>
          <w:spacing w:val="-2"/>
          <w:sz w:val="16"/>
          <w:szCs w:val="16"/>
        </w:rPr>
        <w:t xml:space="preserve">. </w:t>
      </w:r>
      <w:r w:rsidR="00E62E2F" w:rsidRPr="005952F0">
        <w:rPr>
          <w:rFonts w:ascii="Times New Roman" w:hAnsi="Times New Roman"/>
          <w:spacing w:val="-2"/>
          <w:sz w:val="16"/>
          <w:szCs w:val="16"/>
        </w:rPr>
        <w:t xml:space="preserve">100b </w:t>
      </w:r>
      <w:r w:rsidRPr="005952F0">
        <w:rPr>
          <w:rFonts w:ascii="Times New Roman" w:hAnsi="Times New Roman"/>
          <w:spacing w:val="-2"/>
          <w:sz w:val="16"/>
          <w:szCs w:val="16"/>
        </w:rPr>
        <w:t>II StPO (dieser ist enger als §</w:t>
      </w:r>
      <w:r w:rsidR="009B5BF2">
        <w:rPr>
          <w:rFonts w:ascii="Times New Roman" w:hAnsi="Times New Roman"/>
          <w:spacing w:val="-2"/>
          <w:sz w:val="16"/>
          <w:szCs w:val="16"/>
        </w:rPr>
        <w:t> </w:t>
      </w:r>
      <w:r w:rsidRPr="005952F0">
        <w:rPr>
          <w:rFonts w:ascii="Times New Roman" w:hAnsi="Times New Roman"/>
          <w:spacing w:val="-2"/>
          <w:sz w:val="16"/>
          <w:szCs w:val="16"/>
        </w:rPr>
        <w:t xml:space="preserve">100a II StPO); </w:t>
      </w:r>
    </w:p>
    <w:p w14:paraId="17410AFD" w14:textId="542D50CC" w:rsidR="00532F61" w:rsidRPr="005952F0"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b) </w:t>
      </w:r>
      <w:r w:rsidRPr="005952F0">
        <w:rPr>
          <w:rFonts w:ascii="Times New Roman" w:hAnsi="Times New Roman"/>
          <w:spacing w:val="-2"/>
          <w:sz w:val="16"/>
          <w:szCs w:val="16"/>
        </w:rPr>
        <w:tab/>
        <w:t xml:space="preserve">die Tat muss auch </w:t>
      </w:r>
      <w:r w:rsidRPr="005952F0">
        <w:rPr>
          <w:rFonts w:ascii="Times New Roman" w:hAnsi="Times New Roman"/>
          <w:b/>
          <w:spacing w:val="-2"/>
          <w:sz w:val="16"/>
          <w:szCs w:val="16"/>
        </w:rPr>
        <w:t>im Einzelfall</w:t>
      </w:r>
      <w:r w:rsidRPr="005952F0">
        <w:rPr>
          <w:rFonts w:ascii="Times New Roman" w:hAnsi="Times New Roman"/>
          <w:spacing w:val="-2"/>
          <w:sz w:val="16"/>
          <w:szCs w:val="16"/>
        </w:rPr>
        <w:t xml:space="preserve"> besonders schwer wiegen, §</w:t>
      </w:r>
      <w:r w:rsidR="009B5BF2">
        <w:rPr>
          <w:rFonts w:ascii="Times New Roman" w:hAnsi="Times New Roman"/>
          <w:spacing w:val="-2"/>
          <w:sz w:val="16"/>
          <w:szCs w:val="16"/>
        </w:rPr>
        <w:t> </w:t>
      </w:r>
      <w:r w:rsidRPr="005952F0">
        <w:rPr>
          <w:rFonts w:ascii="Times New Roman" w:hAnsi="Times New Roman"/>
          <w:spacing w:val="-2"/>
          <w:sz w:val="16"/>
          <w:szCs w:val="16"/>
        </w:rPr>
        <w:t>100c I Nr. 2 StPO;</w:t>
      </w:r>
    </w:p>
    <w:p w14:paraId="354F5ABC" w14:textId="77777777" w:rsidR="00532F61" w:rsidRPr="005952F0" w:rsidRDefault="00532F61" w:rsidP="00BC55AC">
      <w:pPr>
        <w:widowControl/>
        <w:tabs>
          <w:tab w:val="left" w:pos="-720"/>
          <w:tab w:val="left" w:pos="-142"/>
          <w:tab w:val="left" w:pos="851"/>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c) </w:t>
      </w:r>
      <w:r w:rsidRPr="005952F0">
        <w:rPr>
          <w:rFonts w:ascii="Times New Roman" w:hAnsi="Times New Roman"/>
          <w:spacing w:val="-2"/>
          <w:sz w:val="16"/>
          <w:szCs w:val="16"/>
        </w:rPr>
        <w:tab/>
        <w:t>es muss auf Grund tatsächlicher Anhaltspunkte anzunehmen sein, dass durch die Überwachung Äußerungen des Beschuldigten erfasst werden, die für die Erforschung des Sachverhalts oder die Ermittlung des Aufenthaltsortes eines Mitbeschuldigten von Bedeutung sind, § 100c I Nr. 3 StPO;</w:t>
      </w:r>
    </w:p>
    <w:p w14:paraId="4058BB6F" w14:textId="77777777" w:rsidR="00E62E2F" w:rsidRPr="005952F0"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d) </w:t>
      </w:r>
      <w:r w:rsidRPr="005952F0">
        <w:rPr>
          <w:rFonts w:ascii="Times New Roman" w:hAnsi="Times New Roman"/>
          <w:spacing w:val="-2"/>
          <w:sz w:val="16"/>
          <w:szCs w:val="16"/>
        </w:rPr>
        <w:tab/>
        <w:t>die Erforschung des Sachverhalts oder die Ermittlung des Aufenthaltsortes des Täters auf andere Weise wäre</w:t>
      </w:r>
      <w:r w:rsidRPr="005952F0">
        <w:rPr>
          <w:rFonts w:ascii="Times New Roman" w:hAnsi="Times New Roman"/>
          <w:b/>
          <w:spacing w:val="-2"/>
          <w:sz w:val="16"/>
          <w:szCs w:val="16"/>
        </w:rPr>
        <w:t xml:space="preserve"> unverhältnismäßig erschwert</w:t>
      </w:r>
      <w:r w:rsidRPr="005952F0">
        <w:rPr>
          <w:rFonts w:ascii="Times New Roman" w:hAnsi="Times New Roman"/>
          <w:spacing w:val="-2"/>
          <w:sz w:val="16"/>
          <w:szCs w:val="16"/>
        </w:rPr>
        <w:t xml:space="preserve"> oder </w:t>
      </w:r>
      <w:r w:rsidRPr="005952F0">
        <w:rPr>
          <w:rFonts w:ascii="Times New Roman" w:hAnsi="Times New Roman"/>
          <w:b/>
          <w:spacing w:val="-2"/>
          <w:sz w:val="16"/>
          <w:szCs w:val="16"/>
        </w:rPr>
        <w:t>aussichtslos</w:t>
      </w:r>
      <w:r w:rsidRPr="005952F0">
        <w:rPr>
          <w:rFonts w:ascii="Times New Roman" w:hAnsi="Times New Roman"/>
          <w:spacing w:val="-2"/>
          <w:sz w:val="16"/>
          <w:szCs w:val="16"/>
        </w:rPr>
        <w:t xml:space="preserve"> (abgeänderte verschärfte Subsidiaritätsklausel);</w:t>
      </w:r>
    </w:p>
    <w:p w14:paraId="271B62B3" w14:textId="77777777" w:rsidR="00532F61"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e) </w:t>
      </w:r>
      <w:r w:rsidRPr="005952F0">
        <w:rPr>
          <w:rFonts w:ascii="Times New Roman" w:hAnsi="Times New Roman"/>
          <w:spacing w:val="-2"/>
          <w:sz w:val="16"/>
          <w:szCs w:val="16"/>
        </w:rPr>
        <w:tab/>
        <w:t>zudem darf die Maßnahme nach § </w:t>
      </w:r>
      <w:r w:rsidR="00E62E2F" w:rsidRPr="005952F0">
        <w:rPr>
          <w:rFonts w:ascii="Times New Roman" w:hAnsi="Times New Roman"/>
          <w:spacing w:val="-2"/>
          <w:sz w:val="16"/>
          <w:szCs w:val="16"/>
        </w:rPr>
        <w:t>100d </w:t>
      </w:r>
      <w:r w:rsidRPr="005952F0">
        <w:rPr>
          <w:rFonts w:ascii="Times New Roman" w:hAnsi="Times New Roman"/>
          <w:spacing w:val="-2"/>
          <w:sz w:val="16"/>
          <w:szCs w:val="16"/>
        </w:rPr>
        <w:t xml:space="preserve">IV </w:t>
      </w:r>
      <w:r w:rsidR="00E62E2F" w:rsidRPr="005952F0">
        <w:rPr>
          <w:rFonts w:ascii="Times New Roman" w:hAnsi="Times New Roman"/>
          <w:spacing w:val="-2"/>
          <w:sz w:val="16"/>
          <w:szCs w:val="16"/>
        </w:rPr>
        <w:t xml:space="preserve">1 </w:t>
      </w:r>
      <w:r w:rsidRPr="005952F0">
        <w:rPr>
          <w:rFonts w:ascii="Times New Roman" w:hAnsi="Times New Roman"/>
          <w:spacing w:val="-2"/>
          <w:sz w:val="16"/>
          <w:szCs w:val="16"/>
        </w:rPr>
        <w:t>StPO nur angeordnet werden, soweit auf Grund tatsächlicher Anhaltspunkte</w:t>
      </w:r>
      <w:r w:rsidR="00E62E2F" w:rsidRPr="005952F0">
        <w:rPr>
          <w:rFonts w:ascii="Times New Roman" w:hAnsi="Times New Roman"/>
          <w:spacing w:val="-2"/>
          <w:sz w:val="16"/>
          <w:szCs w:val="16"/>
        </w:rPr>
        <w:t xml:space="preserve"> anzunehmen ist, dass durch die Überwachung Äußerungen, die dem </w:t>
      </w:r>
      <w:r w:rsidR="00E62E2F" w:rsidRPr="00601648">
        <w:rPr>
          <w:rFonts w:ascii="Times New Roman" w:hAnsi="Times New Roman"/>
          <w:b/>
          <w:bCs/>
          <w:spacing w:val="-2"/>
          <w:sz w:val="16"/>
          <w:szCs w:val="16"/>
        </w:rPr>
        <w:t>Kernbereich privater Lebensgestaltung</w:t>
      </w:r>
      <w:r w:rsidR="00E62E2F" w:rsidRPr="005952F0">
        <w:rPr>
          <w:rFonts w:ascii="Times New Roman" w:hAnsi="Times New Roman"/>
          <w:spacing w:val="-2"/>
          <w:sz w:val="16"/>
          <w:szCs w:val="16"/>
        </w:rPr>
        <w:t xml:space="preserve"> zuzurechnen sind, nicht erfasst werden. </w:t>
      </w:r>
      <w:r w:rsidRPr="005952F0">
        <w:rPr>
          <w:rFonts w:ascii="Times New Roman" w:hAnsi="Times New Roman"/>
          <w:spacing w:val="-2"/>
          <w:sz w:val="16"/>
          <w:szCs w:val="16"/>
        </w:rPr>
        <w:t>§ </w:t>
      </w:r>
      <w:r w:rsidR="00E62E2F" w:rsidRPr="005952F0">
        <w:rPr>
          <w:rFonts w:ascii="Times New Roman" w:hAnsi="Times New Roman"/>
          <w:spacing w:val="-2"/>
          <w:sz w:val="16"/>
          <w:szCs w:val="16"/>
        </w:rPr>
        <w:t>100d II 1 </w:t>
      </w:r>
      <w:r w:rsidRPr="005952F0">
        <w:rPr>
          <w:rFonts w:ascii="Times New Roman" w:hAnsi="Times New Roman"/>
          <w:spacing w:val="-2"/>
          <w:sz w:val="16"/>
          <w:szCs w:val="16"/>
        </w:rPr>
        <w:t xml:space="preserve">StPO enthält ein geschriebenes </w:t>
      </w:r>
      <w:r w:rsidRPr="005952F0">
        <w:rPr>
          <w:rFonts w:ascii="Times New Roman" w:hAnsi="Times New Roman"/>
          <w:b/>
          <w:spacing w:val="-2"/>
          <w:sz w:val="16"/>
          <w:szCs w:val="16"/>
        </w:rPr>
        <w:t xml:space="preserve">Beweisverwertungsverbot </w:t>
      </w:r>
      <w:r w:rsidRPr="005952F0">
        <w:rPr>
          <w:rFonts w:ascii="Times New Roman" w:hAnsi="Times New Roman"/>
          <w:spacing w:val="-2"/>
          <w:sz w:val="16"/>
          <w:szCs w:val="16"/>
        </w:rPr>
        <w:t xml:space="preserve">hinsichtlich solcher </w:t>
      </w:r>
      <w:r w:rsidR="00E62E2F" w:rsidRPr="005952F0">
        <w:rPr>
          <w:rFonts w:ascii="Times New Roman" w:hAnsi="Times New Roman"/>
          <w:spacing w:val="-2"/>
          <w:sz w:val="16"/>
          <w:szCs w:val="16"/>
        </w:rPr>
        <w:t>Erkenntnisse</w:t>
      </w:r>
      <w:r w:rsidRPr="005952F0">
        <w:rPr>
          <w:rFonts w:ascii="Times New Roman" w:hAnsi="Times New Roman"/>
          <w:spacing w:val="-2"/>
          <w:sz w:val="16"/>
          <w:szCs w:val="16"/>
        </w:rPr>
        <w:t>.</w:t>
      </w:r>
    </w:p>
    <w:p w14:paraId="0BD17023" w14:textId="74FD79B6" w:rsidR="00F94576" w:rsidRPr="005952F0" w:rsidRDefault="00F94576"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Pr>
          <w:rFonts w:ascii="Times New Roman" w:hAnsi="Times New Roman"/>
          <w:spacing w:val="-2"/>
          <w:sz w:val="16"/>
          <w:szCs w:val="16"/>
        </w:rPr>
        <w:t>f)</w:t>
      </w:r>
      <w:r>
        <w:rPr>
          <w:rFonts w:ascii="Times New Roman" w:hAnsi="Times New Roman"/>
          <w:spacing w:val="-2"/>
          <w:sz w:val="16"/>
          <w:szCs w:val="16"/>
        </w:rPr>
        <w:tab/>
        <w:t>Verhältnismäßigkeit</w:t>
      </w:r>
    </w:p>
    <w:p w14:paraId="60A62A8B" w14:textId="77777777" w:rsidR="00532F61" w:rsidRPr="005952F0" w:rsidRDefault="00532F61" w:rsidP="00BC55AC">
      <w:pPr>
        <w:widowControl/>
        <w:tabs>
          <w:tab w:val="left" w:pos="-720"/>
          <w:tab w:val="left" w:pos="-142"/>
          <w:tab w:val="left" w:pos="426"/>
          <w:tab w:val="left" w:pos="864"/>
          <w:tab w:val="left" w:pos="1116"/>
          <w:tab w:val="left" w:pos="1404"/>
          <w:tab w:val="left" w:pos="1692"/>
          <w:tab w:val="left" w:pos="1980"/>
          <w:tab w:val="left" w:pos="2268"/>
          <w:tab w:val="left" w:pos="2880"/>
        </w:tabs>
        <w:ind w:left="567"/>
        <w:jc w:val="both"/>
        <w:rPr>
          <w:rFonts w:ascii="Times New Roman" w:hAnsi="Times New Roman"/>
          <w:spacing w:val="-2"/>
          <w:sz w:val="16"/>
          <w:szCs w:val="16"/>
        </w:rPr>
      </w:pPr>
      <w:r w:rsidRPr="005952F0">
        <w:rPr>
          <w:rFonts w:ascii="Times New Roman" w:hAnsi="Times New Roman"/>
          <w:spacing w:val="-2"/>
          <w:sz w:val="16"/>
          <w:szCs w:val="16"/>
        </w:rPr>
        <w:t xml:space="preserve">Die Maßnahme ist auf </w:t>
      </w:r>
      <w:r w:rsidRPr="005952F0">
        <w:rPr>
          <w:rFonts w:ascii="Times New Roman" w:hAnsi="Times New Roman"/>
          <w:b/>
          <w:spacing w:val="-2"/>
          <w:sz w:val="16"/>
          <w:szCs w:val="16"/>
        </w:rPr>
        <w:t>einen Monat</w:t>
      </w:r>
      <w:r w:rsidRPr="005952F0">
        <w:rPr>
          <w:rFonts w:ascii="Times New Roman" w:hAnsi="Times New Roman"/>
          <w:spacing w:val="-2"/>
          <w:sz w:val="16"/>
          <w:szCs w:val="16"/>
        </w:rPr>
        <w:t xml:space="preserve"> befristet, eine Verlängerung bis zu </w:t>
      </w:r>
      <w:r w:rsidRPr="005952F0">
        <w:rPr>
          <w:rFonts w:ascii="Times New Roman" w:hAnsi="Times New Roman"/>
          <w:b/>
          <w:spacing w:val="-2"/>
          <w:sz w:val="16"/>
          <w:szCs w:val="16"/>
        </w:rPr>
        <w:t>sechs Monaten</w:t>
      </w:r>
      <w:r w:rsidRPr="005952F0">
        <w:rPr>
          <w:rFonts w:ascii="Times New Roman" w:hAnsi="Times New Roman"/>
          <w:spacing w:val="-2"/>
          <w:sz w:val="16"/>
          <w:szCs w:val="16"/>
        </w:rPr>
        <w:t xml:space="preserve"> ist möglich, § </w:t>
      </w:r>
      <w:r w:rsidR="00E62E2F" w:rsidRPr="005952F0">
        <w:rPr>
          <w:rFonts w:ascii="Times New Roman" w:hAnsi="Times New Roman"/>
          <w:spacing w:val="-2"/>
          <w:sz w:val="16"/>
          <w:szCs w:val="16"/>
        </w:rPr>
        <w:t>100e II</w:t>
      </w:r>
      <w:r w:rsidRPr="005952F0">
        <w:rPr>
          <w:rFonts w:ascii="Times New Roman" w:hAnsi="Times New Roman"/>
          <w:spacing w:val="-2"/>
          <w:sz w:val="16"/>
          <w:szCs w:val="16"/>
        </w:rPr>
        <w:t> </w:t>
      </w:r>
      <w:r w:rsidR="00750D74">
        <w:rPr>
          <w:rFonts w:ascii="Times New Roman" w:hAnsi="Times New Roman"/>
          <w:spacing w:val="-2"/>
          <w:sz w:val="16"/>
          <w:szCs w:val="16"/>
        </w:rPr>
        <w:t>4-6 </w:t>
      </w:r>
      <w:r w:rsidRPr="005952F0">
        <w:rPr>
          <w:rFonts w:ascii="Times New Roman" w:hAnsi="Times New Roman"/>
          <w:spacing w:val="-2"/>
          <w:sz w:val="16"/>
          <w:szCs w:val="16"/>
        </w:rPr>
        <w:t>StPO.</w:t>
      </w:r>
    </w:p>
    <w:p w14:paraId="33E8E22F" w14:textId="5470D164" w:rsidR="00420385" w:rsidRDefault="00532F61" w:rsidP="00BC55AC">
      <w:pPr>
        <w:widowControl/>
        <w:tabs>
          <w:tab w:val="left" w:pos="-720"/>
          <w:tab w:val="left" w:pos="-142"/>
          <w:tab w:val="left" w:pos="567"/>
          <w:tab w:val="left" w:pos="1116"/>
          <w:tab w:val="left" w:pos="1404"/>
          <w:tab w:val="left" w:pos="1692"/>
          <w:tab w:val="left" w:pos="1980"/>
          <w:tab w:val="left" w:pos="2268"/>
          <w:tab w:val="left" w:pos="2880"/>
        </w:tabs>
        <w:ind w:left="567" w:hanging="142"/>
        <w:jc w:val="both"/>
        <w:rPr>
          <w:rFonts w:ascii="Times New Roman" w:hAnsi="Times New Roman"/>
          <w:spacing w:val="-2"/>
          <w:sz w:val="16"/>
          <w:szCs w:val="16"/>
        </w:rPr>
      </w:pPr>
      <w:r w:rsidRPr="005952F0">
        <w:rPr>
          <w:rFonts w:ascii="Times New Roman" w:hAnsi="Times New Roman"/>
          <w:spacing w:val="-2"/>
          <w:sz w:val="16"/>
          <w:szCs w:val="16"/>
        </w:rPr>
        <w:tab/>
      </w:r>
      <w:r w:rsidR="00420385">
        <w:rPr>
          <w:rFonts w:ascii="Times New Roman" w:hAnsi="Times New Roman"/>
          <w:spacing w:val="-2"/>
          <w:sz w:val="16"/>
          <w:szCs w:val="16"/>
        </w:rPr>
        <w:t xml:space="preserve">Die Maßnahme darf sich grundsätzlich nur gegen den Beschuldigten richten und sich auf dessen Wohnung beschränken § 100c II 1 StPO. In Wohnungen </w:t>
      </w:r>
      <w:r w:rsidR="00420385" w:rsidRPr="00BC55AC">
        <w:rPr>
          <w:rFonts w:ascii="Times New Roman" w:hAnsi="Times New Roman"/>
          <w:b/>
          <w:bCs/>
          <w:spacing w:val="-2"/>
          <w:sz w:val="16"/>
          <w:szCs w:val="16"/>
        </w:rPr>
        <w:t>Dritter</w:t>
      </w:r>
      <w:r w:rsidR="00420385">
        <w:rPr>
          <w:rFonts w:ascii="Times New Roman" w:hAnsi="Times New Roman"/>
          <w:spacing w:val="-2"/>
          <w:sz w:val="16"/>
          <w:szCs w:val="16"/>
        </w:rPr>
        <w:t xml:space="preserve"> </w:t>
      </w:r>
      <w:r w:rsidRPr="005952F0">
        <w:rPr>
          <w:rFonts w:ascii="Times New Roman" w:hAnsi="Times New Roman"/>
          <w:spacing w:val="-2"/>
          <w:sz w:val="16"/>
          <w:szCs w:val="16"/>
        </w:rPr>
        <w:t xml:space="preserve">ist eine </w:t>
      </w:r>
      <w:r w:rsidR="00420385">
        <w:rPr>
          <w:rFonts w:ascii="Times New Roman" w:hAnsi="Times New Roman"/>
          <w:spacing w:val="-2"/>
          <w:sz w:val="16"/>
          <w:szCs w:val="16"/>
        </w:rPr>
        <w:t>Überwachung nach</w:t>
      </w:r>
      <w:r w:rsidRPr="005952F0">
        <w:rPr>
          <w:rFonts w:ascii="Times New Roman" w:hAnsi="Times New Roman"/>
          <w:spacing w:val="-2"/>
          <w:sz w:val="16"/>
          <w:szCs w:val="16"/>
        </w:rPr>
        <w:t xml:space="preserve"> § 100c II </w:t>
      </w:r>
      <w:r w:rsidR="00420385">
        <w:rPr>
          <w:rFonts w:ascii="Times New Roman" w:hAnsi="Times New Roman"/>
          <w:spacing w:val="-2"/>
          <w:sz w:val="16"/>
          <w:szCs w:val="16"/>
        </w:rPr>
        <w:t xml:space="preserve">2 </w:t>
      </w:r>
      <w:r w:rsidRPr="005952F0">
        <w:rPr>
          <w:rFonts w:ascii="Times New Roman" w:hAnsi="Times New Roman"/>
          <w:spacing w:val="-2"/>
          <w:sz w:val="16"/>
          <w:szCs w:val="16"/>
        </w:rPr>
        <w:t xml:space="preserve">StPO nur zulässig, wenn anzunehmen ist, dass der Beschuldigte sich in der abgehörten Wohnung aufhält und zudem eine nochmals verschärfte Subsidiaritätsklausel eingehalten wird. </w:t>
      </w:r>
    </w:p>
    <w:p w14:paraId="61BAF534" w14:textId="5F144FFA" w:rsidR="00532F61" w:rsidRPr="005952F0" w:rsidRDefault="00420385" w:rsidP="00BC55AC">
      <w:pPr>
        <w:widowControl/>
        <w:tabs>
          <w:tab w:val="left" w:pos="-720"/>
          <w:tab w:val="left" w:pos="-142"/>
          <w:tab w:val="left" w:pos="567"/>
          <w:tab w:val="left" w:pos="1116"/>
          <w:tab w:val="left" w:pos="1404"/>
          <w:tab w:val="left" w:pos="1692"/>
          <w:tab w:val="left" w:pos="1980"/>
          <w:tab w:val="left" w:pos="2268"/>
          <w:tab w:val="left" w:pos="2880"/>
        </w:tabs>
        <w:ind w:left="567" w:hanging="142"/>
        <w:jc w:val="both"/>
        <w:rPr>
          <w:rFonts w:ascii="Times New Roman" w:hAnsi="Times New Roman"/>
          <w:spacing w:val="-2"/>
          <w:sz w:val="16"/>
          <w:szCs w:val="16"/>
        </w:rPr>
      </w:pPr>
      <w:r>
        <w:rPr>
          <w:rFonts w:ascii="Times New Roman" w:hAnsi="Times New Roman"/>
          <w:spacing w:val="-2"/>
          <w:sz w:val="16"/>
          <w:szCs w:val="16"/>
        </w:rPr>
        <w:tab/>
      </w:r>
      <w:r w:rsidR="00532F61" w:rsidRPr="005952F0">
        <w:rPr>
          <w:rFonts w:ascii="Times New Roman" w:hAnsi="Times New Roman"/>
          <w:spacing w:val="-2"/>
          <w:sz w:val="16"/>
          <w:szCs w:val="16"/>
        </w:rPr>
        <w:t>Einschränkungen gelten bei zeugnisverweigerungsberechtigten Personen, §</w:t>
      </w:r>
      <w:r w:rsidR="009B5BF2">
        <w:rPr>
          <w:rFonts w:ascii="Times New Roman" w:hAnsi="Times New Roman"/>
          <w:spacing w:val="-2"/>
          <w:sz w:val="16"/>
          <w:szCs w:val="16"/>
        </w:rPr>
        <w:t> </w:t>
      </w:r>
      <w:r w:rsidR="00E62E2F" w:rsidRPr="005952F0">
        <w:rPr>
          <w:rFonts w:ascii="Times New Roman" w:hAnsi="Times New Roman"/>
          <w:spacing w:val="-2"/>
          <w:sz w:val="16"/>
          <w:szCs w:val="16"/>
        </w:rPr>
        <w:t xml:space="preserve">100d </w:t>
      </w:r>
      <w:r w:rsidR="00532F61" w:rsidRPr="005952F0">
        <w:rPr>
          <w:rFonts w:ascii="Times New Roman" w:hAnsi="Times New Roman"/>
          <w:spacing w:val="-2"/>
          <w:sz w:val="16"/>
          <w:szCs w:val="16"/>
        </w:rPr>
        <w:t>V StPO.</w:t>
      </w:r>
    </w:p>
    <w:p w14:paraId="5C5DBC82" w14:textId="738A5342" w:rsidR="00532F61" w:rsidRPr="005952F0" w:rsidRDefault="005F07DB" w:rsidP="00BC55AC">
      <w:pPr>
        <w:widowControl/>
        <w:tabs>
          <w:tab w:val="left" w:pos="-720"/>
          <w:tab w:val="left" w:pos="-142"/>
          <w:tab w:val="left" w:pos="567"/>
          <w:tab w:val="left" w:pos="1116"/>
          <w:tab w:val="left" w:pos="1404"/>
          <w:tab w:val="left" w:pos="1692"/>
          <w:tab w:val="left" w:pos="1980"/>
          <w:tab w:val="left" w:pos="2268"/>
          <w:tab w:val="left" w:pos="2880"/>
        </w:tabs>
        <w:ind w:left="560" w:hanging="276"/>
        <w:jc w:val="both"/>
        <w:rPr>
          <w:rFonts w:ascii="Times New Roman" w:hAnsi="Times New Roman"/>
          <w:spacing w:val="-2"/>
          <w:sz w:val="16"/>
          <w:szCs w:val="16"/>
        </w:rPr>
      </w:pPr>
      <w:r>
        <w:rPr>
          <w:rFonts w:ascii="Times New Roman" w:hAnsi="Times New Roman"/>
          <w:spacing w:val="-2"/>
          <w:sz w:val="16"/>
          <w:szCs w:val="16"/>
          <w:u w:val="single"/>
        </w:rPr>
        <w:t>2</w:t>
      </w:r>
      <w:r w:rsidR="00330D91" w:rsidRPr="00CE4F08">
        <w:rPr>
          <w:rFonts w:ascii="Times New Roman" w:hAnsi="Times New Roman"/>
          <w:spacing w:val="-2"/>
          <w:sz w:val="16"/>
          <w:szCs w:val="16"/>
          <w:u w:val="single"/>
        </w:rPr>
        <w:t>.</w:t>
      </w:r>
      <w:r w:rsidR="00330D91">
        <w:rPr>
          <w:rFonts w:ascii="Times New Roman" w:hAnsi="Times New Roman"/>
          <w:spacing w:val="-2"/>
          <w:sz w:val="16"/>
          <w:szCs w:val="16"/>
          <w:u w:val="single"/>
        </w:rPr>
        <w:tab/>
      </w:r>
      <w:r w:rsidR="00532F61" w:rsidRPr="00CE4F08">
        <w:rPr>
          <w:rFonts w:ascii="Times New Roman" w:hAnsi="Times New Roman"/>
          <w:spacing w:val="-2"/>
          <w:sz w:val="16"/>
          <w:szCs w:val="16"/>
          <w:u w:val="single"/>
        </w:rPr>
        <w:t xml:space="preserve">Der „kleine“ Lauschangriff </w:t>
      </w:r>
      <w:r w:rsidR="00532F61" w:rsidRPr="00CE4F08">
        <w:rPr>
          <w:rFonts w:ascii="Times New Roman" w:hAnsi="Times New Roman"/>
          <w:b/>
          <w:spacing w:val="-2"/>
          <w:sz w:val="16"/>
          <w:szCs w:val="16"/>
          <w:u w:val="single"/>
        </w:rPr>
        <w:t>(§</w:t>
      </w:r>
      <w:r w:rsidR="009B5BF2">
        <w:rPr>
          <w:rFonts w:ascii="Times New Roman" w:hAnsi="Times New Roman"/>
          <w:b/>
          <w:spacing w:val="-2"/>
          <w:sz w:val="16"/>
          <w:szCs w:val="16"/>
          <w:u w:val="single"/>
        </w:rPr>
        <w:t> </w:t>
      </w:r>
      <w:r w:rsidR="00532F61" w:rsidRPr="00CE4F08">
        <w:rPr>
          <w:rFonts w:ascii="Times New Roman" w:hAnsi="Times New Roman"/>
          <w:b/>
          <w:spacing w:val="-2"/>
          <w:sz w:val="16"/>
          <w:szCs w:val="16"/>
          <w:u w:val="single"/>
        </w:rPr>
        <w:t>100f StPO</w:t>
      </w:r>
      <w:r w:rsidR="00532F61" w:rsidRPr="00CE4F08">
        <w:rPr>
          <w:rFonts w:ascii="Times New Roman" w:hAnsi="Times New Roman"/>
          <w:spacing w:val="-2"/>
          <w:sz w:val="16"/>
          <w:szCs w:val="16"/>
          <w:u w:val="single"/>
        </w:rPr>
        <w:t>):</w:t>
      </w:r>
      <w:r w:rsidR="00506653">
        <w:rPr>
          <w:rFonts w:ascii="Times New Roman" w:hAnsi="Times New Roman"/>
          <w:spacing w:val="-2"/>
          <w:sz w:val="16"/>
          <w:szCs w:val="16"/>
        </w:rPr>
        <w:t xml:space="preserve"> b</w:t>
      </w:r>
      <w:r w:rsidR="00532F61" w:rsidRPr="005952F0">
        <w:rPr>
          <w:rFonts w:ascii="Times New Roman" w:hAnsi="Times New Roman"/>
          <w:spacing w:val="-2"/>
          <w:sz w:val="16"/>
          <w:szCs w:val="16"/>
        </w:rPr>
        <w:t xml:space="preserve">etrifft das Abhören und Aufzeichnen von Gesprächen </w:t>
      </w:r>
      <w:r w:rsidR="00532F61" w:rsidRPr="005952F0">
        <w:rPr>
          <w:rFonts w:ascii="Times New Roman" w:hAnsi="Times New Roman"/>
          <w:b/>
          <w:spacing w:val="-2"/>
          <w:sz w:val="16"/>
          <w:szCs w:val="16"/>
        </w:rPr>
        <w:t>außerhalb von Wohnungen</w:t>
      </w:r>
      <w:r w:rsidR="00532F61" w:rsidRPr="005952F0">
        <w:rPr>
          <w:rFonts w:ascii="Times New Roman" w:hAnsi="Times New Roman"/>
          <w:spacing w:val="-2"/>
          <w:sz w:val="16"/>
          <w:szCs w:val="16"/>
        </w:rPr>
        <w:t xml:space="preserve">. Zuständig für die </w:t>
      </w:r>
      <w:r w:rsidR="00532F61" w:rsidRPr="005952F0">
        <w:rPr>
          <w:rFonts w:ascii="Times New Roman" w:hAnsi="Times New Roman"/>
          <w:b/>
          <w:spacing w:val="-2"/>
          <w:sz w:val="16"/>
          <w:szCs w:val="16"/>
        </w:rPr>
        <w:t>Anordnung</w:t>
      </w:r>
      <w:r w:rsidR="00532F61" w:rsidRPr="005952F0">
        <w:rPr>
          <w:rFonts w:ascii="Times New Roman" w:hAnsi="Times New Roman"/>
          <w:spacing w:val="-2"/>
          <w:sz w:val="16"/>
          <w:szCs w:val="16"/>
        </w:rPr>
        <w:t xml:space="preserve"> ist nach §</w:t>
      </w:r>
      <w:r w:rsidR="00420385">
        <w:rPr>
          <w:rFonts w:ascii="Times New Roman" w:hAnsi="Times New Roman"/>
          <w:spacing w:val="-2"/>
          <w:sz w:val="16"/>
          <w:szCs w:val="16"/>
        </w:rPr>
        <w:t> </w:t>
      </w:r>
      <w:r w:rsidR="00532F61" w:rsidRPr="005952F0">
        <w:rPr>
          <w:rFonts w:ascii="Times New Roman" w:hAnsi="Times New Roman"/>
          <w:spacing w:val="-2"/>
          <w:sz w:val="16"/>
          <w:szCs w:val="16"/>
        </w:rPr>
        <w:t xml:space="preserve">100f IV StPO </w:t>
      </w:r>
      <w:proofErr w:type="spellStart"/>
      <w:r w:rsidR="00532F61" w:rsidRPr="005952F0">
        <w:rPr>
          <w:rFonts w:ascii="Times New Roman" w:hAnsi="Times New Roman"/>
          <w:spacing w:val="-2"/>
          <w:sz w:val="16"/>
          <w:szCs w:val="16"/>
        </w:rPr>
        <w:t>i</w:t>
      </w:r>
      <w:r w:rsidR="00B408B4">
        <w:rPr>
          <w:rFonts w:ascii="Times New Roman" w:hAnsi="Times New Roman"/>
          <w:spacing w:val="-2"/>
          <w:sz w:val="16"/>
          <w:szCs w:val="16"/>
        </w:rPr>
        <w:t>.</w:t>
      </w:r>
      <w:r w:rsidR="00532F61" w:rsidRPr="005952F0">
        <w:rPr>
          <w:rFonts w:ascii="Times New Roman" w:hAnsi="Times New Roman"/>
          <w:spacing w:val="-2"/>
          <w:sz w:val="16"/>
          <w:szCs w:val="16"/>
        </w:rPr>
        <w:t>V</w:t>
      </w:r>
      <w:r w:rsidR="00B408B4">
        <w:rPr>
          <w:rFonts w:ascii="Times New Roman" w:hAnsi="Times New Roman"/>
          <w:spacing w:val="-2"/>
          <w:sz w:val="16"/>
          <w:szCs w:val="16"/>
        </w:rPr>
        <w:t>.</w:t>
      </w:r>
      <w:r w:rsidR="00532F61" w:rsidRPr="005952F0">
        <w:rPr>
          <w:rFonts w:ascii="Times New Roman" w:hAnsi="Times New Roman"/>
          <w:spacing w:val="-2"/>
          <w:sz w:val="16"/>
          <w:szCs w:val="16"/>
        </w:rPr>
        <w:t>m</w:t>
      </w:r>
      <w:proofErr w:type="spellEnd"/>
      <w:r w:rsidR="00B408B4">
        <w:rPr>
          <w:rFonts w:ascii="Times New Roman" w:hAnsi="Times New Roman"/>
          <w:spacing w:val="-2"/>
          <w:sz w:val="16"/>
          <w:szCs w:val="16"/>
        </w:rPr>
        <w:t>.</w:t>
      </w:r>
      <w:r w:rsidR="00532F61" w:rsidRPr="005952F0">
        <w:rPr>
          <w:rFonts w:ascii="Times New Roman" w:hAnsi="Times New Roman"/>
          <w:spacing w:val="-2"/>
          <w:sz w:val="16"/>
          <w:szCs w:val="16"/>
        </w:rPr>
        <w:t xml:space="preserve"> § </w:t>
      </w:r>
      <w:r w:rsidR="00E62E2F" w:rsidRPr="005952F0">
        <w:rPr>
          <w:rFonts w:ascii="Times New Roman" w:hAnsi="Times New Roman"/>
          <w:spacing w:val="-2"/>
          <w:sz w:val="16"/>
          <w:szCs w:val="16"/>
        </w:rPr>
        <w:t>100e </w:t>
      </w:r>
      <w:r w:rsidR="00532F61" w:rsidRPr="005952F0">
        <w:rPr>
          <w:rFonts w:ascii="Times New Roman" w:hAnsi="Times New Roman"/>
          <w:spacing w:val="-2"/>
          <w:sz w:val="16"/>
          <w:szCs w:val="16"/>
        </w:rPr>
        <w:t xml:space="preserve">I StPO der </w:t>
      </w:r>
      <w:r w:rsidR="00532F61" w:rsidRPr="005952F0">
        <w:rPr>
          <w:rFonts w:ascii="Times New Roman" w:hAnsi="Times New Roman"/>
          <w:b/>
          <w:spacing w:val="-2"/>
          <w:sz w:val="16"/>
          <w:szCs w:val="16"/>
        </w:rPr>
        <w:t>Richter</w:t>
      </w:r>
      <w:r w:rsidR="00532F61" w:rsidRPr="005952F0">
        <w:rPr>
          <w:rFonts w:ascii="Times New Roman" w:hAnsi="Times New Roman"/>
          <w:spacing w:val="-2"/>
          <w:sz w:val="16"/>
          <w:szCs w:val="16"/>
        </w:rPr>
        <w:t xml:space="preserve">, bei Gefahr im Verzug die </w:t>
      </w:r>
      <w:proofErr w:type="spellStart"/>
      <w:r w:rsidR="00E62E2F" w:rsidRPr="005952F0">
        <w:rPr>
          <w:rFonts w:ascii="Times New Roman" w:hAnsi="Times New Roman"/>
          <w:spacing w:val="-2"/>
          <w:sz w:val="16"/>
          <w:szCs w:val="16"/>
        </w:rPr>
        <w:t>StA</w:t>
      </w:r>
      <w:proofErr w:type="spellEnd"/>
      <w:r w:rsidR="00E62E2F" w:rsidRPr="005952F0">
        <w:rPr>
          <w:rFonts w:ascii="Times New Roman" w:hAnsi="Times New Roman"/>
          <w:spacing w:val="-2"/>
          <w:sz w:val="16"/>
          <w:szCs w:val="16"/>
        </w:rPr>
        <w:t>.</w:t>
      </w:r>
      <w:r w:rsidR="00A302CC" w:rsidRPr="00A302CC">
        <w:rPr>
          <w:rFonts w:ascii="Times New Roman" w:hAnsi="Times New Roman"/>
          <w:b/>
          <w:spacing w:val="-2"/>
          <w:sz w:val="16"/>
          <w:szCs w:val="16"/>
        </w:rPr>
        <w:t xml:space="preserve"> </w:t>
      </w:r>
      <w:r w:rsidR="00A302CC" w:rsidRPr="00837B1C">
        <w:rPr>
          <w:rFonts w:ascii="Times New Roman" w:hAnsi="Times New Roman"/>
          <w:b/>
          <w:spacing w:val="-2"/>
          <w:sz w:val="16"/>
          <w:szCs w:val="16"/>
        </w:rPr>
        <w:t>Beispiele:</w:t>
      </w:r>
      <w:r w:rsidR="00A302CC" w:rsidRPr="005952F0">
        <w:rPr>
          <w:rFonts w:ascii="Times New Roman" w:hAnsi="Times New Roman"/>
          <w:spacing w:val="-2"/>
          <w:sz w:val="16"/>
          <w:szCs w:val="16"/>
        </w:rPr>
        <w:t xml:space="preserve"> Abhören in einem Besuchsraum der U-Haft-Vollzugsanstalt und in einem Pkw. Zulässig sind aber auch vorbereitende oder begleitende Maßnahmen (z.B. Öffnen eines PKW, um dort „Wan</w:t>
      </w:r>
      <w:r w:rsidR="00A302CC">
        <w:rPr>
          <w:rFonts w:ascii="Times New Roman" w:hAnsi="Times New Roman"/>
          <w:spacing w:val="-2"/>
          <w:sz w:val="16"/>
          <w:szCs w:val="16"/>
        </w:rPr>
        <w:t>zen“ anzubringen).</w:t>
      </w:r>
    </w:p>
    <w:p w14:paraId="1315A14B" w14:textId="77777777" w:rsidR="00532F61" w:rsidRPr="005952F0" w:rsidRDefault="00532F61" w:rsidP="00BC55AC">
      <w:pPr>
        <w:widowControl/>
        <w:tabs>
          <w:tab w:val="left" w:pos="-720"/>
          <w:tab w:val="left" w:pos="-142"/>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sidRPr="005952F0">
        <w:rPr>
          <w:rFonts w:ascii="Times New Roman" w:hAnsi="Times New Roman"/>
          <w:spacing w:val="-2"/>
          <w:sz w:val="16"/>
          <w:szCs w:val="16"/>
        </w:rPr>
        <w:tab/>
      </w:r>
      <w:r w:rsidRPr="005952F0">
        <w:rPr>
          <w:rFonts w:ascii="Times New Roman" w:hAnsi="Times New Roman"/>
          <w:b/>
          <w:spacing w:val="-2"/>
          <w:sz w:val="16"/>
          <w:szCs w:val="16"/>
        </w:rPr>
        <w:t>Voraussetzungen</w:t>
      </w:r>
      <w:r w:rsidRPr="005952F0">
        <w:rPr>
          <w:rFonts w:ascii="Times New Roman" w:hAnsi="Times New Roman"/>
          <w:spacing w:val="-2"/>
          <w:sz w:val="16"/>
          <w:szCs w:val="16"/>
        </w:rPr>
        <w:t xml:space="preserve"> für die Anordnung gegenüber dem Beschuldigten (die sich an die Voraussetzungen der Anordnung einer Telefonüberwachung, §</w:t>
      </w:r>
      <w:r w:rsidR="00AB6A91">
        <w:rPr>
          <w:rFonts w:ascii="Times New Roman" w:hAnsi="Times New Roman"/>
          <w:spacing w:val="-2"/>
          <w:sz w:val="16"/>
          <w:szCs w:val="16"/>
        </w:rPr>
        <w:t> </w:t>
      </w:r>
      <w:r w:rsidRPr="005952F0">
        <w:rPr>
          <w:rFonts w:ascii="Times New Roman" w:hAnsi="Times New Roman"/>
          <w:spacing w:val="-2"/>
          <w:sz w:val="16"/>
          <w:szCs w:val="16"/>
        </w:rPr>
        <w:t>100a StPO anlehnen) sind:</w:t>
      </w:r>
    </w:p>
    <w:p w14:paraId="3FD97A76" w14:textId="07F4344A" w:rsidR="00532F61" w:rsidRPr="005952F0"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a) </w:t>
      </w:r>
      <w:r w:rsidRPr="005952F0">
        <w:rPr>
          <w:rFonts w:ascii="Times New Roman" w:hAnsi="Times New Roman"/>
          <w:spacing w:val="-2"/>
          <w:sz w:val="16"/>
          <w:szCs w:val="16"/>
        </w:rPr>
        <w:tab/>
        <w:t xml:space="preserve">Vorliegen eines Tatverdachts bzgl. einer </w:t>
      </w:r>
      <w:r w:rsidRPr="005952F0">
        <w:rPr>
          <w:rFonts w:ascii="Times New Roman" w:hAnsi="Times New Roman"/>
          <w:b/>
          <w:spacing w:val="-2"/>
          <w:sz w:val="16"/>
          <w:szCs w:val="16"/>
        </w:rPr>
        <w:t>Katalogtat</w:t>
      </w:r>
      <w:r w:rsidRPr="005952F0">
        <w:rPr>
          <w:rFonts w:ascii="Times New Roman" w:hAnsi="Times New Roman"/>
          <w:spacing w:val="-2"/>
          <w:sz w:val="16"/>
          <w:szCs w:val="16"/>
        </w:rPr>
        <w:t xml:space="preserve"> des §</w:t>
      </w:r>
      <w:r w:rsidR="009B5BF2">
        <w:rPr>
          <w:rFonts w:ascii="Times New Roman" w:hAnsi="Times New Roman"/>
          <w:spacing w:val="-2"/>
          <w:sz w:val="16"/>
          <w:szCs w:val="16"/>
        </w:rPr>
        <w:t> </w:t>
      </w:r>
      <w:r w:rsidRPr="005952F0">
        <w:rPr>
          <w:rFonts w:ascii="Times New Roman" w:hAnsi="Times New Roman"/>
          <w:spacing w:val="-2"/>
          <w:sz w:val="16"/>
          <w:szCs w:val="16"/>
        </w:rPr>
        <w:t xml:space="preserve">100a II StPO; </w:t>
      </w:r>
    </w:p>
    <w:p w14:paraId="153BCDE5" w14:textId="77777777" w:rsidR="00532F61" w:rsidRPr="005952F0"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b) </w:t>
      </w:r>
      <w:r w:rsidRPr="005952F0">
        <w:rPr>
          <w:rFonts w:ascii="Times New Roman" w:hAnsi="Times New Roman"/>
          <w:spacing w:val="-2"/>
          <w:sz w:val="16"/>
          <w:szCs w:val="16"/>
        </w:rPr>
        <w:tab/>
        <w:t xml:space="preserve">auch im </w:t>
      </w:r>
      <w:r w:rsidRPr="005952F0">
        <w:rPr>
          <w:rFonts w:ascii="Times New Roman" w:hAnsi="Times New Roman"/>
          <w:b/>
          <w:spacing w:val="-2"/>
          <w:sz w:val="16"/>
          <w:szCs w:val="16"/>
        </w:rPr>
        <w:t>Einzelfall</w:t>
      </w:r>
      <w:r w:rsidRPr="005952F0">
        <w:rPr>
          <w:rFonts w:ascii="Times New Roman" w:hAnsi="Times New Roman"/>
          <w:spacing w:val="-2"/>
          <w:sz w:val="16"/>
          <w:szCs w:val="16"/>
        </w:rPr>
        <w:t xml:space="preserve"> schwerwiegend;</w:t>
      </w:r>
    </w:p>
    <w:p w14:paraId="3256998B" w14:textId="656DAC07" w:rsidR="00532F61" w:rsidRDefault="00532F61"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sidRPr="005952F0">
        <w:rPr>
          <w:rFonts w:ascii="Times New Roman" w:hAnsi="Times New Roman"/>
          <w:spacing w:val="-2"/>
          <w:sz w:val="16"/>
          <w:szCs w:val="16"/>
        </w:rPr>
        <w:t xml:space="preserve">c) </w:t>
      </w:r>
      <w:r w:rsidRPr="005952F0">
        <w:rPr>
          <w:rFonts w:ascii="Times New Roman" w:hAnsi="Times New Roman"/>
          <w:spacing w:val="-2"/>
          <w:sz w:val="16"/>
          <w:szCs w:val="16"/>
        </w:rPr>
        <w:tab/>
        <w:t xml:space="preserve">Erforschung des Sachverhalts oder die Ermittlung des Aufenthaltsortes des Täters auf andere Weise </w:t>
      </w:r>
      <w:r w:rsidRPr="005952F0">
        <w:rPr>
          <w:rFonts w:ascii="Times New Roman" w:hAnsi="Times New Roman"/>
          <w:b/>
          <w:spacing w:val="-2"/>
          <w:sz w:val="16"/>
          <w:szCs w:val="16"/>
        </w:rPr>
        <w:t>aussichtslos</w:t>
      </w:r>
      <w:r w:rsidRPr="005952F0">
        <w:rPr>
          <w:rFonts w:ascii="Times New Roman" w:hAnsi="Times New Roman"/>
          <w:spacing w:val="-2"/>
          <w:sz w:val="16"/>
          <w:szCs w:val="16"/>
        </w:rPr>
        <w:t xml:space="preserve"> oder </w:t>
      </w:r>
      <w:r w:rsidRPr="005952F0">
        <w:rPr>
          <w:rFonts w:ascii="Times New Roman" w:hAnsi="Times New Roman"/>
          <w:b/>
          <w:spacing w:val="-2"/>
          <w:sz w:val="16"/>
          <w:szCs w:val="16"/>
        </w:rPr>
        <w:t>wesentlich</w:t>
      </w:r>
      <w:r w:rsidRPr="005952F0">
        <w:rPr>
          <w:rFonts w:ascii="Times New Roman" w:hAnsi="Times New Roman"/>
          <w:spacing w:val="-2"/>
          <w:sz w:val="16"/>
          <w:szCs w:val="16"/>
        </w:rPr>
        <w:t xml:space="preserve"> erschwert (verschärfte Subsidiaritätsklausel)</w:t>
      </w:r>
      <w:r w:rsidR="00F94576">
        <w:rPr>
          <w:rFonts w:ascii="Times New Roman" w:hAnsi="Times New Roman"/>
          <w:spacing w:val="-2"/>
          <w:sz w:val="16"/>
          <w:szCs w:val="16"/>
        </w:rPr>
        <w:t>;</w:t>
      </w:r>
      <w:r w:rsidRPr="005952F0">
        <w:rPr>
          <w:rFonts w:ascii="Times New Roman" w:hAnsi="Times New Roman"/>
          <w:spacing w:val="-2"/>
          <w:sz w:val="16"/>
          <w:szCs w:val="16"/>
        </w:rPr>
        <w:t xml:space="preserve"> </w:t>
      </w:r>
    </w:p>
    <w:p w14:paraId="6D6379A8" w14:textId="1CA90257" w:rsidR="00434B95" w:rsidRDefault="00434B95"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Pr>
          <w:rFonts w:ascii="Times New Roman" w:hAnsi="Times New Roman"/>
          <w:spacing w:val="-2"/>
          <w:sz w:val="16"/>
          <w:szCs w:val="16"/>
        </w:rPr>
        <w:t>d)</w:t>
      </w:r>
      <w:r>
        <w:rPr>
          <w:rFonts w:ascii="Times New Roman" w:hAnsi="Times New Roman"/>
          <w:spacing w:val="-2"/>
          <w:sz w:val="16"/>
          <w:szCs w:val="16"/>
        </w:rPr>
        <w:tab/>
      </w:r>
      <w:r>
        <w:rPr>
          <w:rFonts w:ascii="Times New Roman" w:hAnsi="Times New Roman"/>
          <w:spacing w:val="-2"/>
          <w:sz w:val="16"/>
          <w:szCs w:val="16"/>
        </w:rPr>
        <w:t xml:space="preserve">Auch hier ist der </w:t>
      </w:r>
      <w:r w:rsidRPr="00601648">
        <w:rPr>
          <w:rFonts w:ascii="Times New Roman" w:hAnsi="Times New Roman"/>
          <w:b/>
          <w:bCs/>
          <w:spacing w:val="-2"/>
          <w:sz w:val="16"/>
          <w:szCs w:val="16"/>
        </w:rPr>
        <w:t xml:space="preserve">Kernbereichsschutz </w:t>
      </w:r>
      <w:r>
        <w:rPr>
          <w:rFonts w:ascii="Times New Roman" w:hAnsi="Times New Roman"/>
          <w:spacing w:val="-2"/>
          <w:sz w:val="16"/>
          <w:szCs w:val="16"/>
        </w:rPr>
        <w:t>zu berücksichtigen, §§ 100f IV, 100d I, II StPO</w:t>
      </w:r>
      <w:r w:rsidR="00F8081A">
        <w:rPr>
          <w:rFonts w:ascii="Times New Roman" w:hAnsi="Times New Roman"/>
          <w:spacing w:val="-2"/>
          <w:sz w:val="16"/>
          <w:szCs w:val="16"/>
        </w:rPr>
        <w:t>;</w:t>
      </w:r>
    </w:p>
    <w:p w14:paraId="7AE49D50" w14:textId="76AF543C" w:rsidR="00BD5C13" w:rsidRPr="005952F0" w:rsidRDefault="00434B95" w:rsidP="00BC55AC">
      <w:pPr>
        <w:widowControl/>
        <w:tabs>
          <w:tab w:val="left" w:pos="-720"/>
          <w:tab w:val="left" w:pos="-142"/>
          <w:tab w:val="left" w:pos="851"/>
          <w:tab w:val="left" w:pos="1116"/>
          <w:tab w:val="left" w:pos="1404"/>
          <w:tab w:val="left" w:pos="1692"/>
          <w:tab w:val="left" w:pos="1980"/>
          <w:tab w:val="left" w:pos="2268"/>
          <w:tab w:val="left" w:pos="2880"/>
        </w:tabs>
        <w:ind w:left="851" w:hanging="284"/>
        <w:jc w:val="both"/>
        <w:rPr>
          <w:rFonts w:ascii="Times New Roman" w:hAnsi="Times New Roman"/>
          <w:spacing w:val="-2"/>
          <w:sz w:val="16"/>
          <w:szCs w:val="16"/>
        </w:rPr>
      </w:pPr>
      <w:r>
        <w:rPr>
          <w:rFonts w:ascii="Times New Roman" w:hAnsi="Times New Roman"/>
          <w:spacing w:val="-2"/>
          <w:sz w:val="16"/>
          <w:szCs w:val="16"/>
        </w:rPr>
        <w:t>e</w:t>
      </w:r>
      <w:r w:rsidR="00BD5C13">
        <w:rPr>
          <w:rFonts w:ascii="Times New Roman" w:hAnsi="Times New Roman"/>
          <w:spacing w:val="-2"/>
          <w:sz w:val="16"/>
          <w:szCs w:val="16"/>
        </w:rPr>
        <w:t>)</w:t>
      </w:r>
      <w:r w:rsidR="00BD5C13">
        <w:rPr>
          <w:rFonts w:ascii="Times New Roman" w:hAnsi="Times New Roman"/>
          <w:spacing w:val="-2"/>
          <w:sz w:val="16"/>
          <w:szCs w:val="16"/>
        </w:rPr>
        <w:tab/>
        <w:t>Verhältnismäßigkeit</w:t>
      </w:r>
      <w:r w:rsidR="00F94576">
        <w:rPr>
          <w:rFonts w:ascii="Times New Roman" w:hAnsi="Times New Roman"/>
          <w:spacing w:val="-2"/>
          <w:sz w:val="16"/>
          <w:szCs w:val="16"/>
        </w:rPr>
        <w:t>.</w:t>
      </w:r>
    </w:p>
    <w:p w14:paraId="3F4D2AAF" w14:textId="525262A9" w:rsidR="00532F61" w:rsidRPr="005952F0" w:rsidRDefault="00532F61" w:rsidP="00BC55AC">
      <w:pPr>
        <w:widowControl/>
        <w:tabs>
          <w:tab w:val="left" w:pos="-720"/>
          <w:tab w:val="left" w:pos="-142"/>
          <w:tab w:val="left" w:pos="567"/>
          <w:tab w:val="left" w:pos="1116"/>
          <w:tab w:val="left" w:pos="1404"/>
          <w:tab w:val="left" w:pos="1692"/>
          <w:tab w:val="left" w:pos="1980"/>
          <w:tab w:val="left" w:pos="2268"/>
          <w:tab w:val="left" w:pos="2880"/>
        </w:tabs>
        <w:ind w:left="567"/>
        <w:jc w:val="both"/>
        <w:rPr>
          <w:rFonts w:ascii="Times New Roman" w:hAnsi="Times New Roman"/>
          <w:spacing w:val="-2"/>
          <w:sz w:val="16"/>
          <w:szCs w:val="16"/>
        </w:rPr>
      </w:pPr>
      <w:r w:rsidRPr="005952F0">
        <w:rPr>
          <w:rFonts w:ascii="Times New Roman" w:hAnsi="Times New Roman"/>
          <w:spacing w:val="-2"/>
          <w:sz w:val="16"/>
          <w:szCs w:val="16"/>
        </w:rPr>
        <w:t xml:space="preserve">Gegen </w:t>
      </w:r>
      <w:r w:rsidRPr="005952F0">
        <w:rPr>
          <w:rFonts w:ascii="Times New Roman" w:hAnsi="Times New Roman"/>
          <w:b/>
          <w:spacing w:val="-2"/>
          <w:sz w:val="16"/>
          <w:szCs w:val="16"/>
        </w:rPr>
        <w:t>Dritte</w:t>
      </w:r>
      <w:r w:rsidRPr="005952F0">
        <w:rPr>
          <w:rFonts w:ascii="Times New Roman" w:hAnsi="Times New Roman"/>
          <w:spacing w:val="-2"/>
          <w:sz w:val="16"/>
          <w:szCs w:val="16"/>
        </w:rPr>
        <w:t xml:space="preserve"> ist eine Maßnahme nach §</w:t>
      </w:r>
      <w:r w:rsidR="009B5BF2">
        <w:rPr>
          <w:rFonts w:ascii="Times New Roman" w:hAnsi="Times New Roman"/>
          <w:spacing w:val="-2"/>
          <w:sz w:val="16"/>
          <w:szCs w:val="16"/>
        </w:rPr>
        <w:t> </w:t>
      </w:r>
      <w:r w:rsidRPr="005952F0">
        <w:rPr>
          <w:rFonts w:ascii="Times New Roman" w:hAnsi="Times New Roman"/>
          <w:spacing w:val="-2"/>
          <w:sz w:val="16"/>
          <w:szCs w:val="16"/>
        </w:rPr>
        <w:t xml:space="preserve">100f II 2 StPO nur zulässig, wenn auf Grund bestimmter Tatsachen anzunehmen ist, dass sie mit einem Beschuldigten in Verbindung stehen oder eine solche Verbindung hergestellt wird, die Maßnahme zur Erforschung des Sachverhalts oder zur Ermittlung des Aufenthaltsortes eines Beschuldigten führen wird und dies auf andere Weise aussichtslos oder wesentlich erschwert wäre. </w:t>
      </w:r>
    </w:p>
    <w:p w14:paraId="0E6B5677" w14:textId="001BA478" w:rsidR="00532F61" w:rsidRPr="005952F0" w:rsidRDefault="005F07DB" w:rsidP="00BC55AC">
      <w:pPr>
        <w:widowControl/>
        <w:tabs>
          <w:tab w:val="left" w:pos="-720"/>
          <w:tab w:val="left" w:pos="-142"/>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Pr>
          <w:rFonts w:ascii="Times New Roman" w:hAnsi="Times New Roman"/>
          <w:spacing w:val="-2"/>
          <w:sz w:val="16"/>
          <w:szCs w:val="16"/>
          <w:u w:val="single"/>
        </w:rPr>
        <w:t>3</w:t>
      </w:r>
      <w:r w:rsidR="00532F61" w:rsidRPr="00CE4F08">
        <w:rPr>
          <w:rFonts w:ascii="Times New Roman" w:hAnsi="Times New Roman"/>
          <w:spacing w:val="-2"/>
          <w:sz w:val="16"/>
          <w:szCs w:val="16"/>
          <w:u w:val="single"/>
        </w:rPr>
        <w:t xml:space="preserve">. </w:t>
      </w:r>
      <w:r w:rsidR="00532F61" w:rsidRPr="00CE4F08">
        <w:rPr>
          <w:rFonts w:ascii="Times New Roman" w:hAnsi="Times New Roman"/>
          <w:spacing w:val="-2"/>
          <w:sz w:val="16"/>
          <w:szCs w:val="16"/>
          <w:u w:val="single"/>
        </w:rPr>
        <w:tab/>
        <w:t>Herstellung von Lichtbildern und Bildaufzeichnungen des Beschuldigten (§</w:t>
      </w:r>
      <w:r w:rsidR="009B5BF2">
        <w:rPr>
          <w:rFonts w:ascii="Times New Roman" w:hAnsi="Times New Roman"/>
          <w:spacing w:val="-2"/>
          <w:sz w:val="16"/>
          <w:szCs w:val="16"/>
          <w:u w:val="single"/>
        </w:rPr>
        <w:t> </w:t>
      </w:r>
      <w:r w:rsidR="00532F61" w:rsidRPr="00CE4F08">
        <w:rPr>
          <w:rFonts w:ascii="Times New Roman" w:hAnsi="Times New Roman"/>
          <w:spacing w:val="-2"/>
          <w:sz w:val="16"/>
          <w:szCs w:val="16"/>
          <w:u w:val="single"/>
        </w:rPr>
        <w:t>100h I Nr. 1 StPO):</w:t>
      </w:r>
      <w:r w:rsidR="00532F61" w:rsidRPr="00CE4F08">
        <w:rPr>
          <w:rFonts w:ascii="Times New Roman" w:hAnsi="Times New Roman"/>
          <w:spacing w:val="-2"/>
          <w:sz w:val="16"/>
          <w:szCs w:val="16"/>
        </w:rPr>
        <w:t xml:space="preserve"> </w:t>
      </w:r>
      <w:r w:rsidR="00532F61" w:rsidRPr="00A302CC">
        <w:rPr>
          <w:rFonts w:ascii="Times New Roman" w:hAnsi="Times New Roman"/>
          <w:b/>
          <w:spacing w:val="-2"/>
          <w:sz w:val="16"/>
          <w:szCs w:val="16"/>
        </w:rPr>
        <w:t>Beispiel:</w:t>
      </w:r>
      <w:r w:rsidR="00532F61" w:rsidRPr="00CE4F08">
        <w:rPr>
          <w:rFonts w:ascii="Times New Roman" w:hAnsi="Times New Roman"/>
          <w:spacing w:val="-2"/>
          <w:sz w:val="16"/>
          <w:szCs w:val="16"/>
        </w:rPr>
        <w:t xml:space="preserve"> Videoüberwachung der Haustür; Bilder dü</w:t>
      </w:r>
      <w:r w:rsidR="00532F61" w:rsidRPr="005952F0">
        <w:rPr>
          <w:rFonts w:ascii="Times New Roman" w:hAnsi="Times New Roman"/>
          <w:spacing w:val="-2"/>
          <w:sz w:val="16"/>
          <w:szCs w:val="16"/>
        </w:rPr>
        <w:t xml:space="preserve">rfen ohne sein Wissen hergestellt werden, „wenn die Erforschung des Sachverhalts oder die Ermittlung des Aufenthaltsortes des Täters auf andere Weise weniger erfolgversprechend oder erschwert wäre“ (Subsidiaritätsklausel). Gegen </w:t>
      </w:r>
      <w:r w:rsidR="00532F61" w:rsidRPr="005952F0">
        <w:rPr>
          <w:rFonts w:ascii="Times New Roman" w:hAnsi="Times New Roman"/>
          <w:b/>
          <w:spacing w:val="-2"/>
          <w:sz w:val="16"/>
          <w:szCs w:val="16"/>
        </w:rPr>
        <w:t>Dritte</w:t>
      </w:r>
      <w:r w:rsidR="00532F61" w:rsidRPr="005952F0">
        <w:rPr>
          <w:rFonts w:ascii="Times New Roman" w:hAnsi="Times New Roman"/>
          <w:spacing w:val="-2"/>
          <w:sz w:val="16"/>
          <w:szCs w:val="16"/>
        </w:rPr>
        <w:t xml:space="preserve"> ist die Maßnahme nach §</w:t>
      </w:r>
      <w:r w:rsidR="009B5BF2">
        <w:rPr>
          <w:rFonts w:ascii="Times New Roman" w:hAnsi="Times New Roman"/>
          <w:spacing w:val="-2"/>
          <w:sz w:val="16"/>
          <w:szCs w:val="16"/>
        </w:rPr>
        <w:t> </w:t>
      </w:r>
      <w:r w:rsidR="00532F61" w:rsidRPr="005952F0">
        <w:rPr>
          <w:rFonts w:ascii="Times New Roman" w:hAnsi="Times New Roman"/>
          <w:spacing w:val="-2"/>
          <w:sz w:val="16"/>
          <w:szCs w:val="16"/>
        </w:rPr>
        <w:t xml:space="preserve">100h II Nr. 1 StPO nur zulässig, „wenn die Erforschung des Sachverhalts oder die Ermittlung des Aufenthaltsortes des Täters auf andere Weise </w:t>
      </w:r>
      <w:r w:rsidR="00532F61" w:rsidRPr="005952F0">
        <w:rPr>
          <w:rFonts w:ascii="Times New Roman" w:hAnsi="Times New Roman"/>
          <w:b/>
          <w:spacing w:val="-2"/>
          <w:sz w:val="16"/>
          <w:szCs w:val="16"/>
        </w:rPr>
        <w:t>erheblich</w:t>
      </w:r>
      <w:r w:rsidR="00532F61" w:rsidRPr="005952F0">
        <w:rPr>
          <w:rFonts w:ascii="Times New Roman" w:hAnsi="Times New Roman"/>
          <w:spacing w:val="-2"/>
          <w:sz w:val="16"/>
          <w:szCs w:val="16"/>
        </w:rPr>
        <w:t xml:space="preserve"> weniger erfolgversprechend oder </w:t>
      </w:r>
      <w:r w:rsidR="00532F61" w:rsidRPr="005952F0">
        <w:rPr>
          <w:rFonts w:ascii="Times New Roman" w:hAnsi="Times New Roman"/>
          <w:b/>
          <w:spacing w:val="-2"/>
          <w:sz w:val="16"/>
          <w:szCs w:val="16"/>
        </w:rPr>
        <w:t>wesentlich</w:t>
      </w:r>
      <w:r w:rsidR="00532F61" w:rsidRPr="005952F0">
        <w:rPr>
          <w:rFonts w:ascii="Times New Roman" w:hAnsi="Times New Roman"/>
          <w:spacing w:val="-2"/>
          <w:sz w:val="16"/>
          <w:szCs w:val="16"/>
        </w:rPr>
        <w:t xml:space="preserve"> erschwert wäre“ (verschärfte Subsidiaritätsklausel). </w:t>
      </w:r>
    </w:p>
    <w:p w14:paraId="46E0D35E" w14:textId="39B3E3D7" w:rsidR="00532F61" w:rsidRPr="005952F0" w:rsidRDefault="005F07DB" w:rsidP="00BC55AC">
      <w:pPr>
        <w:widowControl/>
        <w:tabs>
          <w:tab w:val="left" w:pos="-720"/>
          <w:tab w:val="left" w:pos="-142"/>
          <w:tab w:val="left" w:pos="284"/>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szCs w:val="16"/>
        </w:rPr>
      </w:pPr>
      <w:r>
        <w:rPr>
          <w:rFonts w:ascii="Times New Roman" w:hAnsi="Times New Roman"/>
          <w:spacing w:val="-2"/>
          <w:sz w:val="16"/>
          <w:szCs w:val="16"/>
          <w:u w:val="single"/>
        </w:rPr>
        <w:t>4</w:t>
      </w:r>
      <w:r w:rsidR="00532F61" w:rsidRPr="00CE4F08">
        <w:rPr>
          <w:rFonts w:ascii="Times New Roman" w:hAnsi="Times New Roman"/>
          <w:spacing w:val="-2"/>
          <w:sz w:val="16"/>
          <w:szCs w:val="16"/>
          <w:u w:val="single"/>
        </w:rPr>
        <w:t xml:space="preserve">. </w:t>
      </w:r>
      <w:r w:rsidR="00532F61" w:rsidRPr="00CE4F08">
        <w:rPr>
          <w:rFonts w:ascii="Times New Roman" w:hAnsi="Times New Roman"/>
          <w:spacing w:val="-2"/>
          <w:sz w:val="16"/>
          <w:szCs w:val="16"/>
          <w:u w:val="single"/>
        </w:rPr>
        <w:tab/>
        <w:t>Sonstige Observati</w:t>
      </w:r>
      <w:r w:rsidR="00532F61" w:rsidRPr="0070505E">
        <w:rPr>
          <w:rFonts w:ascii="Times New Roman" w:hAnsi="Times New Roman"/>
          <w:spacing w:val="-2"/>
          <w:sz w:val="16"/>
          <w:szCs w:val="16"/>
          <w:u w:val="single"/>
        </w:rPr>
        <w:t>onen</w:t>
      </w:r>
      <w:r w:rsidR="00532F61" w:rsidRPr="0070505E">
        <w:rPr>
          <w:rFonts w:ascii="Times New Roman" w:hAnsi="Times New Roman"/>
          <w:b/>
          <w:spacing w:val="-2"/>
          <w:sz w:val="16"/>
          <w:szCs w:val="16"/>
          <w:u w:val="single"/>
        </w:rPr>
        <w:t xml:space="preserve"> </w:t>
      </w:r>
      <w:r w:rsidR="00532F61" w:rsidRPr="0070505E">
        <w:rPr>
          <w:rFonts w:ascii="Times New Roman" w:hAnsi="Times New Roman"/>
          <w:spacing w:val="-2"/>
          <w:sz w:val="16"/>
          <w:szCs w:val="16"/>
          <w:u w:val="single"/>
        </w:rPr>
        <w:t>(§</w:t>
      </w:r>
      <w:r w:rsidR="009B5BF2">
        <w:rPr>
          <w:rFonts w:ascii="Times New Roman" w:hAnsi="Times New Roman"/>
          <w:spacing w:val="-2"/>
          <w:sz w:val="16"/>
          <w:szCs w:val="16"/>
          <w:u w:val="single"/>
        </w:rPr>
        <w:t> </w:t>
      </w:r>
      <w:r w:rsidR="00532F61" w:rsidRPr="0070505E">
        <w:rPr>
          <w:rFonts w:ascii="Times New Roman" w:hAnsi="Times New Roman"/>
          <w:spacing w:val="-2"/>
          <w:sz w:val="16"/>
          <w:szCs w:val="16"/>
          <w:u w:val="single"/>
        </w:rPr>
        <w:t>100h I Nr. 2 StPO):</w:t>
      </w:r>
      <w:r w:rsidR="00532F61" w:rsidRPr="00CE4F08">
        <w:rPr>
          <w:rFonts w:ascii="Times New Roman" w:hAnsi="Times New Roman"/>
          <w:spacing w:val="-2"/>
          <w:sz w:val="16"/>
          <w:szCs w:val="16"/>
        </w:rPr>
        <w:t xml:space="preserve"> „Sonstige technische Mittel“ (z.B.: Bewegu</w:t>
      </w:r>
      <w:r w:rsidR="00532F61" w:rsidRPr="005952F0">
        <w:rPr>
          <w:rFonts w:ascii="Times New Roman" w:hAnsi="Times New Roman"/>
          <w:spacing w:val="-2"/>
          <w:sz w:val="16"/>
          <w:szCs w:val="16"/>
        </w:rPr>
        <w:t xml:space="preserve">ngsmelder, Peilsender, GPS) dürfen ohne Wissen des Beschuldigten zu Observationszwecken verwendet werden, wenn a) Gegenstand der Untersuchung eine Straftat von erheblicher Bedeutung ist und b) „die Erforschung des Sachverhalts oder die Ermittlung des Aufenthaltsortes des Täters auf andere Weise weniger erfolgversprechend oder erschwert wäre“ (Subsidiaritätsklausel). </w:t>
      </w:r>
    </w:p>
    <w:p w14:paraId="3A19A992" w14:textId="7459B15E" w:rsidR="00532F61" w:rsidRPr="005952F0" w:rsidRDefault="00532F61" w:rsidP="00BC55AC">
      <w:pPr>
        <w:widowControl/>
        <w:tabs>
          <w:tab w:val="left" w:pos="-720"/>
          <w:tab w:val="left" w:pos="-142"/>
          <w:tab w:val="left" w:pos="567"/>
          <w:tab w:val="left" w:pos="1116"/>
          <w:tab w:val="left" w:pos="1404"/>
          <w:tab w:val="left" w:pos="1692"/>
          <w:tab w:val="left" w:pos="1980"/>
          <w:tab w:val="left" w:pos="2268"/>
          <w:tab w:val="left" w:pos="2880"/>
        </w:tabs>
        <w:ind w:left="567" w:hanging="273"/>
        <w:jc w:val="both"/>
        <w:rPr>
          <w:rFonts w:ascii="Times New Roman" w:hAnsi="Times New Roman"/>
          <w:spacing w:val="-2"/>
          <w:sz w:val="16"/>
          <w:szCs w:val="16"/>
        </w:rPr>
      </w:pPr>
      <w:r w:rsidRPr="005952F0">
        <w:rPr>
          <w:rFonts w:ascii="Times New Roman" w:hAnsi="Times New Roman"/>
          <w:spacing w:val="-2"/>
          <w:sz w:val="16"/>
          <w:szCs w:val="16"/>
        </w:rPr>
        <w:tab/>
        <w:t xml:space="preserve">Gegen </w:t>
      </w:r>
      <w:r w:rsidRPr="005952F0">
        <w:rPr>
          <w:rFonts w:ascii="Times New Roman" w:hAnsi="Times New Roman"/>
          <w:b/>
          <w:spacing w:val="-2"/>
          <w:sz w:val="16"/>
          <w:szCs w:val="16"/>
        </w:rPr>
        <w:t>Dritte</w:t>
      </w:r>
      <w:r w:rsidRPr="005952F0">
        <w:rPr>
          <w:rFonts w:ascii="Times New Roman" w:hAnsi="Times New Roman"/>
          <w:spacing w:val="-2"/>
          <w:sz w:val="16"/>
          <w:szCs w:val="16"/>
        </w:rPr>
        <w:t xml:space="preserve"> (z.B. Kontaktpersonen des Beschuldigten) ist eine gezielte Maßnahme nach §</w:t>
      </w:r>
      <w:r w:rsidR="009B5BF2">
        <w:rPr>
          <w:rFonts w:ascii="Times New Roman" w:hAnsi="Times New Roman"/>
          <w:spacing w:val="-2"/>
          <w:sz w:val="16"/>
          <w:szCs w:val="16"/>
        </w:rPr>
        <w:t> </w:t>
      </w:r>
      <w:r w:rsidRPr="005952F0">
        <w:rPr>
          <w:rFonts w:ascii="Times New Roman" w:hAnsi="Times New Roman"/>
          <w:spacing w:val="-2"/>
          <w:sz w:val="16"/>
          <w:szCs w:val="16"/>
        </w:rPr>
        <w:t xml:space="preserve">100h II Nr. 2 StPO nur zulässig, wenn a) auf Grund bestimmter Tatsachen anzunehmen ist, dass sie mit einem Beschuldigten in Verbindung stehen oder eine solche Verbindung hergestellt wird, b) die Maßnahme zur Erforschung des Sachverhalts oder zur Ermittlung des Aufenthaltsortes eines Beschuldigten führen wird und c) dies auf andere Weise </w:t>
      </w:r>
      <w:r w:rsidRPr="005952F0">
        <w:rPr>
          <w:rFonts w:ascii="Times New Roman" w:hAnsi="Times New Roman"/>
          <w:b/>
          <w:spacing w:val="-2"/>
          <w:sz w:val="16"/>
          <w:szCs w:val="16"/>
        </w:rPr>
        <w:t xml:space="preserve">aussichtslos </w:t>
      </w:r>
      <w:r w:rsidRPr="005952F0">
        <w:rPr>
          <w:rFonts w:ascii="Times New Roman" w:hAnsi="Times New Roman"/>
          <w:spacing w:val="-2"/>
          <w:sz w:val="16"/>
          <w:szCs w:val="16"/>
        </w:rPr>
        <w:t xml:space="preserve">oder </w:t>
      </w:r>
      <w:r w:rsidRPr="005952F0">
        <w:rPr>
          <w:rFonts w:ascii="Times New Roman" w:hAnsi="Times New Roman"/>
          <w:b/>
          <w:spacing w:val="-2"/>
          <w:sz w:val="16"/>
          <w:szCs w:val="16"/>
        </w:rPr>
        <w:t>wesentlich erschwert</w:t>
      </w:r>
      <w:r w:rsidRPr="005952F0">
        <w:rPr>
          <w:rFonts w:ascii="Times New Roman" w:hAnsi="Times New Roman"/>
          <w:spacing w:val="-2"/>
          <w:sz w:val="16"/>
          <w:szCs w:val="16"/>
        </w:rPr>
        <w:t xml:space="preserve"> wäre (sehr verschärfte Subsidiaritätsklausel). </w:t>
      </w:r>
    </w:p>
    <w:p w14:paraId="058B1983" w14:textId="59FC184E" w:rsidR="00532F61" w:rsidRPr="005952F0" w:rsidRDefault="005F07DB" w:rsidP="00BC55AC">
      <w:pPr>
        <w:widowControl/>
        <w:tabs>
          <w:tab w:val="left" w:pos="-720"/>
          <w:tab w:val="left" w:pos="-142"/>
          <w:tab w:val="left" w:pos="567"/>
          <w:tab w:val="left" w:pos="1116"/>
          <w:tab w:val="left" w:pos="1404"/>
          <w:tab w:val="left" w:pos="1692"/>
          <w:tab w:val="left" w:pos="1980"/>
          <w:tab w:val="left" w:pos="2268"/>
          <w:tab w:val="left" w:pos="2880"/>
        </w:tabs>
        <w:ind w:left="567" w:hanging="273"/>
        <w:jc w:val="both"/>
        <w:rPr>
          <w:rFonts w:ascii="Times New Roman" w:hAnsi="Times New Roman"/>
          <w:b/>
          <w:spacing w:val="-2"/>
          <w:sz w:val="16"/>
          <w:szCs w:val="16"/>
        </w:rPr>
      </w:pPr>
      <w:r>
        <w:rPr>
          <w:rFonts w:ascii="Times New Roman" w:hAnsi="Times New Roman"/>
          <w:spacing w:val="-2"/>
          <w:sz w:val="16"/>
          <w:szCs w:val="16"/>
          <w:u w:val="single"/>
        </w:rPr>
        <w:t>5</w:t>
      </w:r>
      <w:r w:rsidR="00532F61" w:rsidRPr="00CE4F08">
        <w:rPr>
          <w:rFonts w:ascii="Times New Roman" w:hAnsi="Times New Roman"/>
          <w:spacing w:val="-2"/>
          <w:sz w:val="16"/>
          <w:szCs w:val="16"/>
          <w:u w:val="single"/>
        </w:rPr>
        <w:t xml:space="preserve">. </w:t>
      </w:r>
      <w:r w:rsidR="00CE4F08">
        <w:rPr>
          <w:rFonts w:ascii="Times New Roman" w:hAnsi="Times New Roman"/>
          <w:spacing w:val="-2"/>
          <w:sz w:val="16"/>
          <w:szCs w:val="16"/>
          <w:u w:val="single"/>
        </w:rPr>
        <w:tab/>
      </w:r>
      <w:r w:rsidR="00532F61" w:rsidRPr="00CE4F08">
        <w:rPr>
          <w:rFonts w:ascii="Times New Roman" w:hAnsi="Times New Roman"/>
          <w:spacing w:val="-2"/>
          <w:sz w:val="16"/>
          <w:szCs w:val="16"/>
          <w:u w:val="single"/>
        </w:rPr>
        <w:t>Zufallsfunde:</w:t>
      </w:r>
      <w:r w:rsidR="00532F61" w:rsidRPr="00CE4F08">
        <w:rPr>
          <w:rFonts w:ascii="Times New Roman" w:hAnsi="Times New Roman"/>
          <w:spacing w:val="-2"/>
          <w:sz w:val="16"/>
          <w:szCs w:val="16"/>
        </w:rPr>
        <w:t xml:space="preserve"> Für den „kleinen“ Lauschangriff vgl. </w:t>
      </w:r>
      <w:r w:rsidR="00C81977" w:rsidRPr="00C81977">
        <w:rPr>
          <w:rFonts w:ascii="Times New Roman" w:hAnsi="Times New Roman"/>
          <w:b/>
          <w:spacing w:val="-2"/>
          <w:sz w:val="16"/>
          <w:szCs w:val="16"/>
        </w:rPr>
        <w:t>§§</w:t>
      </w:r>
      <w:r w:rsidR="00AB118B">
        <w:rPr>
          <w:rFonts w:ascii="Times New Roman" w:hAnsi="Times New Roman"/>
          <w:b/>
          <w:spacing w:val="-2"/>
          <w:sz w:val="16"/>
          <w:szCs w:val="16"/>
        </w:rPr>
        <w:t> </w:t>
      </w:r>
      <w:r w:rsidR="00C81977" w:rsidRPr="00C81977">
        <w:rPr>
          <w:rFonts w:ascii="Times New Roman" w:hAnsi="Times New Roman"/>
          <w:b/>
          <w:spacing w:val="-2"/>
          <w:sz w:val="16"/>
          <w:szCs w:val="16"/>
        </w:rPr>
        <w:t>161</w:t>
      </w:r>
      <w:r w:rsidR="00AB118B">
        <w:rPr>
          <w:rFonts w:ascii="Times New Roman" w:hAnsi="Times New Roman"/>
          <w:b/>
          <w:spacing w:val="-2"/>
          <w:sz w:val="16"/>
          <w:szCs w:val="16"/>
        </w:rPr>
        <w:t> </w:t>
      </w:r>
      <w:r w:rsidR="00C81977">
        <w:rPr>
          <w:rFonts w:ascii="Times New Roman" w:hAnsi="Times New Roman"/>
          <w:b/>
          <w:spacing w:val="-2"/>
          <w:sz w:val="16"/>
          <w:szCs w:val="16"/>
        </w:rPr>
        <w:t>III</w:t>
      </w:r>
      <w:r w:rsidR="00C81977" w:rsidRPr="00C81977">
        <w:rPr>
          <w:rFonts w:ascii="Times New Roman" w:hAnsi="Times New Roman"/>
          <w:b/>
          <w:spacing w:val="-2"/>
          <w:sz w:val="16"/>
          <w:szCs w:val="16"/>
        </w:rPr>
        <w:t>, 479</w:t>
      </w:r>
      <w:r w:rsidR="00AB118B">
        <w:rPr>
          <w:rFonts w:ascii="Times New Roman" w:hAnsi="Times New Roman"/>
          <w:b/>
          <w:spacing w:val="-2"/>
          <w:sz w:val="16"/>
          <w:szCs w:val="16"/>
        </w:rPr>
        <w:t> </w:t>
      </w:r>
      <w:r w:rsidR="00C81977">
        <w:rPr>
          <w:rFonts w:ascii="Times New Roman" w:hAnsi="Times New Roman"/>
          <w:b/>
          <w:spacing w:val="-2"/>
          <w:sz w:val="16"/>
          <w:szCs w:val="16"/>
        </w:rPr>
        <w:t>II</w:t>
      </w:r>
      <w:r w:rsidR="00AB118B">
        <w:rPr>
          <w:rFonts w:ascii="Times New Roman" w:hAnsi="Times New Roman"/>
          <w:b/>
          <w:spacing w:val="-2"/>
          <w:sz w:val="16"/>
          <w:szCs w:val="16"/>
        </w:rPr>
        <w:t> </w:t>
      </w:r>
      <w:r w:rsidR="00C81977">
        <w:rPr>
          <w:rFonts w:ascii="Times New Roman" w:hAnsi="Times New Roman"/>
          <w:b/>
          <w:spacing w:val="-2"/>
          <w:sz w:val="16"/>
          <w:szCs w:val="16"/>
        </w:rPr>
        <w:t>1</w:t>
      </w:r>
      <w:r w:rsidR="00AB118B">
        <w:rPr>
          <w:rFonts w:ascii="Times New Roman" w:hAnsi="Times New Roman"/>
          <w:b/>
          <w:spacing w:val="-2"/>
          <w:sz w:val="16"/>
          <w:szCs w:val="16"/>
        </w:rPr>
        <w:t> </w:t>
      </w:r>
      <w:r w:rsidR="00C81977" w:rsidRPr="00C81977">
        <w:rPr>
          <w:rFonts w:ascii="Times New Roman" w:hAnsi="Times New Roman"/>
          <w:b/>
          <w:spacing w:val="-2"/>
          <w:sz w:val="16"/>
          <w:szCs w:val="16"/>
        </w:rPr>
        <w:t>StPO</w:t>
      </w:r>
      <w:r w:rsidR="00532F61" w:rsidRPr="005952F0">
        <w:rPr>
          <w:rFonts w:ascii="Times New Roman" w:hAnsi="Times New Roman"/>
          <w:spacing w:val="-2"/>
          <w:sz w:val="16"/>
          <w:szCs w:val="16"/>
        </w:rPr>
        <w:t xml:space="preserve">; für den „großen“ Lauschangriff besteht eine Sonderregelung in </w:t>
      </w:r>
      <w:r w:rsidR="00532F61" w:rsidRPr="005952F0">
        <w:rPr>
          <w:rFonts w:ascii="Times New Roman" w:hAnsi="Times New Roman"/>
          <w:b/>
          <w:spacing w:val="-2"/>
          <w:sz w:val="16"/>
          <w:szCs w:val="16"/>
        </w:rPr>
        <w:t>§ </w:t>
      </w:r>
      <w:r w:rsidR="00931A4B" w:rsidRPr="005952F0">
        <w:rPr>
          <w:rFonts w:ascii="Times New Roman" w:hAnsi="Times New Roman"/>
          <w:b/>
          <w:spacing w:val="-2"/>
          <w:sz w:val="16"/>
          <w:szCs w:val="16"/>
        </w:rPr>
        <w:t>100e </w:t>
      </w:r>
      <w:r w:rsidR="00532F61" w:rsidRPr="005952F0">
        <w:rPr>
          <w:rFonts w:ascii="Times New Roman" w:hAnsi="Times New Roman"/>
          <w:b/>
          <w:spacing w:val="-2"/>
          <w:sz w:val="16"/>
          <w:szCs w:val="16"/>
        </w:rPr>
        <w:t>V</w:t>
      </w:r>
      <w:r w:rsidR="00931A4B" w:rsidRPr="005952F0">
        <w:rPr>
          <w:rFonts w:ascii="Times New Roman" w:hAnsi="Times New Roman"/>
          <w:b/>
          <w:spacing w:val="-2"/>
          <w:sz w:val="16"/>
          <w:szCs w:val="16"/>
        </w:rPr>
        <w:t>I</w:t>
      </w:r>
      <w:r w:rsidR="00532F61" w:rsidRPr="005952F0">
        <w:rPr>
          <w:rFonts w:ascii="Times New Roman" w:hAnsi="Times New Roman"/>
          <w:b/>
          <w:spacing w:val="-2"/>
          <w:sz w:val="16"/>
          <w:szCs w:val="16"/>
        </w:rPr>
        <w:t> StPO</w:t>
      </w:r>
      <w:r w:rsidR="00532F61" w:rsidRPr="005952F0">
        <w:rPr>
          <w:rFonts w:ascii="Times New Roman" w:hAnsi="Times New Roman"/>
          <w:spacing w:val="-2"/>
          <w:sz w:val="16"/>
          <w:szCs w:val="16"/>
        </w:rPr>
        <w:t>.</w:t>
      </w:r>
    </w:p>
    <w:p w14:paraId="445E7767" w14:textId="77777777" w:rsidR="002F1EC9" w:rsidRPr="005952F0" w:rsidRDefault="00532F61" w:rsidP="005952F0">
      <w:pPr>
        <w:widowControl/>
        <w:tabs>
          <w:tab w:val="left" w:pos="-720"/>
          <w:tab w:val="left" w:pos="-142"/>
          <w:tab w:val="left" w:pos="284"/>
          <w:tab w:val="left" w:pos="864"/>
          <w:tab w:val="left" w:pos="1116"/>
          <w:tab w:val="left" w:pos="1404"/>
          <w:tab w:val="left" w:pos="1692"/>
          <w:tab w:val="left" w:pos="1980"/>
          <w:tab w:val="left" w:pos="2268"/>
          <w:tab w:val="left" w:pos="2880"/>
        </w:tabs>
        <w:spacing w:line="130" w:lineRule="exact"/>
        <w:ind w:left="436" w:hanging="284"/>
        <w:jc w:val="both"/>
        <w:rPr>
          <w:rFonts w:ascii="Times New Roman" w:hAnsi="Times New Roman"/>
          <w:spacing w:val="-2"/>
          <w:sz w:val="16"/>
          <w:szCs w:val="16"/>
        </w:rPr>
      </w:pPr>
      <w:r w:rsidRPr="005952F0">
        <w:rPr>
          <w:rFonts w:ascii="Times New Roman" w:hAnsi="Times New Roman"/>
          <w:spacing w:val="-2"/>
          <w:sz w:val="16"/>
          <w:szCs w:val="16"/>
        </w:rPr>
        <w:tab/>
      </w:r>
    </w:p>
    <w:p w14:paraId="771788D3" w14:textId="697855DF" w:rsidR="00532F61" w:rsidRPr="00973F72" w:rsidRDefault="00532F61" w:rsidP="00BC55AC">
      <w:pPr>
        <w:widowControl/>
        <w:tabs>
          <w:tab w:val="left" w:pos="-720"/>
          <w:tab w:val="left" w:pos="0"/>
          <w:tab w:val="left" w:pos="288"/>
          <w:tab w:val="left" w:pos="576"/>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4"/>
          <w:szCs w:val="14"/>
        </w:rPr>
      </w:pPr>
      <w:r w:rsidRPr="00973F72">
        <w:rPr>
          <w:rFonts w:ascii="Times New Roman" w:hAnsi="Times New Roman"/>
          <w:b/>
          <w:spacing w:val="-2"/>
          <w:sz w:val="14"/>
          <w:szCs w:val="14"/>
        </w:rPr>
        <w:t>Literatur/Lehrbücher:</w:t>
      </w:r>
      <w:r w:rsidRPr="00973F72">
        <w:rPr>
          <w:rFonts w:ascii="Times New Roman" w:hAnsi="Times New Roman"/>
          <w:b/>
          <w:spacing w:val="-2"/>
          <w:sz w:val="14"/>
          <w:szCs w:val="14"/>
        </w:rPr>
        <w:tab/>
      </w:r>
      <w:r w:rsidR="00D15D1E" w:rsidRPr="00973F72">
        <w:rPr>
          <w:rFonts w:ascii="Times New Roman" w:hAnsi="Times New Roman"/>
          <w:i/>
          <w:spacing w:val="-2"/>
          <w:sz w:val="14"/>
          <w:szCs w:val="14"/>
        </w:rPr>
        <w:t>Heinrich/Reinbacher</w:t>
      </w:r>
      <w:r w:rsidR="00D15D1E" w:rsidRPr="00973F72">
        <w:rPr>
          <w:rFonts w:ascii="Times New Roman" w:hAnsi="Times New Roman"/>
          <w:spacing w:val="-2"/>
          <w:sz w:val="14"/>
          <w:szCs w:val="14"/>
        </w:rPr>
        <w:t xml:space="preserve">, Examinatorium Strafprozessrecht, </w:t>
      </w:r>
      <w:r w:rsidR="007805A1" w:rsidRPr="00973F72">
        <w:rPr>
          <w:rFonts w:ascii="Times New Roman" w:hAnsi="Times New Roman"/>
          <w:spacing w:val="-2"/>
          <w:sz w:val="14"/>
          <w:szCs w:val="14"/>
        </w:rPr>
        <w:t>4</w:t>
      </w:r>
      <w:r w:rsidR="00E42093" w:rsidRPr="00973F72">
        <w:rPr>
          <w:rFonts w:ascii="Times New Roman" w:hAnsi="Times New Roman"/>
          <w:spacing w:val="-2"/>
          <w:sz w:val="14"/>
          <w:szCs w:val="14"/>
        </w:rPr>
        <w:t>. Auflage 20</w:t>
      </w:r>
      <w:r w:rsidR="00C81977" w:rsidRPr="00973F72">
        <w:rPr>
          <w:rFonts w:ascii="Times New Roman" w:hAnsi="Times New Roman"/>
          <w:spacing w:val="-2"/>
          <w:sz w:val="14"/>
          <w:szCs w:val="14"/>
        </w:rPr>
        <w:t>2</w:t>
      </w:r>
      <w:r w:rsidR="007805A1" w:rsidRPr="00973F72">
        <w:rPr>
          <w:rFonts w:ascii="Times New Roman" w:hAnsi="Times New Roman"/>
          <w:spacing w:val="-2"/>
          <w:sz w:val="14"/>
          <w:szCs w:val="14"/>
        </w:rPr>
        <w:t>3</w:t>
      </w:r>
      <w:r w:rsidR="00E42093" w:rsidRPr="00973F72">
        <w:rPr>
          <w:rFonts w:ascii="Times New Roman" w:hAnsi="Times New Roman"/>
          <w:spacing w:val="-2"/>
          <w:sz w:val="14"/>
          <w:szCs w:val="14"/>
        </w:rPr>
        <w:t xml:space="preserve">, </w:t>
      </w:r>
      <w:r w:rsidR="00D15D1E" w:rsidRPr="00973F72">
        <w:rPr>
          <w:rFonts w:ascii="Times New Roman" w:hAnsi="Times New Roman"/>
          <w:spacing w:val="-2"/>
          <w:sz w:val="14"/>
          <w:szCs w:val="14"/>
        </w:rPr>
        <w:t>Problem 20.</w:t>
      </w:r>
    </w:p>
    <w:p w14:paraId="5CE901C2" w14:textId="6E6145E9" w:rsidR="00532F61" w:rsidRPr="00973F72" w:rsidRDefault="00532F61" w:rsidP="00BC55AC">
      <w:pPr>
        <w:widowControl/>
        <w:tabs>
          <w:tab w:val="left" w:pos="-720"/>
          <w:tab w:val="left" w:pos="0"/>
          <w:tab w:val="left" w:pos="288"/>
          <w:tab w:val="left" w:pos="576"/>
          <w:tab w:val="left" w:pos="864"/>
          <w:tab w:val="left" w:pos="1116"/>
          <w:tab w:val="left" w:pos="1418"/>
          <w:tab w:val="left" w:pos="1692"/>
          <w:tab w:val="left" w:pos="2268"/>
          <w:tab w:val="left" w:pos="2880"/>
        </w:tabs>
        <w:ind w:left="1418" w:hanging="1418"/>
        <w:jc w:val="both"/>
        <w:rPr>
          <w:rFonts w:ascii="Times New Roman" w:hAnsi="Times New Roman"/>
          <w:spacing w:val="-2"/>
          <w:sz w:val="14"/>
          <w:szCs w:val="14"/>
        </w:rPr>
      </w:pPr>
      <w:r w:rsidRPr="00973F72">
        <w:rPr>
          <w:rFonts w:ascii="Times New Roman" w:hAnsi="Times New Roman"/>
          <w:b/>
          <w:spacing w:val="-2"/>
          <w:sz w:val="14"/>
          <w:szCs w:val="14"/>
        </w:rPr>
        <w:t>Literatur/Aufsätze:</w:t>
      </w:r>
      <w:r w:rsidRPr="00973F72">
        <w:rPr>
          <w:rFonts w:ascii="Times New Roman" w:hAnsi="Times New Roman"/>
          <w:b/>
          <w:spacing w:val="-2"/>
          <w:sz w:val="14"/>
          <w:szCs w:val="14"/>
        </w:rPr>
        <w:tab/>
      </w:r>
      <w:r w:rsidRPr="00973F72">
        <w:rPr>
          <w:rFonts w:ascii="Times New Roman" w:hAnsi="Times New Roman"/>
          <w:i/>
          <w:spacing w:val="-2"/>
          <w:sz w:val="14"/>
          <w:szCs w:val="14"/>
        </w:rPr>
        <w:t>Bosch</w:t>
      </w:r>
      <w:r w:rsidRPr="00973F72">
        <w:rPr>
          <w:rFonts w:ascii="Times New Roman" w:hAnsi="Times New Roman"/>
          <w:spacing w:val="-2"/>
          <w:sz w:val="14"/>
          <w:szCs w:val="14"/>
        </w:rPr>
        <w:t xml:space="preserve">, Verwertung von Telekommunikationsverbindungsdaten, JA 2006, 747; </w:t>
      </w:r>
      <w:r w:rsidRPr="00973F72">
        <w:rPr>
          <w:rFonts w:ascii="Times New Roman" w:hAnsi="Times New Roman"/>
          <w:i/>
          <w:spacing w:val="-2"/>
          <w:sz w:val="14"/>
          <w:szCs w:val="14"/>
        </w:rPr>
        <w:t>v.</w:t>
      </w:r>
      <w:r w:rsidR="00B408B4" w:rsidRPr="00973F72">
        <w:rPr>
          <w:rFonts w:ascii="Times New Roman" w:hAnsi="Times New Roman"/>
          <w:i/>
          <w:spacing w:val="-2"/>
          <w:sz w:val="14"/>
          <w:szCs w:val="14"/>
        </w:rPr>
        <w:t xml:space="preserve"> </w:t>
      </w:r>
      <w:proofErr w:type="spellStart"/>
      <w:r w:rsidRPr="00973F72">
        <w:rPr>
          <w:rFonts w:ascii="Times New Roman" w:hAnsi="Times New Roman"/>
          <w:i/>
          <w:spacing w:val="-2"/>
          <w:sz w:val="14"/>
          <w:szCs w:val="14"/>
        </w:rPr>
        <w:t>Heintschel-Heinegg</w:t>
      </w:r>
      <w:proofErr w:type="spellEnd"/>
      <w:r w:rsidRPr="00973F72">
        <w:rPr>
          <w:rFonts w:ascii="Times New Roman" w:hAnsi="Times New Roman"/>
          <w:spacing w:val="-2"/>
          <w:sz w:val="14"/>
          <w:szCs w:val="14"/>
        </w:rPr>
        <w:t xml:space="preserve">, Verfassungsmäßigkeit der Ermittlung von Mobilfunkdaten durch IMSI-Catcher, JA 2007, 75; </w:t>
      </w:r>
      <w:r w:rsidR="00C77329" w:rsidRPr="00973F72">
        <w:rPr>
          <w:rFonts w:ascii="Times New Roman" w:hAnsi="Times New Roman"/>
          <w:bCs/>
          <w:i/>
          <w:spacing w:val="-2"/>
          <w:sz w:val="14"/>
          <w:szCs w:val="14"/>
        </w:rPr>
        <w:t>Jahn</w:t>
      </w:r>
      <w:r w:rsidR="00C77329" w:rsidRPr="00973F72">
        <w:rPr>
          <w:rFonts w:ascii="Times New Roman" w:hAnsi="Times New Roman"/>
          <w:bCs/>
          <w:spacing w:val="-2"/>
          <w:sz w:val="14"/>
          <w:szCs w:val="14"/>
        </w:rPr>
        <w:t xml:space="preserve">, Kein Verwertungsverbot bei Überschreitung der Höchstdauer einer Abhörmaßnahme, JA 1999, 455; </w:t>
      </w:r>
      <w:r w:rsidRPr="00973F72">
        <w:rPr>
          <w:rFonts w:ascii="Times New Roman" w:hAnsi="Times New Roman"/>
          <w:i/>
          <w:spacing w:val="-2"/>
          <w:sz w:val="14"/>
          <w:szCs w:val="14"/>
        </w:rPr>
        <w:t>Kretschmer</w:t>
      </w:r>
      <w:r w:rsidRPr="00973F72">
        <w:rPr>
          <w:rFonts w:ascii="Times New Roman" w:hAnsi="Times New Roman"/>
          <w:spacing w:val="-2"/>
          <w:sz w:val="14"/>
          <w:szCs w:val="14"/>
        </w:rPr>
        <w:t>, Der große Lauschangriff auf die Wohnung als strafprozessuale Ermittlungsmaßnahme, JURA</w:t>
      </w:r>
      <w:r w:rsidR="009D5ABA" w:rsidRPr="00973F72">
        <w:rPr>
          <w:rFonts w:ascii="Times New Roman" w:hAnsi="Times New Roman"/>
          <w:spacing w:val="-2"/>
          <w:sz w:val="14"/>
          <w:szCs w:val="14"/>
        </w:rPr>
        <w:t> </w:t>
      </w:r>
      <w:r w:rsidRPr="00973F72">
        <w:rPr>
          <w:rFonts w:ascii="Times New Roman" w:hAnsi="Times New Roman"/>
          <w:spacing w:val="-2"/>
          <w:sz w:val="14"/>
          <w:szCs w:val="14"/>
        </w:rPr>
        <w:t xml:space="preserve">1997, 581; </w:t>
      </w:r>
      <w:r w:rsidRPr="00973F72">
        <w:rPr>
          <w:rFonts w:ascii="Times New Roman" w:hAnsi="Times New Roman"/>
          <w:i/>
          <w:spacing w:val="-2"/>
          <w:sz w:val="14"/>
          <w:szCs w:val="14"/>
        </w:rPr>
        <w:t>Martensen</w:t>
      </w:r>
      <w:r w:rsidRPr="00973F72">
        <w:rPr>
          <w:rFonts w:ascii="Times New Roman" w:hAnsi="Times New Roman"/>
          <w:spacing w:val="-2"/>
          <w:sz w:val="14"/>
          <w:szCs w:val="14"/>
        </w:rPr>
        <w:t xml:space="preserve">, Strafprozessuale Ermittlungen im Lichte des Vorbehalts des Gesetzes, </w:t>
      </w:r>
      <w:proofErr w:type="spellStart"/>
      <w:r w:rsidRPr="00973F72">
        <w:rPr>
          <w:rFonts w:ascii="Times New Roman" w:hAnsi="Times New Roman"/>
          <w:spacing w:val="-2"/>
          <w:sz w:val="14"/>
          <w:szCs w:val="14"/>
        </w:rPr>
        <w:t>JuS</w:t>
      </w:r>
      <w:proofErr w:type="spellEnd"/>
      <w:r w:rsidRPr="00973F72">
        <w:rPr>
          <w:rFonts w:ascii="Times New Roman" w:hAnsi="Times New Roman"/>
          <w:spacing w:val="-2"/>
          <w:sz w:val="14"/>
          <w:szCs w:val="14"/>
        </w:rPr>
        <w:t xml:space="preserve"> 1999, 433; </w:t>
      </w:r>
      <w:r w:rsidR="00C77329" w:rsidRPr="00973F72">
        <w:rPr>
          <w:rFonts w:ascii="Times New Roman" w:hAnsi="Times New Roman"/>
          <w:bCs/>
          <w:i/>
          <w:spacing w:val="-2"/>
          <w:sz w:val="14"/>
          <w:szCs w:val="14"/>
        </w:rPr>
        <w:t>Mitsch</w:t>
      </w:r>
      <w:r w:rsidR="00C77329" w:rsidRPr="00973F72">
        <w:rPr>
          <w:rFonts w:ascii="Times New Roman" w:hAnsi="Times New Roman"/>
          <w:bCs/>
          <w:spacing w:val="-2"/>
          <w:sz w:val="14"/>
          <w:szCs w:val="14"/>
        </w:rPr>
        <w:t xml:space="preserve">, Strafprozessual unantastbare „Kommunikation mit sich selbst“, NJW 2012, 1486; </w:t>
      </w:r>
      <w:r w:rsidRPr="00973F72">
        <w:rPr>
          <w:rFonts w:ascii="Times New Roman" w:hAnsi="Times New Roman"/>
          <w:i/>
          <w:spacing w:val="-2"/>
          <w:sz w:val="14"/>
          <w:szCs w:val="14"/>
        </w:rPr>
        <w:t>Ruhmannseder</w:t>
      </w:r>
      <w:r w:rsidRPr="00973F72">
        <w:rPr>
          <w:rFonts w:ascii="Times New Roman" w:hAnsi="Times New Roman"/>
          <w:spacing w:val="-2"/>
          <w:sz w:val="14"/>
          <w:szCs w:val="14"/>
        </w:rPr>
        <w:t>, Strafprozessuale Zulässigkeit von Standortermittlungen im Mobilfunkverkehr, JA 2007, 47;</w:t>
      </w:r>
      <w:r w:rsidRPr="00973F72">
        <w:rPr>
          <w:rFonts w:ascii="Times New Roman" w:hAnsi="Times New Roman"/>
          <w:b/>
          <w:spacing w:val="-2"/>
          <w:sz w:val="14"/>
          <w:szCs w:val="14"/>
        </w:rPr>
        <w:t xml:space="preserve"> </w:t>
      </w:r>
      <w:r w:rsidRPr="00973F72">
        <w:rPr>
          <w:rFonts w:ascii="Times New Roman" w:hAnsi="Times New Roman"/>
          <w:i/>
          <w:spacing w:val="-2"/>
          <w:sz w:val="14"/>
          <w:szCs w:val="14"/>
        </w:rPr>
        <w:t>Satzger</w:t>
      </w:r>
      <w:r w:rsidRPr="00973F72">
        <w:rPr>
          <w:rFonts w:ascii="Times New Roman" w:hAnsi="Times New Roman"/>
          <w:spacing w:val="-2"/>
          <w:sz w:val="14"/>
          <w:szCs w:val="14"/>
        </w:rPr>
        <w:t>, Zulässigkeit längerfristiger Observationen, JA 1998, 539</w:t>
      </w:r>
      <w:r w:rsidR="001F29C6" w:rsidRPr="00973F72">
        <w:rPr>
          <w:rFonts w:ascii="Times New Roman" w:hAnsi="Times New Roman"/>
          <w:spacing w:val="-2"/>
          <w:sz w:val="14"/>
          <w:szCs w:val="14"/>
        </w:rPr>
        <w:t xml:space="preserve">; </w:t>
      </w:r>
      <w:proofErr w:type="spellStart"/>
      <w:r w:rsidR="00AB6A91" w:rsidRPr="00973F72">
        <w:rPr>
          <w:rFonts w:ascii="Times New Roman" w:hAnsi="Times New Roman"/>
          <w:i/>
          <w:spacing w:val="-2"/>
          <w:sz w:val="14"/>
          <w:szCs w:val="14"/>
        </w:rPr>
        <w:t>Singelnstein</w:t>
      </w:r>
      <w:proofErr w:type="spellEnd"/>
      <w:r w:rsidR="00AB6A91" w:rsidRPr="00973F72">
        <w:rPr>
          <w:rFonts w:ascii="Times New Roman" w:hAnsi="Times New Roman"/>
          <w:spacing w:val="-2"/>
          <w:sz w:val="14"/>
          <w:szCs w:val="14"/>
        </w:rPr>
        <w:t xml:space="preserve">, Bildaufnahmen, Orten, Abhören – Entwicklungen und Streitfragen beim Einsatz technischer Mittel zur </w:t>
      </w:r>
      <w:r w:rsidR="00280438" w:rsidRPr="00973F72">
        <w:rPr>
          <w:rFonts w:ascii="Times New Roman" w:hAnsi="Times New Roman"/>
          <w:spacing w:val="-2"/>
          <w:sz w:val="14"/>
          <w:szCs w:val="14"/>
        </w:rPr>
        <w:t xml:space="preserve">Strafverfolgung, NStZ 2014, 305; </w:t>
      </w:r>
      <w:r w:rsidR="005162D3" w:rsidRPr="00973F72">
        <w:rPr>
          <w:rFonts w:ascii="Times New Roman" w:hAnsi="Times New Roman"/>
          <w:i/>
          <w:spacing w:val="-2"/>
          <w:sz w:val="14"/>
          <w:szCs w:val="14"/>
        </w:rPr>
        <w:t>Zuck</w:t>
      </w:r>
      <w:r w:rsidR="005162D3" w:rsidRPr="00973F72">
        <w:rPr>
          <w:rFonts w:ascii="Times New Roman" w:hAnsi="Times New Roman"/>
          <w:spacing w:val="-2"/>
          <w:sz w:val="14"/>
          <w:szCs w:val="14"/>
        </w:rPr>
        <w:t>, Faires Verfahren und der Nemo tenetur-Grundsatz bei der Besuchsüberwachung in der Untersuchungshaft, JR 2010, 17</w:t>
      </w:r>
      <w:r w:rsidR="00C77329" w:rsidRPr="00973F72">
        <w:rPr>
          <w:rFonts w:ascii="Times New Roman" w:hAnsi="Times New Roman"/>
          <w:spacing w:val="-2"/>
          <w:sz w:val="14"/>
          <w:szCs w:val="14"/>
        </w:rPr>
        <w:t>.</w:t>
      </w:r>
      <w:r w:rsidR="00C77329" w:rsidRPr="00973F72" w:rsidDel="00C77329">
        <w:rPr>
          <w:rFonts w:ascii="Times New Roman" w:hAnsi="Times New Roman"/>
          <w:spacing w:val="-2"/>
          <w:sz w:val="14"/>
          <w:szCs w:val="14"/>
        </w:rPr>
        <w:t xml:space="preserve"> </w:t>
      </w:r>
    </w:p>
    <w:p w14:paraId="71F55A19" w14:textId="3D244A97" w:rsidR="00532F61" w:rsidRPr="00973F72" w:rsidRDefault="00532F61" w:rsidP="00BC55AC">
      <w:pPr>
        <w:widowControl/>
        <w:tabs>
          <w:tab w:val="left" w:pos="-720"/>
          <w:tab w:val="left" w:pos="0"/>
          <w:tab w:val="left" w:pos="288"/>
          <w:tab w:val="left" w:pos="576"/>
          <w:tab w:val="left" w:pos="864"/>
          <w:tab w:val="left" w:pos="1116"/>
          <w:tab w:val="left" w:pos="1404"/>
          <w:tab w:val="left" w:pos="1692"/>
          <w:tab w:val="left" w:pos="2268"/>
          <w:tab w:val="left" w:pos="2880"/>
        </w:tabs>
        <w:ind w:left="1692" w:hanging="1692"/>
        <w:jc w:val="both"/>
        <w:rPr>
          <w:rFonts w:ascii="Times New Roman" w:hAnsi="Times New Roman"/>
          <w:spacing w:val="-2"/>
          <w:sz w:val="14"/>
          <w:szCs w:val="14"/>
        </w:rPr>
      </w:pPr>
      <w:r w:rsidRPr="00973F72">
        <w:rPr>
          <w:rFonts w:ascii="Times New Roman" w:hAnsi="Times New Roman"/>
          <w:b/>
          <w:spacing w:val="-2"/>
          <w:sz w:val="14"/>
          <w:szCs w:val="14"/>
        </w:rPr>
        <w:t>Literatur/Fälle:</w:t>
      </w:r>
      <w:r w:rsidRPr="00973F72">
        <w:rPr>
          <w:rFonts w:ascii="Times New Roman" w:hAnsi="Times New Roman"/>
          <w:b/>
          <w:spacing w:val="-2"/>
          <w:sz w:val="14"/>
          <w:szCs w:val="14"/>
        </w:rPr>
        <w:tab/>
      </w:r>
      <w:r w:rsidRPr="00973F72">
        <w:rPr>
          <w:rFonts w:ascii="Times New Roman" w:hAnsi="Times New Roman"/>
          <w:b/>
          <w:spacing w:val="-2"/>
          <w:sz w:val="14"/>
          <w:szCs w:val="14"/>
        </w:rPr>
        <w:tab/>
      </w:r>
      <w:r w:rsidRPr="00973F72">
        <w:rPr>
          <w:rFonts w:ascii="Times New Roman" w:hAnsi="Times New Roman"/>
          <w:i/>
          <w:spacing w:val="-2"/>
          <w:sz w:val="14"/>
          <w:szCs w:val="14"/>
        </w:rPr>
        <w:t>Hentschel</w:t>
      </w:r>
      <w:r w:rsidRPr="00973F72">
        <w:rPr>
          <w:rFonts w:ascii="Times New Roman" w:hAnsi="Times New Roman"/>
          <w:spacing w:val="-2"/>
          <w:sz w:val="14"/>
          <w:szCs w:val="14"/>
        </w:rPr>
        <w:t>, Der Feuerteufel, JURA 2001, 472</w:t>
      </w:r>
      <w:r w:rsidR="005540C6" w:rsidRPr="00973F72">
        <w:rPr>
          <w:rFonts w:ascii="Times New Roman" w:hAnsi="Times New Roman"/>
          <w:spacing w:val="-2"/>
          <w:sz w:val="14"/>
          <w:szCs w:val="14"/>
        </w:rPr>
        <w:t xml:space="preserve">; </w:t>
      </w:r>
    </w:p>
    <w:p w14:paraId="6C8E5D20" w14:textId="2C233D94" w:rsidR="00532F61" w:rsidRPr="00973F72" w:rsidRDefault="00532F61" w:rsidP="00BC55AC">
      <w:pPr>
        <w:widowControl/>
        <w:tabs>
          <w:tab w:val="left" w:pos="-720"/>
          <w:tab w:val="left" w:pos="0"/>
          <w:tab w:val="left" w:pos="288"/>
          <w:tab w:val="left" w:pos="576"/>
          <w:tab w:val="left" w:pos="864"/>
          <w:tab w:val="left" w:pos="1116"/>
          <w:tab w:val="left" w:pos="1404"/>
          <w:tab w:val="left" w:pos="1692"/>
          <w:tab w:val="left" w:pos="1980"/>
          <w:tab w:val="left" w:pos="2268"/>
          <w:tab w:val="left" w:pos="2880"/>
        </w:tabs>
        <w:ind w:left="1400" w:hanging="1400"/>
        <w:jc w:val="both"/>
        <w:rPr>
          <w:rFonts w:ascii="Times New Roman" w:hAnsi="Times New Roman"/>
          <w:spacing w:val="-2"/>
          <w:sz w:val="14"/>
          <w:szCs w:val="14"/>
        </w:rPr>
      </w:pPr>
      <w:r w:rsidRPr="00973F72">
        <w:rPr>
          <w:rFonts w:ascii="Times New Roman" w:hAnsi="Times New Roman"/>
          <w:b/>
          <w:spacing w:val="-2"/>
          <w:sz w:val="14"/>
          <w:szCs w:val="14"/>
        </w:rPr>
        <w:t>Rechtsprechung:</w:t>
      </w:r>
      <w:r w:rsidRPr="00973F72">
        <w:rPr>
          <w:rFonts w:ascii="Times New Roman" w:hAnsi="Times New Roman"/>
          <w:b/>
          <w:spacing w:val="-2"/>
          <w:sz w:val="14"/>
          <w:szCs w:val="14"/>
        </w:rPr>
        <w:tab/>
      </w:r>
      <w:r w:rsidRPr="00973F72">
        <w:rPr>
          <w:rFonts w:ascii="Times New Roman" w:hAnsi="Times New Roman"/>
          <w:b/>
          <w:spacing w:val="-2"/>
          <w:sz w:val="14"/>
          <w:szCs w:val="14"/>
        </w:rPr>
        <w:tab/>
        <w:t xml:space="preserve">BGHSt 44, 13 </w:t>
      </w:r>
      <w:r w:rsidRPr="00973F72">
        <w:rPr>
          <w:rFonts w:ascii="Times New Roman" w:hAnsi="Times New Roman"/>
          <w:spacing w:val="-2"/>
          <w:sz w:val="14"/>
          <w:szCs w:val="14"/>
        </w:rPr>
        <w:t xml:space="preserve">– Observation (längerfristige Observationen); </w:t>
      </w:r>
      <w:r w:rsidRPr="00973F72">
        <w:rPr>
          <w:rFonts w:ascii="Times New Roman" w:hAnsi="Times New Roman"/>
          <w:b/>
          <w:spacing w:val="-2"/>
          <w:sz w:val="14"/>
          <w:szCs w:val="14"/>
        </w:rPr>
        <w:t xml:space="preserve">BGHSt 44, 138 </w:t>
      </w:r>
      <w:r w:rsidRPr="00973F72">
        <w:rPr>
          <w:rFonts w:ascii="Times New Roman" w:hAnsi="Times New Roman"/>
          <w:spacing w:val="-2"/>
          <w:sz w:val="14"/>
          <w:szCs w:val="14"/>
        </w:rPr>
        <w:t xml:space="preserve">– </w:t>
      </w:r>
      <w:proofErr w:type="spellStart"/>
      <w:r w:rsidRPr="00973F72">
        <w:rPr>
          <w:rFonts w:ascii="Times New Roman" w:hAnsi="Times New Roman"/>
          <w:spacing w:val="-2"/>
          <w:sz w:val="14"/>
          <w:szCs w:val="14"/>
        </w:rPr>
        <w:t>Safwan</w:t>
      </w:r>
      <w:proofErr w:type="spellEnd"/>
      <w:r w:rsidRPr="00973F72">
        <w:rPr>
          <w:rFonts w:ascii="Times New Roman" w:hAnsi="Times New Roman"/>
          <w:spacing w:val="-2"/>
          <w:sz w:val="14"/>
          <w:szCs w:val="14"/>
        </w:rPr>
        <w:t xml:space="preserve"> Eid (Abhörmaßnahmen während der U-Haft); </w:t>
      </w:r>
      <w:r w:rsidRPr="00973F72">
        <w:rPr>
          <w:rFonts w:ascii="Times New Roman" w:hAnsi="Times New Roman"/>
          <w:b/>
          <w:spacing w:val="-2"/>
          <w:sz w:val="14"/>
          <w:szCs w:val="14"/>
        </w:rPr>
        <w:t>BGHSt 46, 266</w:t>
      </w:r>
      <w:r w:rsidRPr="00973F72">
        <w:rPr>
          <w:rFonts w:ascii="Times New Roman" w:hAnsi="Times New Roman"/>
          <w:spacing w:val="-2"/>
          <w:sz w:val="14"/>
          <w:szCs w:val="14"/>
        </w:rPr>
        <w:t xml:space="preserve"> – GPS (Zulässigkeit der Observation mittels GPS); </w:t>
      </w:r>
      <w:r w:rsidRPr="00973F72">
        <w:rPr>
          <w:rFonts w:ascii="Times New Roman" w:hAnsi="Times New Roman"/>
          <w:b/>
          <w:spacing w:val="-2"/>
          <w:sz w:val="14"/>
          <w:szCs w:val="14"/>
        </w:rPr>
        <w:t>BGHSt 50, 206</w:t>
      </w:r>
      <w:r w:rsidRPr="00973F72">
        <w:rPr>
          <w:rFonts w:ascii="Times New Roman" w:hAnsi="Times New Roman"/>
          <w:spacing w:val="-2"/>
          <w:sz w:val="14"/>
          <w:szCs w:val="14"/>
        </w:rPr>
        <w:t xml:space="preserve"> - Selbstgespräch (Abhörmaßnahme im Wohnraum)</w:t>
      </w:r>
      <w:r w:rsidR="005540C6" w:rsidRPr="00973F72">
        <w:rPr>
          <w:rFonts w:ascii="Times New Roman" w:hAnsi="Times New Roman"/>
          <w:spacing w:val="-2"/>
          <w:sz w:val="14"/>
          <w:szCs w:val="14"/>
        </w:rPr>
        <w:t xml:space="preserve">, vgl. </w:t>
      </w:r>
      <w:r w:rsidR="005540C6" w:rsidRPr="00973F72">
        <w:rPr>
          <w:rFonts w:ascii="Times New Roman" w:hAnsi="Times New Roman"/>
          <w:i/>
          <w:iCs/>
          <w:spacing w:val="-2"/>
          <w:sz w:val="14"/>
          <w:szCs w:val="14"/>
        </w:rPr>
        <w:t>Marxen/Kress</w:t>
      </w:r>
      <w:r w:rsidR="005540C6" w:rsidRPr="00973F72">
        <w:rPr>
          <w:rFonts w:ascii="Times New Roman" w:hAnsi="Times New Roman"/>
          <w:spacing w:val="-2"/>
          <w:sz w:val="14"/>
          <w:szCs w:val="14"/>
        </w:rPr>
        <w:t>, famos 10/2005</w:t>
      </w:r>
      <w:r w:rsidRPr="00973F72">
        <w:rPr>
          <w:rFonts w:ascii="Times New Roman" w:hAnsi="Times New Roman"/>
          <w:spacing w:val="-2"/>
          <w:sz w:val="14"/>
          <w:szCs w:val="14"/>
        </w:rPr>
        <w:t xml:space="preserve">; </w:t>
      </w:r>
      <w:r w:rsidRPr="00973F72">
        <w:rPr>
          <w:rFonts w:ascii="Times New Roman" w:hAnsi="Times New Roman"/>
          <w:b/>
          <w:color w:val="000000"/>
          <w:spacing w:val="-2"/>
          <w:sz w:val="14"/>
          <w:szCs w:val="14"/>
        </w:rPr>
        <w:t>BGHSt 53, 294</w:t>
      </w:r>
      <w:r w:rsidRPr="00973F72">
        <w:rPr>
          <w:rFonts w:ascii="Times New Roman" w:hAnsi="Times New Roman"/>
          <w:spacing w:val="-2"/>
          <w:sz w:val="14"/>
          <w:szCs w:val="14"/>
        </w:rPr>
        <w:t xml:space="preserve"> – </w:t>
      </w:r>
      <w:r w:rsidR="00FA0B40" w:rsidRPr="00973F72">
        <w:rPr>
          <w:rFonts w:ascii="Times New Roman" w:hAnsi="Times New Roman"/>
          <w:spacing w:val="-2"/>
          <w:sz w:val="14"/>
          <w:szCs w:val="14"/>
        </w:rPr>
        <w:t>Ehegattengespräch (Verstoß gegen das fair-trial-Prinzip bei Abhören von Ehegattengespräch in der U-Haft)</w:t>
      </w:r>
      <w:r w:rsidR="005540C6" w:rsidRPr="00973F72">
        <w:rPr>
          <w:rFonts w:ascii="Times New Roman" w:hAnsi="Times New Roman"/>
          <w:spacing w:val="-2"/>
          <w:sz w:val="14"/>
          <w:szCs w:val="14"/>
        </w:rPr>
        <w:t xml:space="preserve">, vgl. </w:t>
      </w:r>
      <w:r w:rsidR="005540C6" w:rsidRPr="00973F72">
        <w:rPr>
          <w:rFonts w:ascii="Times New Roman" w:hAnsi="Times New Roman"/>
          <w:i/>
          <w:iCs/>
          <w:spacing w:val="-2"/>
          <w:sz w:val="14"/>
          <w:szCs w:val="14"/>
        </w:rPr>
        <w:t>Marxen/Rösing</w:t>
      </w:r>
      <w:r w:rsidR="005540C6" w:rsidRPr="00973F72">
        <w:rPr>
          <w:rFonts w:ascii="Times New Roman" w:hAnsi="Times New Roman"/>
          <w:spacing w:val="-2"/>
          <w:sz w:val="14"/>
          <w:szCs w:val="14"/>
        </w:rPr>
        <w:t>, famos 09/2009</w:t>
      </w:r>
      <w:r w:rsidRPr="00973F72">
        <w:rPr>
          <w:rFonts w:ascii="Times New Roman" w:hAnsi="Times New Roman"/>
          <w:spacing w:val="-2"/>
          <w:sz w:val="14"/>
          <w:szCs w:val="14"/>
        </w:rPr>
        <w:t xml:space="preserve">; </w:t>
      </w:r>
      <w:r w:rsidR="00861037" w:rsidRPr="00973F72">
        <w:rPr>
          <w:rFonts w:ascii="Times New Roman" w:hAnsi="Times New Roman"/>
          <w:b/>
          <w:spacing w:val="-2"/>
          <w:sz w:val="14"/>
          <w:szCs w:val="14"/>
        </w:rPr>
        <w:t>BGHSt 57, 71</w:t>
      </w:r>
      <w:r w:rsidR="00861037" w:rsidRPr="00973F72">
        <w:rPr>
          <w:rFonts w:ascii="Times New Roman" w:hAnsi="Times New Roman"/>
          <w:spacing w:val="-2"/>
          <w:sz w:val="14"/>
          <w:szCs w:val="14"/>
        </w:rPr>
        <w:t xml:space="preserve"> – Selbstg</w:t>
      </w:r>
      <w:r w:rsidR="003145B7" w:rsidRPr="00973F72">
        <w:rPr>
          <w:rFonts w:ascii="Times New Roman" w:hAnsi="Times New Roman"/>
          <w:spacing w:val="-2"/>
          <w:sz w:val="14"/>
          <w:szCs w:val="14"/>
        </w:rPr>
        <w:t>e</w:t>
      </w:r>
      <w:r w:rsidR="00861037" w:rsidRPr="00973F72">
        <w:rPr>
          <w:rFonts w:ascii="Times New Roman" w:hAnsi="Times New Roman"/>
          <w:spacing w:val="-2"/>
          <w:sz w:val="14"/>
          <w:szCs w:val="14"/>
        </w:rPr>
        <w:t>spräch im KFZ (</w:t>
      </w:r>
      <w:r w:rsidR="00DF5BA9" w:rsidRPr="00973F72">
        <w:rPr>
          <w:rFonts w:ascii="Times New Roman" w:hAnsi="Times New Roman"/>
          <w:spacing w:val="-2"/>
          <w:sz w:val="14"/>
          <w:szCs w:val="14"/>
        </w:rPr>
        <w:t xml:space="preserve">Beweisverwertungsverbot </w:t>
      </w:r>
      <w:proofErr w:type="spellStart"/>
      <w:r w:rsidR="00DF5BA9" w:rsidRPr="00973F72">
        <w:rPr>
          <w:rFonts w:ascii="Times New Roman" w:hAnsi="Times New Roman"/>
          <w:spacing w:val="-2"/>
          <w:sz w:val="14"/>
          <w:szCs w:val="14"/>
        </w:rPr>
        <w:t>i</w:t>
      </w:r>
      <w:r w:rsidR="004A7557" w:rsidRPr="00973F72">
        <w:rPr>
          <w:rFonts w:ascii="Times New Roman" w:hAnsi="Times New Roman"/>
          <w:spacing w:val="-2"/>
          <w:sz w:val="14"/>
          <w:szCs w:val="14"/>
        </w:rPr>
        <w:t>Ha</w:t>
      </w:r>
      <w:proofErr w:type="spellEnd"/>
      <w:r w:rsidR="00DF5BA9" w:rsidRPr="00973F72">
        <w:rPr>
          <w:rFonts w:ascii="Times New Roman" w:hAnsi="Times New Roman"/>
          <w:spacing w:val="-2"/>
          <w:sz w:val="14"/>
          <w:szCs w:val="14"/>
        </w:rPr>
        <w:t xml:space="preserve"> Persönlichkeitsrecht</w:t>
      </w:r>
      <w:r w:rsidR="00861037" w:rsidRPr="00973F72">
        <w:rPr>
          <w:rFonts w:ascii="Times New Roman" w:hAnsi="Times New Roman"/>
          <w:spacing w:val="-2"/>
          <w:sz w:val="14"/>
          <w:szCs w:val="14"/>
        </w:rPr>
        <w:t>)</w:t>
      </w:r>
      <w:r w:rsidR="005540C6" w:rsidRPr="00973F72">
        <w:rPr>
          <w:rFonts w:ascii="Times New Roman" w:hAnsi="Times New Roman"/>
          <w:spacing w:val="-2"/>
          <w:sz w:val="14"/>
          <w:szCs w:val="14"/>
        </w:rPr>
        <w:t xml:space="preserve">, vgl. </w:t>
      </w:r>
      <w:r w:rsidR="005540C6" w:rsidRPr="00973F72">
        <w:rPr>
          <w:rFonts w:ascii="Times New Roman" w:hAnsi="Times New Roman"/>
          <w:i/>
          <w:iCs/>
          <w:spacing w:val="-2"/>
          <w:sz w:val="14"/>
          <w:szCs w:val="14"/>
        </w:rPr>
        <w:t>Häuser/Martin</w:t>
      </w:r>
      <w:r w:rsidR="005540C6" w:rsidRPr="00973F72">
        <w:rPr>
          <w:rFonts w:ascii="Times New Roman" w:hAnsi="Times New Roman"/>
          <w:spacing w:val="-2"/>
          <w:sz w:val="14"/>
          <w:szCs w:val="14"/>
        </w:rPr>
        <w:t>, famos 05/2012</w:t>
      </w:r>
      <w:r w:rsidR="00861037" w:rsidRPr="00973F72">
        <w:rPr>
          <w:rFonts w:ascii="Times New Roman" w:hAnsi="Times New Roman"/>
          <w:spacing w:val="-2"/>
          <w:sz w:val="14"/>
          <w:szCs w:val="14"/>
        </w:rPr>
        <w:t xml:space="preserve">; </w:t>
      </w:r>
      <w:r w:rsidRPr="00973F72">
        <w:rPr>
          <w:rFonts w:ascii="Times New Roman" w:hAnsi="Times New Roman"/>
          <w:b/>
          <w:spacing w:val="-2"/>
          <w:sz w:val="14"/>
          <w:szCs w:val="14"/>
        </w:rPr>
        <w:t>BGH NStZ-RR 2006, 240</w:t>
      </w:r>
      <w:r w:rsidRPr="00973F72">
        <w:rPr>
          <w:rFonts w:ascii="Times New Roman" w:hAnsi="Times New Roman"/>
          <w:spacing w:val="-2"/>
          <w:sz w:val="14"/>
          <w:szCs w:val="14"/>
        </w:rPr>
        <w:t xml:space="preserve"> – Verwertbarkeit der Erkenntnisse </w:t>
      </w:r>
      <w:r w:rsidR="00101AFF">
        <w:rPr>
          <w:rFonts w:ascii="Times New Roman" w:hAnsi="Times New Roman"/>
          <w:spacing w:val="-2"/>
          <w:sz w:val="14"/>
          <w:szCs w:val="14"/>
        </w:rPr>
        <w:t>von Überwachungsmaßnahmen</w:t>
      </w:r>
      <w:r w:rsidR="00C71BFF">
        <w:rPr>
          <w:rFonts w:ascii="Times New Roman" w:hAnsi="Times New Roman"/>
          <w:spacing w:val="-2"/>
          <w:sz w:val="14"/>
          <w:szCs w:val="14"/>
        </w:rPr>
        <w:t xml:space="preserve"> zu Beweiszwecken</w:t>
      </w:r>
      <w:r w:rsidR="00101AFF">
        <w:rPr>
          <w:rFonts w:ascii="Times New Roman" w:hAnsi="Times New Roman"/>
          <w:spacing w:val="-2"/>
          <w:sz w:val="14"/>
          <w:szCs w:val="14"/>
        </w:rPr>
        <w:t xml:space="preserve"> (</w:t>
      </w:r>
      <w:r w:rsidRPr="00973F72">
        <w:rPr>
          <w:rFonts w:ascii="Times New Roman" w:hAnsi="Times New Roman"/>
          <w:spacing w:val="-2"/>
          <w:sz w:val="14"/>
          <w:szCs w:val="14"/>
        </w:rPr>
        <w:t>präventivpolizeiliche</w:t>
      </w:r>
      <w:r w:rsidR="004A7557" w:rsidRPr="00973F72">
        <w:rPr>
          <w:rFonts w:ascii="Times New Roman" w:hAnsi="Times New Roman"/>
          <w:spacing w:val="-2"/>
          <w:sz w:val="14"/>
          <w:szCs w:val="14"/>
        </w:rPr>
        <w:t>r</w:t>
      </w:r>
      <w:r w:rsidRPr="00973F72">
        <w:rPr>
          <w:rFonts w:ascii="Times New Roman" w:hAnsi="Times New Roman"/>
          <w:spacing w:val="-2"/>
          <w:sz w:val="14"/>
          <w:szCs w:val="14"/>
        </w:rPr>
        <w:t xml:space="preserve"> </w:t>
      </w:r>
      <w:r w:rsidR="004A7557" w:rsidRPr="00973F72">
        <w:rPr>
          <w:rFonts w:ascii="Times New Roman" w:hAnsi="Times New Roman"/>
          <w:spacing w:val="-2"/>
          <w:sz w:val="14"/>
          <w:szCs w:val="14"/>
        </w:rPr>
        <w:t>TKÜ</w:t>
      </w:r>
      <w:r w:rsidRPr="00973F72">
        <w:rPr>
          <w:rFonts w:ascii="Times New Roman" w:hAnsi="Times New Roman"/>
          <w:spacing w:val="-2"/>
          <w:sz w:val="14"/>
          <w:szCs w:val="14"/>
        </w:rPr>
        <w:t xml:space="preserve"> und Wohnraumüberwachung)</w:t>
      </w:r>
      <w:r w:rsidR="00264A25" w:rsidRPr="00973F72">
        <w:rPr>
          <w:rFonts w:ascii="Times New Roman" w:hAnsi="Times New Roman"/>
          <w:spacing w:val="-2"/>
          <w:sz w:val="14"/>
          <w:szCs w:val="14"/>
        </w:rPr>
        <w:t>;</w:t>
      </w:r>
      <w:r w:rsidR="00330D91" w:rsidRPr="00973F72">
        <w:rPr>
          <w:rFonts w:ascii="Times New Roman" w:hAnsi="Times New Roman"/>
          <w:spacing w:val="-2"/>
          <w:sz w:val="14"/>
          <w:szCs w:val="14"/>
        </w:rPr>
        <w:t xml:space="preserve"> </w:t>
      </w:r>
      <w:r w:rsidR="00330D91" w:rsidRPr="00973F72">
        <w:rPr>
          <w:rFonts w:ascii="Times New Roman" w:hAnsi="Times New Roman"/>
          <w:b/>
          <w:spacing w:val="-2"/>
          <w:sz w:val="14"/>
          <w:szCs w:val="14"/>
        </w:rPr>
        <w:t>BGH NStZ-RR 2019, 186</w:t>
      </w:r>
      <w:r w:rsidR="00330D91" w:rsidRPr="00973F72">
        <w:rPr>
          <w:rFonts w:ascii="Times New Roman" w:hAnsi="Times New Roman"/>
          <w:spacing w:val="-2"/>
          <w:sz w:val="14"/>
          <w:szCs w:val="14"/>
        </w:rPr>
        <w:t xml:space="preserve"> – Verwertbarkeit heimlich aufgezeichneter Gespräche über Straftat (kein Kernbereich privater Lebensgestaltung)</w:t>
      </w:r>
      <w:r w:rsidR="00AD46EA" w:rsidRPr="00973F72">
        <w:rPr>
          <w:rFonts w:ascii="Times New Roman" w:hAnsi="Times New Roman"/>
          <w:spacing w:val="-2"/>
          <w:sz w:val="14"/>
          <w:szCs w:val="14"/>
        </w:rPr>
        <w:t>.</w:t>
      </w:r>
    </w:p>
    <w:sectPr w:rsidR="00532F61" w:rsidRPr="00973F72">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CFD5" w14:textId="77777777" w:rsidR="00942258" w:rsidRDefault="00942258">
      <w:pPr>
        <w:widowControl/>
        <w:spacing w:line="-20" w:lineRule="auto"/>
      </w:pPr>
    </w:p>
  </w:endnote>
  <w:endnote w:type="continuationSeparator" w:id="0">
    <w:p w14:paraId="58EEC327" w14:textId="77777777" w:rsidR="00942258" w:rsidRDefault="00942258">
      <w:r>
        <w:t xml:space="preserve"> </w:t>
      </w:r>
    </w:p>
  </w:endnote>
  <w:endnote w:type="continuationNotice" w:id="1">
    <w:p w14:paraId="4D7E25BA" w14:textId="77777777" w:rsidR="00942258" w:rsidRDefault="009422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3601" w14:textId="77777777" w:rsidR="00942258" w:rsidRDefault="00942258">
      <w:r>
        <w:separator/>
      </w:r>
    </w:p>
  </w:footnote>
  <w:footnote w:type="continuationSeparator" w:id="0">
    <w:p w14:paraId="353605B9" w14:textId="77777777" w:rsidR="00942258" w:rsidRDefault="0094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0AB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5F1EC2"/>
    <w:multiLevelType w:val="hybridMultilevel"/>
    <w:tmpl w:val="0AE447FE"/>
    <w:lvl w:ilvl="0" w:tplc="591CFFD6">
      <w:start w:val="2"/>
      <w:numFmt w:val="decimal"/>
      <w:lvlText w:val="%1."/>
      <w:lvlJc w:val="left"/>
      <w:pPr>
        <w:tabs>
          <w:tab w:val="num" w:pos="645"/>
        </w:tabs>
        <w:ind w:left="645" w:hanging="360"/>
      </w:pPr>
      <w:rPr>
        <w:rFonts w:hint="default"/>
        <w:b/>
      </w:rPr>
    </w:lvl>
    <w:lvl w:ilvl="1" w:tplc="56EAD7B2" w:tentative="1">
      <w:start w:val="1"/>
      <w:numFmt w:val="lowerLetter"/>
      <w:lvlText w:val="%2."/>
      <w:lvlJc w:val="left"/>
      <w:pPr>
        <w:tabs>
          <w:tab w:val="num" w:pos="1365"/>
        </w:tabs>
        <w:ind w:left="1365" w:hanging="360"/>
      </w:pPr>
    </w:lvl>
    <w:lvl w:ilvl="2" w:tplc="7598EB4E" w:tentative="1">
      <w:start w:val="1"/>
      <w:numFmt w:val="lowerRoman"/>
      <w:lvlText w:val="%3."/>
      <w:lvlJc w:val="right"/>
      <w:pPr>
        <w:tabs>
          <w:tab w:val="num" w:pos="2085"/>
        </w:tabs>
        <w:ind w:left="2085" w:hanging="180"/>
      </w:pPr>
    </w:lvl>
    <w:lvl w:ilvl="3" w:tplc="B640337E" w:tentative="1">
      <w:start w:val="1"/>
      <w:numFmt w:val="decimal"/>
      <w:lvlText w:val="%4."/>
      <w:lvlJc w:val="left"/>
      <w:pPr>
        <w:tabs>
          <w:tab w:val="num" w:pos="2805"/>
        </w:tabs>
        <w:ind w:left="2805" w:hanging="360"/>
      </w:pPr>
    </w:lvl>
    <w:lvl w:ilvl="4" w:tplc="D7E2A17A" w:tentative="1">
      <w:start w:val="1"/>
      <w:numFmt w:val="lowerLetter"/>
      <w:lvlText w:val="%5."/>
      <w:lvlJc w:val="left"/>
      <w:pPr>
        <w:tabs>
          <w:tab w:val="num" w:pos="3525"/>
        </w:tabs>
        <w:ind w:left="3525" w:hanging="360"/>
      </w:pPr>
    </w:lvl>
    <w:lvl w:ilvl="5" w:tplc="4E3A5952" w:tentative="1">
      <w:start w:val="1"/>
      <w:numFmt w:val="lowerRoman"/>
      <w:lvlText w:val="%6."/>
      <w:lvlJc w:val="right"/>
      <w:pPr>
        <w:tabs>
          <w:tab w:val="num" w:pos="4245"/>
        </w:tabs>
        <w:ind w:left="4245" w:hanging="180"/>
      </w:pPr>
    </w:lvl>
    <w:lvl w:ilvl="6" w:tplc="F3FA42BC" w:tentative="1">
      <w:start w:val="1"/>
      <w:numFmt w:val="decimal"/>
      <w:lvlText w:val="%7."/>
      <w:lvlJc w:val="left"/>
      <w:pPr>
        <w:tabs>
          <w:tab w:val="num" w:pos="4965"/>
        </w:tabs>
        <w:ind w:left="4965" w:hanging="360"/>
      </w:pPr>
    </w:lvl>
    <w:lvl w:ilvl="7" w:tplc="B120C128" w:tentative="1">
      <w:start w:val="1"/>
      <w:numFmt w:val="lowerLetter"/>
      <w:lvlText w:val="%8."/>
      <w:lvlJc w:val="left"/>
      <w:pPr>
        <w:tabs>
          <w:tab w:val="num" w:pos="5685"/>
        </w:tabs>
        <w:ind w:left="5685" w:hanging="360"/>
      </w:pPr>
    </w:lvl>
    <w:lvl w:ilvl="8" w:tplc="A782B4C0" w:tentative="1">
      <w:start w:val="1"/>
      <w:numFmt w:val="lowerRoman"/>
      <w:lvlText w:val="%9."/>
      <w:lvlJc w:val="right"/>
      <w:pPr>
        <w:tabs>
          <w:tab w:val="num" w:pos="6405"/>
        </w:tabs>
        <w:ind w:left="6405" w:hanging="180"/>
      </w:pPr>
    </w:lvl>
  </w:abstractNum>
  <w:num w:numId="1" w16cid:durableId="1543206680">
    <w:abstractNumId w:val="1"/>
  </w:num>
  <w:num w:numId="2" w16cid:durableId="111355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proofState w:spelling="clean" w:grammar="clean"/>
  <w:trackRevisions/>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29"/>
    <w:rsid w:val="000674CA"/>
    <w:rsid w:val="00077099"/>
    <w:rsid w:val="000A7130"/>
    <w:rsid w:val="000D4FAF"/>
    <w:rsid w:val="000F4E94"/>
    <w:rsid w:val="00101AFF"/>
    <w:rsid w:val="00133CA1"/>
    <w:rsid w:val="00137814"/>
    <w:rsid w:val="001530DF"/>
    <w:rsid w:val="001613C1"/>
    <w:rsid w:val="001A2EA7"/>
    <w:rsid w:val="001C327C"/>
    <w:rsid w:val="001F29C6"/>
    <w:rsid w:val="001F4E66"/>
    <w:rsid w:val="002006A5"/>
    <w:rsid w:val="00264A25"/>
    <w:rsid w:val="002657CC"/>
    <w:rsid w:val="00280438"/>
    <w:rsid w:val="002849E3"/>
    <w:rsid w:val="002A305F"/>
    <w:rsid w:val="002D7CB2"/>
    <w:rsid w:val="002F1EC9"/>
    <w:rsid w:val="00311CE5"/>
    <w:rsid w:val="003145B7"/>
    <w:rsid w:val="003176F1"/>
    <w:rsid w:val="00330D91"/>
    <w:rsid w:val="00334FEF"/>
    <w:rsid w:val="00336AC6"/>
    <w:rsid w:val="003423F9"/>
    <w:rsid w:val="00353520"/>
    <w:rsid w:val="0036680C"/>
    <w:rsid w:val="003A6A6C"/>
    <w:rsid w:val="003A7F03"/>
    <w:rsid w:val="00406287"/>
    <w:rsid w:val="00415B68"/>
    <w:rsid w:val="00420385"/>
    <w:rsid w:val="00434B95"/>
    <w:rsid w:val="004A6F12"/>
    <w:rsid w:val="004A7557"/>
    <w:rsid w:val="00506653"/>
    <w:rsid w:val="005162D3"/>
    <w:rsid w:val="00532F61"/>
    <w:rsid w:val="005409D3"/>
    <w:rsid w:val="005540C6"/>
    <w:rsid w:val="00561D1A"/>
    <w:rsid w:val="00563348"/>
    <w:rsid w:val="005952F0"/>
    <w:rsid w:val="00596190"/>
    <w:rsid w:val="005C35C8"/>
    <w:rsid w:val="005E6EF5"/>
    <w:rsid w:val="005F07DB"/>
    <w:rsid w:val="00601648"/>
    <w:rsid w:val="00616426"/>
    <w:rsid w:val="006273EE"/>
    <w:rsid w:val="00634DF9"/>
    <w:rsid w:val="00636EE0"/>
    <w:rsid w:val="00653233"/>
    <w:rsid w:val="00656AAD"/>
    <w:rsid w:val="00701B60"/>
    <w:rsid w:val="0070505E"/>
    <w:rsid w:val="007114E2"/>
    <w:rsid w:val="007138EA"/>
    <w:rsid w:val="007316D5"/>
    <w:rsid w:val="0074383E"/>
    <w:rsid w:val="00750D74"/>
    <w:rsid w:val="00757B50"/>
    <w:rsid w:val="00771CCB"/>
    <w:rsid w:val="007805A1"/>
    <w:rsid w:val="00784045"/>
    <w:rsid w:val="0078408D"/>
    <w:rsid w:val="00786C41"/>
    <w:rsid w:val="00795244"/>
    <w:rsid w:val="0079629A"/>
    <w:rsid w:val="00796AD5"/>
    <w:rsid w:val="00823967"/>
    <w:rsid w:val="00837B1C"/>
    <w:rsid w:val="00847D63"/>
    <w:rsid w:val="00861037"/>
    <w:rsid w:val="0086650F"/>
    <w:rsid w:val="008678C9"/>
    <w:rsid w:val="008740C2"/>
    <w:rsid w:val="00893322"/>
    <w:rsid w:val="008A1507"/>
    <w:rsid w:val="008A3DD4"/>
    <w:rsid w:val="008C3743"/>
    <w:rsid w:val="008D3D57"/>
    <w:rsid w:val="00915B79"/>
    <w:rsid w:val="00931A4B"/>
    <w:rsid w:val="00942258"/>
    <w:rsid w:val="00953829"/>
    <w:rsid w:val="00967A29"/>
    <w:rsid w:val="00973F72"/>
    <w:rsid w:val="009A7C00"/>
    <w:rsid w:val="009B5BF2"/>
    <w:rsid w:val="009C5C6A"/>
    <w:rsid w:val="009D5ABA"/>
    <w:rsid w:val="009F7F51"/>
    <w:rsid w:val="00A264B2"/>
    <w:rsid w:val="00A302CC"/>
    <w:rsid w:val="00A55155"/>
    <w:rsid w:val="00A723FA"/>
    <w:rsid w:val="00A979B7"/>
    <w:rsid w:val="00AB118B"/>
    <w:rsid w:val="00AB6A91"/>
    <w:rsid w:val="00AD46EA"/>
    <w:rsid w:val="00B408B4"/>
    <w:rsid w:val="00BC55AC"/>
    <w:rsid w:val="00BD5C13"/>
    <w:rsid w:val="00C13641"/>
    <w:rsid w:val="00C14C48"/>
    <w:rsid w:val="00C44210"/>
    <w:rsid w:val="00C71BFF"/>
    <w:rsid w:val="00C77329"/>
    <w:rsid w:val="00C81977"/>
    <w:rsid w:val="00CC164A"/>
    <w:rsid w:val="00CE4F08"/>
    <w:rsid w:val="00CF78D4"/>
    <w:rsid w:val="00D15D1E"/>
    <w:rsid w:val="00D17694"/>
    <w:rsid w:val="00D3235D"/>
    <w:rsid w:val="00D6688A"/>
    <w:rsid w:val="00D76169"/>
    <w:rsid w:val="00D865EA"/>
    <w:rsid w:val="00DA0427"/>
    <w:rsid w:val="00DE33B5"/>
    <w:rsid w:val="00DF5BA9"/>
    <w:rsid w:val="00E10F81"/>
    <w:rsid w:val="00E137D9"/>
    <w:rsid w:val="00E2758D"/>
    <w:rsid w:val="00E42093"/>
    <w:rsid w:val="00E518F2"/>
    <w:rsid w:val="00E62E2F"/>
    <w:rsid w:val="00E81CA7"/>
    <w:rsid w:val="00E974A4"/>
    <w:rsid w:val="00EE4473"/>
    <w:rsid w:val="00F46961"/>
    <w:rsid w:val="00F502E5"/>
    <w:rsid w:val="00F5796B"/>
    <w:rsid w:val="00F71314"/>
    <w:rsid w:val="00F8081A"/>
    <w:rsid w:val="00F94576"/>
    <w:rsid w:val="00FA0B40"/>
    <w:rsid w:val="00FA3619"/>
    <w:rsid w:val="00FC0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49DC67"/>
  <w15:chartTrackingRefBased/>
  <w15:docId w15:val="{87E31F3B-C731-48B8-9E73-77D682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DD6863"/>
    <w:rPr>
      <w:rFonts w:ascii="Tahoma" w:hAnsi="Tahoma" w:cs="Tahoma"/>
      <w:sz w:val="16"/>
      <w:szCs w:val="16"/>
    </w:rPr>
  </w:style>
  <w:style w:type="character" w:customStyle="1" w:styleId="n">
    <w:name w:val="n"/>
    <w:rsid w:val="00E62E2F"/>
  </w:style>
  <w:style w:type="character" w:styleId="Hyperlink">
    <w:name w:val="Hyperlink"/>
    <w:uiPriority w:val="99"/>
    <w:semiHidden/>
    <w:unhideWhenUsed/>
    <w:rsid w:val="00E62E2F"/>
    <w:rPr>
      <w:color w:val="0000FF"/>
      <w:u w:val="single"/>
    </w:rPr>
  </w:style>
  <w:style w:type="paragraph" w:customStyle="1" w:styleId="FarbigeSchattierung-Akzent11">
    <w:name w:val="Farbige Schattierung - Akzent 11"/>
    <w:hidden/>
    <w:uiPriority w:val="71"/>
    <w:rsid w:val="00F46961"/>
    <w:rPr>
      <w:rFonts w:ascii="Dutch Roman 12pt" w:hAnsi="Dutch Roman 12pt"/>
      <w:sz w:val="24"/>
    </w:rPr>
  </w:style>
  <w:style w:type="character" w:styleId="Kommentarzeichen">
    <w:name w:val="annotation reference"/>
    <w:uiPriority w:val="99"/>
    <w:semiHidden/>
    <w:unhideWhenUsed/>
    <w:rsid w:val="00B408B4"/>
    <w:rPr>
      <w:sz w:val="16"/>
      <w:szCs w:val="16"/>
    </w:rPr>
  </w:style>
  <w:style w:type="paragraph" w:styleId="Kommentartext">
    <w:name w:val="annotation text"/>
    <w:basedOn w:val="Standard"/>
    <w:link w:val="KommentartextZchn"/>
    <w:uiPriority w:val="99"/>
    <w:unhideWhenUsed/>
    <w:rsid w:val="00B408B4"/>
    <w:rPr>
      <w:sz w:val="20"/>
    </w:rPr>
  </w:style>
  <w:style w:type="character" w:customStyle="1" w:styleId="KommentartextZchn">
    <w:name w:val="Kommentartext Zchn"/>
    <w:link w:val="Kommentartext"/>
    <w:uiPriority w:val="99"/>
    <w:rsid w:val="00B408B4"/>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B408B4"/>
    <w:rPr>
      <w:b/>
      <w:bCs/>
    </w:rPr>
  </w:style>
  <w:style w:type="character" w:customStyle="1" w:styleId="KommentarthemaZchn">
    <w:name w:val="Kommentarthema Zchn"/>
    <w:link w:val="Kommentarthema"/>
    <w:uiPriority w:val="99"/>
    <w:semiHidden/>
    <w:rsid w:val="00B408B4"/>
    <w:rPr>
      <w:rFonts w:ascii="Dutch Roman 12pt" w:hAnsi="Dutch Roman 12pt"/>
      <w:b/>
      <w:bCs/>
    </w:rPr>
  </w:style>
  <w:style w:type="paragraph" w:styleId="berarbeitung">
    <w:name w:val="Revision"/>
    <w:hidden/>
    <w:uiPriority w:val="71"/>
    <w:rsid w:val="003423F9"/>
    <w:rPr>
      <w:rFonts w:ascii="Dutch Roman 12pt" w:hAnsi="Dutch Roman 12pt"/>
      <w:sz w:val="24"/>
    </w:rPr>
  </w:style>
  <w:style w:type="paragraph" w:styleId="Listenabsatz">
    <w:name w:val="List Paragraph"/>
    <w:basedOn w:val="Standard"/>
    <w:uiPriority w:val="72"/>
    <w:qFormat/>
    <w:rsid w:val="0042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Tobias Reinbacher</cp:lastModifiedBy>
  <cp:revision>6</cp:revision>
  <cp:lastPrinted>2020-10-28T16:21:00Z</cp:lastPrinted>
  <dcterms:created xsi:type="dcterms:W3CDTF">2024-10-09T15:16:00Z</dcterms:created>
  <dcterms:modified xsi:type="dcterms:W3CDTF">2024-10-14T10:19:00Z</dcterms:modified>
</cp:coreProperties>
</file>