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17A2" w14:textId="306FFE07" w:rsidR="007A5FF7" w:rsidRDefault="007A5FF7" w:rsidP="00FB2AD1">
      <w:pPr>
        <w:framePr w:w="9397" w:h="1369" w:hSpace="240" w:vSpace="120" w:wrap="auto" w:vAnchor="text" w:hAnchor="page" w:x="1362" w:y="432"/>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542D29">
        <w:rPr>
          <w:b/>
          <w:spacing w:val="-3"/>
        </w:rPr>
        <w:t> </w:t>
      </w:r>
      <w:r>
        <w:rPr>
          <w:b/>
          <w:spacing w:val="-3"/>
        </w:rPr>
        <w:t>21</w:t>
      </w:r>
    </w:p>
    <w:p w14:paraId="1E687A92" w14:textId="537120C4" w:rsidR="007A5FF7" w:rsidRPr="00B45F57" w:rsidRDefault="007A5FF7" w:rsidP="00FB2AD1">
      <w:pPr>
        <w:framePr w:w="9397" w:h="1369" w:hSpace="240" w:vSpace="120" w:wrap="auto" w:vAnchor="text" w:hAnchor="page" w:x="1362" w:y="432"/>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B45F57">
        <w:rPr>
          <w:b/>
          <w:spacing w:val="-7"/>
          <w:sz w:val="52"/>
          <w:szCs w:val="52"/>
        </w:rPr>
        <w:t>Verdeckte Ermittler</w:t>
      </w:r>
      <w:r w:rsidR="00542D29">
        <w:rPr>
          <w:b/>
          <w:spacing w:val="-7"/>
          <w:sz w:val="52"/>
          <w:szCs w:val="52"/>
        </w:rPr>
        <w:t xml:space="preserve">, </w:t>
      </w:r>
      <w:r w:rsidRPr="00B45F57">
        <w:rPr>
          <w:b/>
          <w:spacing w:val="-7"/>
          <w:sz w:val="52"/>
          <w:szCs w:val="52"/>
        </w:rPr>
        <w:t>§ 110a StPO</w:t>
      </w:r>
    </w:p>
    <w:p w14:paraId="2932E8EA" w14:textId="77777777" w:rsidR="007A5FF7" w:rsidRDefault="007A5FF7" w:rsidP="00FB2AD1">
      <w:pPr>
        <w:pStyle w:val="Beschriftung"/>
        <w:framePr w:w="9397" w:h="1369" w:hSpace="240" w:vSpace="120" w:wrap="auto" w:vAnchor="text" w:hAnchor="page" w:x="1362" w:y="432"/>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Pr>
          <w:rFonts w:ascii="Times New Roman" w:hAnsi="Times New Roman"/>
          <w:vanish/>
          <w:spacing w:val="-7"/>
          <w:sz w:val="60"/>
        </w:rPr>
        <w:instrText>SEQ Text_Box  \* ARABIC</w:instrText>
      </w:r>
      <w:r>
        <w:rPr>
          <w:rFonts w:ascii="Times New Roman" w:hAnsi="Times New Roman"/>
          <w:vanish/>
          <w:spacing w:val="-7"/>
          <w:sz w:val="60"/>
        </w:rPr>
        <w:fldChar w:fldCharType="separate"/>
      </w:r>
      <w:r w:rsidR="00DF0077">
        <w:rPr>
          <w:rFonts w:ascii="Times New Roman" w:hAnsi="Times New Roman"/>
          <w:noProof/>
          <w:vanish/>
          <w:spacing w:val="-7"/>
          <w:sz w:val="60"/>
        </w:rPr>
        <w:t>1</w:t>
      </w:r>
      <w:r>
        <w:rPr>
          <w:rFonts w:ascii="Times New Roman" w:hAnsi="Times New Roman"/>
          <w:vanish/>
          <w:spacing w:val="-7"/>
          <w:sz w:val="60"/>
        </w:rPr>
        <w:fldChar w:fldCharType="end"/>
      </w:r>
    </w:p>
    <w:p w14:paraId="211E237D" w14:textId="25302337" w:rsidR="003D538B" w:rsidRPr="007A5FF7" w:rsidRDefault="003D538B" w:rsidP="007A5FF7">
      <w:pPr>
        <w:tabs>
          <w:tab w:val="right" w:pos="10206"/>
        </w:tabs>
        <w:jc w:val="both"/>
        <w:rPr>
          <w:b/>
          <w:spacing w:val="-3"/>
        </w:rPr>
      </w:pPr>
      <w:r>
        <w:rPr>
          <w:b/>
          <w:spacing w:val="-3"/>
        </w:rPr>
        <w:t xml:space="preserve">Prof. Dr. </w:t>
      </w:r>
      <w:r w:rsidR="00BE0D9E">
        <w:rPr>
          <w:b/>
          <w:spacing w:val="-3"/>
        </w:rPr>
        <w:t xml:space="preserve">Dr. h.c. </w:t>
      </w:r>
      <w:r>
        <w:rPr>
          <w:b/>
          <w:spacing w:val="-3"/>
        </w:rPr>
        <w:t>Bernd Heinrich/</w:t>
      </w:r>
      <w:r w:rsidR="00166B7A">
        <w:rPr>
          <w:b/>
          <w:spacing w:val="-3"/>
        </w:rPr>
        <w:t>Pr</w:t>
      </w:r>
      <w:r w:rsidR="00634EDE">
        <w:rPr>
          <w:b/>
          <w:spacing w:val="-3"/>
        </w:rPr>
        <w:t>of</w:t>
      </w:r>
      <w:r w:rsidR="00166B7A">
        <w:rPr>
          <w:b/>
          <w:spacing w:val="-3"/>
        </w:rPr>
        <w:t xml:space="preserve">. </w:t>
      </w:r>
      <w:r>
        <w:rPr>
          <w:b/>
          <w:spacing w:val="-3"/>
        </w:rPr>
        <w:t>Dr. Tobias Reinbacher</w:t>
      </w:r>
      <w:r>
        <w:rPr>
          <w:b/>
          <w:spacing w:val="-3"/>
        </w:rPr>
        <w:tab/>
        <w:t xml:space="preserve">Stand: 1. </w:t>
      </w:r>
      <w:r w:rsidR="000146B2">
        <w:rPr>
          <w:b/>
          <w:spacing w:val="-3"/>
        </w:rPr>
        <w:t>Oktober</w:t>
      </w:r>
      <w:r w:rsidR="006158CB">
        <w:rPr>
          <w:b/>
          <w:spacing w:val="-3"/>
        </w:rPr>
        <w:t xml:space="preserve"> </w:t>
      </w:r>
      <w:r w:rsidR="00E95054">
        <w:rPr>
          <w:b/>
          <w:spacing w:val="-3"/>
        </w:rPr>
        <w:t>202</w:t>
      </w:r>
      <w:r w:rsidR="00542D29">
        <w:rPr>
          <w:b/>
          <w:spacing w:val="-3"/>
        </w:rPr>
        <w:t>4</w:t>
      </w:r>
    </w:p>
    <w:p w14:paraId="1C443B05" w14:textId="77777777" w:rsidR="003D538B" w:rsidRPr="00AE0832" w:rsidRDefault="003D538B" w:rsidP="00FB2AD1">
      <w:pPr>
        <w:widowControl/>
        <w:tabs>
          <w:tab w:val="left" w:pos="-720"/>
          <w:tab w:val="left" w:pos="284"/>
          <w:tab w:val="left" w:pos="864"/>
          <w:tab w:val="left" w:pos="1116"/>
          <w:tab w:val="left" w:pos="1404"/>
          <w:tab w:val="left" w:pos="1692"/>
          <w:tab w:val="left" w:pos="1980"/>
          <w:tab w:val="left" w:pos="2268"/>
          <w:tab w:val="left" w:pos="2880"/>
        </w:tabs>
        <w:ind w:left="284" w:hanging="284"/>
        <w:jc w:val="both"/>
        <w:rPr>
          <w:rFonts w:ascii="Times New Roman" w:hAnsi="Times New Roman"/>
          <w:b/>
          <w:spacing w:val="-2"/>
          <w:sz w:val="16"/>
          <w:szCs w:val="16"/>
        </w:rPr>
      </w:pPr>
      <w:r w:rsidRPr="00AE0832">
        <w:rPr>
          <w:rFonts w:ascii="Times New Roman" w:hAnsi="Times New Roman"/>
          <w:b/>
          <w:spacing w:val="-2"/>
          <w:sz w:val="16"/>
          <w:szCs w:val="16"/>
        </w:rPr>
        <w:t xml:space="preserve">I. </w:t>
      </w:r>
      <w:r w:rsidRPr="00AE0832">
        <w:rPr>
          <w:rFonts w:ascii="Times New Roman" w:hAnsi="Times New Roman"/>
          <w:b/>
          <w:spacing w:val="-2"/>
          <w:sz w:val="16"/>
          <w:szCs w:val="16"/>
        </w:rPr>
        <w:tab/>
        <w:t>Begriffliche Unterscheidung von „im Untergrund“ tätigen Ermittlern:</w:t>
      </w:r>
    </w:p>
    <w:p w14:paraId="0098E2AC" w14:textId="1A4D97F8" w:rsidR="003D538B" w:rsidRPr="00AE0832" w:rsidRDefault="003D538B" w:rsidP="00FB2AD1">
      <w:pPr>
        <w:widowControl/>
        <w:tabs>
          <w:tab w:val="left" w:pos="-720"/>
          <w:tab w:val="left" w:pos="284"/>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AE0832">
        <w:rPr>
          <w:rFonts w:ascii="Times New Roman" w:hAnsi="Times New Roman"/>
          <w:b/>
          <w:spacing w:val="-2"/>
          <w:sz w:val="16"/>
          <w:szCs w:val="16"/>
        </w:rPr>
        <w:tab/>
      </w:r>
      <w:r w:rsidRPr="00AE0832">
        <w:rPr>
          <w:rFonts w:ascii="Times New Roman" w:hAnsi="Times New Roman"/>
          <w:spacing w:val="-2"/>
          <w:sz w:val="16"/>
          <w:szCs w:val="16"/>
          <w:u w:val="single"/>
        </w:rPr>
        <w:t>1.</w:t>
      </w:r>
      <w:r w:rsidRPr="00AE0832">
        <w:rPr>
          <w:rFonts w:ascii="Times New Roman" w:hAnsi="Times New Roman"/>
          <w:spacing w:val="-2"/>
          <w:sz w:val="16"/>
          <w:szCs w:val="16"/>
          <w:u w:val="single"/>
        </w:rPr>
        <w:tab/>
        <w:t>Verdeckte Ermittler (VE):</w:t>
      </w:r>
      <w:r w:rsidRPr="00AE0832">
        <w:rPr>
          <w:rFonts w:ascii="Times New Roman" w:hAnsi="Times New Roman"/>
          <w:spacing w:val="-2"/>
          <w:sz w:val="16"/>
          <w:szCs w:val="16"/>
        </w:rPr>
        <w:t xml:space="preserve"> Polizeibeamte, die unter einer ihnen verliehenen, </w:t>
      </w:r>
      <w:r w:rsidRPr="00AE0832">
        <w:rPr>
          <w:rFonts w:ascii="Times New Roman" w:hAnsi="Times New Roman"/>
          <w:b/>
          <w:spacing w:val="-2"/>
          <w:sz w:val="16"/>
          <w:szCs w:val="16"/>
        </w:rPr>
        <w:t>auf Dauer</w:t>
      </w:r>
      <w:r w:rsidRPr="00AE0832">
        <w:rPr>
          <w:rFonts w:ascii="Times New Roman" w:hAnsi="Times New Roman"/>
          <w:spacing w:val="-2"/>
          <w:sz w:val="16"/>
          <w:szCs w:val="16"/>
        </w:rPr>
        <w:t xml:space="preserve"> angelegten, veränderten Identität (Legende) Straftaten ermitteln, §</w:t>
      </w:r>
      <w:r w:rsidR="00EE6A94">
        <w:rPr>
          <w:rFonts w:ascii="Times New Roman" w:hAnsi="Times New Roman"/>
          <w:spacing w:val="-2"/>
          <w:sz w:val="16"/>
          <w:szCs w:val="16"/>
        </w:rPr>
        <w:t> </w:t>
      </w:r>
      <w:r w:rsidRPr="00AE0832">
        <w:rPr>
          <w:rFonts w:ascii="Times New Roman" w:hAnsi="Times New Roman"/>
          <w:spacing w:val="-2"/>
          <w:sz w:val="16"/>
          <w:szCs w:val="16"/>
        </w:rPr>
        <w:t>110 a II 1 StPO.</w:t>
      </w:r>
    </w:p>
    <w:p w14:paraId="043C8846" w14:textId="77777777" w:rsidR="003D538B" w:rsidRPr="00AE0832" w:rsidRDefault="003D538B" w:rsidP="00FB2AD1">
      <w:pPr>
        <w:widowControl/>
        <w:tabs>
          <w:tab w:val="left" w:pos="-720"/>
          <w:tab w:val="left" w:pos="284"/>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b/>
          <w:spacing w:val="-2"/>
          <w:sz w:val="16"/>
          <w:szCs w:val="16"/>
        </w:rPr>
      </w:pPr>
      <w:r w:rsidRPr="00AE0832">
        <w:rPr>
          <w:rFonts w:ascii="Times New Roman" w:hAnsi="Times New Roman"/>
          <w:b/>
          <w:spacing w:val="-2"/>
          <w:sz w:val="16"/>
          <w:szCs w:val="16"/>
        </w:rPr>
        <w:tab/>
      </w:r>
      <w:r w:rsidRPr="00AE0832">
        <w:rPr>
          <w:rFonts w:ascii="Times New Roman" w:hAnsi="Times New Roman"/>
          <w:spacing w:val="-2"/>
          <w:sz w:val="16"/>
          <w:szCs w:val="16"/>
          <w:u w:val="single"/>
        </w:rPr>
        <w:t>2.</w:t>
      </w:r>
      <w:r w:rsidRPr="00AE0832">
        <w:rPr>
          <w:rFonts w:ascii="Times New Roman" w:hAnsi="Times New Roman"/>
          <w:spacing w:val="-2"/>
          <w:sz w:val="16"/>
          <w:szCs w:val="16"/>
          <w:u w:val="single"/>
        </w:rPr>
        <w:tab/>
        <w:t>Nicht öffentlich ermittelnde Polizeibeamte</w:t>
      </w:r>
      <w:r w:rsidR="00FF73CB">
        <w:rPr>
          <w:rFonts w:ascii="Times New Roman" w:hAnsi="Times New Roman"/>
          <w:spacing w:val="-2"/>
          <w:sz w:val="16"/>
          <w:szCs w:val="16"/>
          <w:u w:val="single"/>
        </w:rPr>
        <w:t xml:space="preserve"> (NOEP)</w:t>
      </w:r>
      <w:r w:rsidRPr="00AE0832">
        <w:rPr>
          <w:rFonts w:ascii="Times New Roman" w:hAnsi="Times New Roman"/>
          <w:spacing w:val="-2"/>
          <w:sz w:val="16"/>
          <w:szCs w:val="16"/>
          <w:u w:val="single"/>
        </w:rPr>
        <w:t>:</w:t>
      </w:r>
      <w:r w:rsidRPr="00AE0832">
        <w:rPr>
          <w:rFonts w:ascii="Times New Roman" w:hAnsi="Times New Roman"/>
          <w:b/>
          <w:spacing w:val="-2"/>
          <w:sz w:val="16"/>
          <w:szCs w:val="16"/>
        </w:rPr>
        <w:t xml:space="preserve"> </w:t>
      </w:r>
      <w:r w:rsidRPr="00AE0832">
        <w:rPr>
          <w:rFonts w:ascii="Times New Roman" w:hAnsi="Times New Roman"/>
          <w:spacing w:val="-2"/>
          <w:sz w:val="16"/>
          <w:szCs w:val="16"/>
        </w:rPr>
        <w:t xml:space="preserve">Polizeibeamte, die, ohne auf Dauer unter einer Legende aufzutreten, verdeckt ermitteln und dabei </w:t>
      </w:r>
      <w:r w:rsidRPr="00AE0832">
        <w:rPr>
          <w:rFonts w:ascii="Times New Roman" w:hAnsi="Times New Roman"/>
          <w:b/>
          <w:spacing w:val="-2"/>
          <w:sz w:val="16"/>
          <w:szCs w:val="16"/>
        </w:rPr>
        <w:t>kurzzeitig</w:t>
      </w:r>
      <w:r w:rsidRPr="00AE0832">
        <w:rPr>
          <w:rFonts w:ascii="Times New Roman" w:hAnsi="Times New Roman"/>
          <w:spacing w:val="-2"/>
          <w:sz w:val="16"/>
          <w:szCs w:val="16"/>
        </w:rPr>
        <w:t xml:space="preserve"> in eine andere Rolle schlüpfen, z.B. „Scheinkäufer“ in BtMG-Fällen.</w:t>
      </w:r>
    </w:p>
    <w:p w14:paraId="2144AA38" w14:textId="42E9C61E" w:rsidR="003D538B" w:rsidRPr="00AE0832" w:rsidRDefault="003D538B" w:rsidP="00FB2AD1">
      <w:pPr>
        <w:widowControl/>
        <w:tabs>
          <w:tab w:val="left" w:pos="-720"/>
          <w:tab w:val="left" w:pos="284"/>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AE0832">
        <w:rPr>
          <w:rFonts w:ascii="Times New Roman" w:hAnsi="Times New Roman"/>
          <w:b/>
          <w:spacing w:val="-2"/>
          <w:sz w:val="16"/>
          <w:szCs w:val="16"/>
        </w:rPr>
        <w:tab/>
      </w:r>
      <w:r w:rsidRPr="00AE0832">
        <w:rPr>
          <w:rFonts w:ascii="Times New Roman" w:hAnsi="Times New Roman"/>
          <w:spacing w:val="-2"/>
          <w:sz w:val="16"/>
          <w:szCs w:val="16"/>
          <w:u w:val="single"/>
        </w:rPr>
        <w:t>3.</w:t>
      </w:r>
      <w:r w:rsidRPr="00AE0832">
        <w:rPr>
          <w:rFonts w:ascii="Times New Roman" w:hAnsi="Times New Roman"/>
          <w:spacing w:val="-2"/>
          <w:sz w:val="16"/>
          <w:szCs w:val="16"/>
          <w:u w:val="single"/>
        </w:rPr>
        <w:tab/>
        <w:t>V-Leute (= Vertrauenspersonen):</w:t>
      </w:r>
      <w:r w:rsidRPr="00AE0832">
        <w:rPr>
          <w:rFonts w:ascii="Times New Roman" w:hAnsi="Times New Roman"/>
          <w:spacing w:val="-2"/>
          <w:sz w:val="16"/>
          <w:szCs w:val="16"/>
        </w:rPr>
        <w:t xml:space="preserve"> Privatpersonen, die bereit sind, die Strafverfolgungsbehörden bei der Aufklärung von Straftaten </w:t>
      </w:r>
      <w:r w:rsidR="00542D29">
        <w:rPr>
          <w:rFonts w:ascii="Times New Roman" w:hAnsi="Times New Roman"/>
          <w:b/>
          <w:spacing w:val="-2"/>
          <w:sz w:val="16"/>
          <w:szCs w:val="16"/>
        </w:rPr>
        <w:t>für</w:t>
      </w:r>
      <w:r w:rsidR="00542D29" w:rsidRPr="00AE0832">
        <w:rPr>
          <w:rFonts w:ascii="Times New Roman" w:hAnsi="Times New Roman"/>
          <w:b/>
          <w:spacing w:val="-2"/>
          <w:sz w:val="16"/>
          <w:szCs w:val="16"/>
        </w:rPr>
        <w:t xml:space="preserve"> </w:t>
      </w:r>
      <w:r w:rsidRPr="00AE0832">
        <w:rPr>
          <w:rFonts w:ascii="Times New Roman" w:hAnsi="Times New Roman"/>
          <w:b/>
          <w:spacing w:val="-2"/>
          <w:sz w:val="16"/>
          <w:szCs w:val="16"/>
        </w:rPr>
        <w:t>längere Zeit</w:t>
      </w:r>
      <w:r w:rsidRPr="00AE0832">
        <w:rPr>
          <w:rFonts w:ascii="Times New Roman" w:hAnsi="Times New Roman"/>
          <w:spacing w:val="-2"/>
          <w:sz w:val="16"/>
          <w:szCs w:val="16"/>
        </w:rPr>
        <w:t xml:space="preserve"> vertraulich zu unterstützen und deren Identität grundsätzlich geheim gehalten wird.</w:t>
      </w:r>
    </w:p>
    <w:p w14:paraId="6242DB93" w14:textId="77777777" w:rsidR="003D538B" w:rsidRPr="00AE0832" w:rsidRDefault="003D538B" w:rsidP="00FB2AD1">
      <w:pPr>
        <w:widowControl/>
        <w:tabs>
          <w:tab w:val="left" w:pos="-720"/>
          <w:tab w:val="left" w:pos="284"/>
          <w:tab w:val="left" w:pos="567"/>
          <w:tab w:val="left" w:pos="864"/>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AE0832">
        <w:rPr>
          <w:rFonts w:ascii="Times New Roman" w:hAnsi="Times New Roman"/>
          <w:b/>
          <w:spacing w:val="-2"/>
          <w:sz w:val="16"/>
          <w:szCs w:val="16"/>
        </w:rPr>
        <w:tab/>
      </w:r>
      <w:r w:rsidRPr="00AE0832">
        <w:rPr>
          <w:rFonts w:ascii="Times New Roman" w:hAnsi="Times New Roman"/>
          <w:spacing w:val="-2"/>
          <w:sz w:val="16"/>
          <w:szCs w:val="16"/>
          <w:u w:val="single"/>
        </w:rPr>
        <w:t>4.</w:t>
      </w:r>
      <w:r w:rsidRPr="00AE0832">
        <w:rPr>
          <w:rFonts w:ascii="Times New Roman" w:hAnsi="Times New Roman"/>
          <w:spacing w:val="-2"/>
          <w:sz w:val="16"/>
          <w:szCs w:val="16"/>
          <w:u w:val="single"/>
        </w:rPr>
        <w:tab/>
        <w:t>Informanten:</w:t>
      </w:r>
      <w:r w:rsidRPr="00AE0832">
        <w:rPr>
          <w:rFonts w:ascii="Times New Roman" w:hAnsi="Times New Roman"/>
          <w:spacing w:val="-2"/>
          <w:sz w:val="16"/>
          <w:szCs w:val="16"/>
        </w:rPr>
        <w:t xml:space="preserve"> Privatpersonen, die bereit sind, gegen Zusicherung der Vertraulichkeit den Strafverfolgungsbehörden </w:t>
      </w:r>
      <w:r w:rsidRPr="00AE0832">
        <w:rPr>
          <w:rFonts w:ascii="Times New Roman" w:hAnsi="Times New Roman"/>
          <w:b/>
          <w:spacing w:val="-2"/>
          <w:sz w:val="16"/>
          <w:szCs w:val="16"/>
        </w:rPr>
        <w:t xml:space="preserve">im Einzelfall </w:t>
      </w:r>
      <w:r w:rsidRPr="00AE0832">
        <w:rPr>
          <w:rFonts w:ascii="Times New Roman" w:hAnsi="Times New Roman"/>
          <w:spacing w:val="-2"/>
          <w:sz w:val="16"/>
          <w:szCs w:val="16"/>
        </w:rPr>
        <w:t>Informationen zu geben.</w:t>
      </w:r>
    </w:p>
    <w:p w14:paraId="39EE7DEB" w14:textId="77777777" w:rsidR="003C0FE5" w:rsidRPr="00AE0832" w:rsidRDefault="003D538B" w:rsidP="00FB2AD1">
      <w:pPr>
        <w:ind w:left="284" w:hanging="284"/>
        <w:jc w:val="both"/>
        <w:rPr>
          <w:rFonts w:ascii="Times New Roman" w:hAnsi="Times New Roman"/>
          <w:sz w:val="16"/>
          <w:szCs w:val="16"/>
        </w:rPr>
      </w:pPr>
      <w:r w:rsidRPr="00AE0832">
        <w:rPr>
          <w:rFonts w:ascii="Times New Roman" w:hAnsi="Times New Roman"/>
          <w:b/>
          <w:sz w:val="16"/>
          <w:szCs w:val="16"/>
        </w:rPr>
        <w:t>II. Zulässigkeit des Einsatzes von Verdeckten Ermittlern:</w:t>
      </w:r>
      <w:r w:rsidRPr="00AE0832">
        <w:rPr>
          <w:rFonts w:ascii="Times New Roman" w:hAnsi="Times New Roman"/>
          <w:sz w:val="16"/>
          <w:szCs w:val="16"/>
        </w:rPr>
        <w:t xml:space="preserve"> Nach </w:t>
      </w:r>
      <w:r w:rsidRPr="006158CB">
        <w:rPr>
          <w:rFonts w:ascii="Times New Roman" w:hAnsi="Times New Roman"/>
          <w:b/>
          <w:sz w:val="16"/>
          <w:szCs w:val="16"/>
        </w:rPr>
        <w:t>§ 110a I StPO</w:t>
      </w:r>
      <w:r w:rsidRPr="00AE0832">
        <w:rPr>
          <w:rFonts w:ascii="Times New Roman" w:hAnsi="Times New Roman"/>
          <w:sz w:val="16"/>
          <w:szCs w:val="16"/>
        </w:rPr>
        <w:t xml:space="preserve"> dürfen diese eingesetzt werden</w:t>
      </w:r>
    </w:p>
    <w:p w14:paraId="0D61648F" w14:textId="015F0A14" w:rsidR="003D538B" w:rsidRPr="00AE0832" w:rsidRDefault="003D538B" w:rsidP="00FB2AD1">
      <w:pPr>
        <w:widowControl/>
        <w:tabs>
          <w:tab w:val="left" w:pos="-720"/>
          <w:tab w:val="left" w:pos="284"/>
          <w:tab w:val="left" w:pos="567"/>
          <w:tab w:val="left" w:pos="851"/>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AE0832">
        <w:rPr>
          <w:rFonts w:ascii="Times New Roman" w:hAnsi="Times New Roman"/>
          <w:spacing w:val="-2"/>
          <w:sz w:val="16"/>
          <w:szCs w:val="16"/>
        </w:rPr>
        <w:tab/>
        <w:t>1.</w:t>
      </w:r>
      <w:r w:rsidRPr="00AE0832">
        <w:rPr>
          <w:rFonts w:ascii="Times New Roman" w:hAnsi="Times New Roman"/>
          <w:spacing w:val="-2"/>
          <w:sz w:val="16"/>
          <w:szCs w:val="16"/>
        </w:rPr>
        <w:tab/>
        <w:t xml:space="preserve">bei zureichenden tatsächlichen Anhaltspunkten für eine der genannten </w:t>
      </w:r>
      <w:r w:rsidRPr="00AE0832">
        <w:rPr>
          <w:rFonts w:ascii="Times New Roman" w:hAnsi="Times New Roman"/>
          <w:b/>
          <w:spacing w:val="-2"/>
          <w:sz w:val="16"/>
          <w:szCs w:val="16"/>
        </w:rPr>
        <w:t>Katalogtaten</w:t>
      </w:r>
      <w:r w:rsidRPr="00AE0832">
        <w:rPr>
          <w:rFonts w:ascii="Times New Roman" w:hAnsi="Times New Roman"/>
          <w:spacing w:val="-2"/>
          <w:sz w:val="16"/>
          <w:szCs w:val="16"/>
        </w:rPr>
        <w:t xml:space="preserve"> von erheblicher Bedeutung (S. 1),</w:t>
      </w:r>
    </w:p>
    <w:p w14:paraId="6C5B80A9" w14:textId="1D3F6A7E" w:rsidR="003D538B" w:rsidRPr="00AE0832" w:rsidRDefault="003D538B" w:rsidP="00FB2AD1">
      <w:pPr>
        <w:widowControl/>
        <w:tabs>
          <w:tab w:val="left" w:pos="-720"/>
          <w:tab w:val="left" w:pos="284"/>
          <w:tab w:val="left" w:pos="567"/>
          <w:tab w:val="left" w:pos="851"/>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AE0832">
        <w:rPr>
          <w:rFonts w:ascii="Times New Roman" w:hAnsi="Times New Roman"/>
          <w:spacing w:val="-2"/>
          <w:sz w:val="16"/>
          <w:szCs w:val="16"/>
        </w:rPr>
        <w:tab/>
        <w:t>2.</w:t>
      </w:r>
      <w:r w:rsidRPr="00AE0832">
        <w:rPr>
          <w:rFonts w:ascii="Times New Roman" w:hAnsi="Times New Roman"/>
          <w:spacing w:val="-2"/>
          <w:sz w:val="16"/>
          <w:szCs w:val="16"/>
        </w:rPr>
        <w:tab/>
        <w:t xml:space="preserve">zur Aufklärung von Verbrechen, wenn auf Grund bestimmter Tatsachen eine </w:t>
      </w:r>
      <w:r w:rsidRPr="006158CB">
        <w:rPr>
          <w:rFonts w:ascii="Times New Roman" w:hAnsi="Times New Roman"/>
          <w:b/>
          <w:spacing w:val="-2"/>
          <w:sz w:val="16"/>
          <w:szCs w:val="16"/>
        </w:rPr>
        <w:t>Wiederholungsgefahr</w:t>
      </w:r>
      <w:r w:rsidRPr="00AE0832">
        <w:rPr>
          <w:rFonts w:ascii="Times New Roman" w:hAnsi="Times New Roman"/>
          <w:spacing w:val="-2"/>
          <w:sz w:val="16"/>
          <w:szCs w:val="16"/>
        </w:rPr>
        <w:t xml:space="preserve"> besteht (S. 2) oder </w:t>
      </w:r>
    </w:p>
    <w:p w14:paraId="0D63D4E0" w14:textId="59C02750" w:rsidR="003D538B" w:rsidRPr="00AE0832" w:rsidRDefault="003D538B" w:rsidP="00FB2AD1">
      <w:pPr>
        <w:widowControl/>
        <w:tabs>
          <w:tab w:val="left" w:pos="-720"/>
          <w:tab w:val="left" w:pos="284"/>
          <w:tab w:val="left" w:pos="567"/>
          <w:tab w:val="left" w:pos="851"/>
          <w:tab w:val="left" w:pos="1116"/>
          <w:tab w:val="left" w:pos="1404"/>
          <w:tab w:val="left" w:pos="1692"/>
          <w:tab w:val="left" w:pos="1980"/>
          <w:tab w:val="left" w:pos="2268"/>
          <w:tab w:val="left" w:pos="2880"/>
        </w:tabs>
        <w:ind w:left="567" w:hanging="567"/>
        <w:jc w:val="both"/>
        <w:rPr>
          <w:rFonts w:ascii="Times New Roman" w:hAnsi="Times New Roman"/>
          <w:spacing w:val="-2"/>
          <w:sz w:val="16"/>
          <w:szCs w:val="16"/>
        </w:rPr>
      </w:pPr>
      <w:r w:rsidRPr="00AE0832">
        <w:rPr>
          <w:rFonts w:ascii="Times New Roman" w:hAnsi="Times New Roman"/>
          <w:spacing w:val="-2"/>
          <w:sz w:val="16"/>
          <w:szCs w:val="16"/>
        </w:rPr>
        <w:tab/>
        <w:t>3.</w:t>
      </w:r>
      <w:r w:rsidRPr="00AE0832">
        <w:rPr>
          <w:rFonts w:ascii="Times New Roman" w:hAnsi="Times New Roman"/>
          <w:spacing w:val="-2"/>
          <w:sz w:val="16"/>
          <w:szCs w:val="16"/>
        </w:rPr>
        <w:tab/>
        <w:t xml:space="preserve">allgemein bei </w:t>
      </w:r>
      <w:r w:rsidRPr="00AE0832">
        <w:rPr>
          <w:rFonts w:ascii="Times New Roman" w:hAnsi="Times New Roman"/>
          <w:b/>
          <w:spacing w:val="-2"/>
          <w:sz w:val="16"/>
          <w:szCs w:val="16"/>
        </w:rPr>
        <w:t>Verbrechen</w:t>
      </w:r>
      <w:r w:rsidRPr="00AE0832">
        <w:rPr>
          <w:rFonts w:ascii="Times New Roman" w:hAnsi="Times New Roman"/>
          <w:spacing w:val="-2"/>
          <w:sz w:val="16"/>
          <w:szCs w:val="16"/>
        </w:rPr>
        <w:t xml:space="preserve">, wenn deren </w:t>
      </w:r>
      <w:r w:rsidRPr="00AE0832">
        <w:rPr>
          <w:rFonts w:ascii="Times New Roman" w:hAnsi="Times New Roman"/>
          <w:b/>
          <w:spacing w:val="-2"/>
          <w:sz w:val="16"/>
          <w:szCs w:val="16"/>
        </w:rPr>
        <w:t>besondere Bedeutung</w:t>
      </w:r>
      <w:r w:rsidRPr="00AE0832">
        <w:rPr>
          <w:rFonts w:ascii="Times New Roman" w:hAnsi="Times New Roman"/>
          <w:spacing w:val="-2"/>
          <w:sz w:val="16"/>
          <w:szCs w:val="16"/>
        </w:rPr>
        <w:t xml:space="preserve"> den Einsatz gebietet (S. 4). </w:t>
      </w:r>
    </w:p>
    <w:p w14:paraId="49EA440E" w14:textId="77777777" w:rsidR="00193795" w:rsidRDefault="003D538B" w:rsidP="00FB2AD1">
      <w:pPr>
        <w:widowControl/>
        <w:tabs>
          <w:tab w:val="left" w:pos="-720"/>
          <w:tab w:val="left" w:pos="284"/>
          <w:tab w:val="left" w:pos="567"/>
          <w:tab w:val="left" w:pos="851"/>
          <w:tab w:val="left" w:pos="1116"/>
          <w:tab w:val="left" w:pos="1404"/>
          <w:tab w:val="left" w:pos="1692"/>
          <w:tab w:val="left" w:pos="1980"/>
          <w:tab w:val="left" w:pos="2880"/>
        </w:tabs>
        <w:ind w:left="284" w:hanging="284"/>
        <w:jc w:val="both"/>
        <w:rPr>
          <w:rFonts w:ascii="Times New Roman" w:hAnsi="Times New Roman"/>
          <w:spacing w:val="-2"/>
          <w:sz w:val="16"/>
          <w:szCs w:val="16"/>
        </w:rPr>
      </w:pPr>
      <w:r w:rsidRPr="00AE0832">
        <w:rPr>
          <w:rFonts w:ascii="Times New Roman" w:hAnsi="Times New Roman"/>
          <w:spacing w:val="-2"/>
          <w:sz w:val="16"/>
          <w:szCs w:val="16"/>
        </w:rPr>
        <w:tab/>
        <w:t xml:space="preserve">Dabei ist stets der Subsidiaritätsgrundsatz zu beachten, in den Fällen 1 und 2 muss die Aufklärung auf andere Weise </w:t>
      </w:r>
      <w:r w:rsidRPr="00AE0832">
        <w:rPr>
          <w:rFonts w:ascii="Times New Roman" w:hAnsi="Times New Roman"/>
          <w:b/>
          <w:spacing w:val="-2"/>
          <w:sz w:val="16"/>
          <w:szCs w:val="16"/>
        </w:rPr>
        <w:t>aussichtslos</w:t>
      </w:r>
      <w:r w:rsidRPr="00AE0832">
        <w:rPr>
          <w:rFonts w:ascii="Times New Roman" w:hAnsi="Times New Roman"/>
          <w:spacing w:val="-2"/>
          <w:sz w:val="16"/>
          <w:szCs w:val="16"/>
        </w:rPr>
        <w:t xml:space="preserve"> oder wesentlich </w:t>
      </w:r>
      <w:r w:rsidRPr="00AE0832">
        <w:rPr>
          <w:rFonts w:ascii="Times New Roman" w:hAnsi="Times New Roman"/>
          <w:b/>
          <w:spacing w:val="-2"/>
          <w:sz w:val="16"/>
          <w:szCs w:val="16"/>
        </w:rPr>
        <w:t>erschwert</w:t>
      </w:r>
      <w:r w:rsidRPr="00AE0832">
        <w:rPr>
          <w:rFonts w:ascii="Times New Roman" w:hAnsi="Times New Roman"/>
          <w:spacing w:val="-2"/>
          <w:sz w:val="16"/>
          <w:szCs w:val="16"/>
        </w:rPr>
        <w:t xml:space="preserve"> sein (§ 110a I 3 StPO), in Fall 3 müssen andere Maßnahmen </w:t>
      </w:r>
      <w:r w:rsidRPr="00AE0832">
        <w:rPr>
          <w:rFonts w:ascii="Times New Roman" w:hAnsi="Times New Roman"/>
          <w:b/>
          <w:spacing w:val="-2"/>
          <w:sz w:val="16"/>
          <w:szCs w:val="16"/>
        </w:rPr>
        <w:t>aussichtslos</w:t>
      </w:r>
      <w:r w:rsidRPr="00AE0832">
        <w:rPr>
          <w:rFonts w:ascii="Times New Roman" w:hAnsi="Times New Roman"/>
          <w:spacing w:val="-2"/>
          <w:sz w:val="16"/>
          <w:szCs w:val="16"/>
        </w:rPr>
        <w:t xml:space="preserve"> sein</w:t>
      </w:r>
      <w:r w:rsidR="007C6D61">
        <w:rPr>
          <w:rFonts w:ascii="Times New Roman" w:hAnsi="Times New Roman"/>
          <w:spacing w:val="-2"/>
          <w:sz w:val="16"/>
          <w:szCs w:val="16"/>
        </w:rPr>
        <w:t xml:space="preserve"> (§ 110a I 4</w:t>
      </w:r>
      <w:r w:rsidR="007C6D61" w:rsidRPr="00AE0832">
        <w:rPr>
          <w:rFonts w:ascii="Times New Roman" w:hAnsi="Times New Roman"/>
          <w:spacing w:val="-2"/>
          <w:sz w:val="16"/>
          <w:szCs w:val="16"/>
        </w:rPr>
        <w:t xml:space="preserve"> StPO)</w:t>
      </w:r>
      <w:r w:rsidR="007C6D61">
        <w:rPr>
          <w:rFonts w:ascii="Times New Roman" w:hAnsi="Times New Roman"/>
          <w:spacing w:val="-2"/>
          <w:sz w:val="16"/>
          <w:szCs w:val="16"/>
        </w:rPr>
        <w:t>.</w:t>
      </w:r>
    </w:p>
    <w:p w14:paraId="3B41AD25" w14:textId="77777777" w:rsidR="00BB2C5E" w:rsidRDefault="00193795" w:rsidP="00FB2AD1">
      <w:pPr>
        <w:widowControl/>
        <w:tabs>
          <w:tab w:val="left" w:pos="-720"/>
          <w:tab w:val="left" w:pos="284"/>
          <w:tab w:val="left" w:pos="567"/>
          <w:tab w:val="left" w:pos="851"/>
          <w:tab w:val="left" w:pos="1116"/>
          <w:tab w:val="left" w:pos="1404"/>
          <w:tab w:val="left" w:pos="1692"/>
          <w:tab w:val="left" w:pos="1980"/>
          <w:tab w:val="left" w:pos="2880"/>
        </w:tabs>
        <w:ind w:left="284" w:hanging="284"/>
        <w:jc w:val="both"/>
        <w:rPr>
          <w:rFonts w:ascii="Times New Roman" w:hAnsi="Times New Roman"/>
          <w:spacing w:val="-2"/>
          <w:sz w:val="16"/>
          <w:szCs w:val="16"/>
        </w:rPr>
      </w:pPr>
      <w:r>
        <w:rPr>
          <w:rFonts w:ascii="Times New Roman" w:hAnsi="Times New Roman"/>
          <w:spacing w:val="-2"/>
          <w:sz w:val="16"/>
          <w:szCs w:val="16"/>
        </w:rPr>
        <w:tab/>
      </w:r>
      <w:r w:rsidR="00391381" w:rsidRPr="006158CB">
        <w:rPr>
          <w:rFonts w:ascii="Times New Roman" w:hAnsi="Times New Roman"/>
          <w:b/>
          <w:spacing w:val="-2"/>
          <w:sz w:val="16"/>
          <w:szCs w:val="16"/>
        </w:rPr>
        <w:t>§ 110b StPO</w:t>
      </w:r>
      <w:r w:rsidR="00391381">
        <w:rPr>
          <w:rFonts w:ascii="Times New Roman" w:hAnsi="Times New Roman"/>
          <w:spacing w:val="-2"/>
          <w:sz w:val="16"/>
          <w:szCs w:val="16"/>
        </w:rPr>
        <w:t xml:space="preserve"> </w:t>
      </w:r>
      <w:r w:rsidR="00A05FEB">
        <w:rPr>
          <w:rFonts w:ascii="Times New Roman" w:hAnsi="Times New Roman"/>
          <w:spacing w:val="-2"/>
          <w:sz w:val="16"/>
          <w:szCs w:val="16"/>
        </w:rPr>
        <w:t xml:space="preserve">regelt das </w:t>
      </w:r>
      <w:r w:rsidR="00CC68DC">
        <w:rPr>
          <w:rFonts w:ascii="Times New Roman" w:hAnsi="Times New Roman"/>
          <w:spacing w:val="-2"/>
          <w:sz w:val="16"/>
          <w:szCs w:val="16"/>
        </w:rPr>
        <w:t xml:space="preserve">beim strafprozessualen Einsatz eines Verdeckten Ermittlers </w:t>
      </w:r>
      <w:r w:rsidR="00CC68DC" w:rsidRPr="006158CB">
        <w:rPr>
          <w:rFonts w:ascii="Times New Roman" w:hAnsi="Times New Roman"/>
          <w:b/>
          <w:spacing w:val="-2"/>
          <w:sz w:val="16"/>
          <w:szCs w:val="16"/>
        </w:rPr>
        <w:t>zu beachtende Verfahren</w:t>
      </w:r>
      <w:r w:rsidR="00CC68DC">
        <w:rPr>
          <w:rFonts w:ascii="Times New Roman" w:hAnsi="Times New Roman"/>
          <w:spacing w:val="-2"/>
          <w:sz w:val="16"/>
          <w:szCs w:val="16"/>
        </w:rPr>
        <w:t xml:space="preserve"> und die Frage der Geheimhaltung </w:t>
      </w:r>
      <w:r w:rsidR="00DB0DEB">
        <w:rPr>
          <w:rFonts w:ascii="Times New Roman" w:hAnsi="Times New Roman"/>
          <w:spacing w:val="-2"/>
          <w:sz w:val="16"/>
          <w:szCs w:val="16"/>
        </w:rPr>
        <w:t>d</w:t>
      </w:r>
      <w:r w:rsidR="00CC68DC">
        <w:rPr>
          <w:rFonts w:ascii="Times New Roman" w:hAnsi="Times New Roman"/>
          <w:spacing w:val="-2"/>
          <w:sz w:val="16"/>
          <w:szCs w:val="16"/>
        </w:rPr>
        <w:t xml:space="preserve">er Identität. </w:t>
      </w:r>
      <w:r>
        <w:rPr>
          <w:rFonts w:ascii="Times New Roman" w:hAnsi="Times New Roman"/>
          <w:spacing w:val="-2"/>
          <w:sz w:val="16"/>
          <w:szCs w:val="16"/>
        </w:rPr>
        <w:t>Zudem ist d</w:t>
      </w:r>
      <w:r w:rsidR="00BB2C5E">
        <w:rPr>
          <w:rFonts w:ascii="Times New Roman" w:hAnsi="Times New Roman"/>
          <w:spacing w:val="-2"/>
          <w:sz w:val="16"/>
          <w:szCs w:val="16"/>
        </w:rPr>
        <w:t>ie Befugnis des Verdeckten Ermittlers zum Betreten fremder Wohnungen im Hinblick auf das Grundrecht der Unverletzlichkeit der Wohnung nach Art. 13 GG besonders geregelt (</w:t>
      </w:r>
      <w:r w:rsidR="00BB2C5E" w:rsidRPr="006158CB">
        <w:rPr>
          <w:rFonts w:ascii="Times New Roman" w:hAnsi="Times New Roman"/>
          <w:b/>
          <w:spacing w:val="-2"/>
          <w:sz w:val="16"/>
          <w:szCs w:val="16"/>
        </w:rPr>
        <w:t>§ 110c StPO</w:t>
      </w:r>
      <w:r w:rsidR="00BB2C5E">
        <w:rPr>
          <w:rFonts w:ascii="Times New Roman" w:hAnsi="Times New Roman"/>
          <w:spacing w:val="-2"/>
          <w:sz w:val="16"/>
          <w:szCs w:val="16"/>
        </w:rPr>
        <w:t>).</w:t>
      </w:r>
    </w:p>
    <w:p w14:paraId="619C3909" w14:textId="20C2B2B5" w:rsidR="003D538B" w:rsidRPr="00AE0832" w:rsidRDefault="003D538B" w:rsidP="00FB2AD1">
      <w:pPr>
        <w:widowControl/>
        <w:tabs>
          <w:tab w:val="left" w:pos="-720"/>
          <w:tab w:val="left" w:pos="284"/>
          <w:tab w:val="left" w:pos="576"/>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AE0832">
        <w:rPr>
          <w:rFonts w:ascii="Times New Roman" w:hAnsi="Times New Roman"/>
          <w:b/>
          <w:sz w:val="16"/>
          <w:szCs w:val="16"/>
        </w:rPr>
        <w:t>III. Zulässigkeit des Einsatzes von V-</w:t>
      </w:r>
      <w:r w:rsidR="00715D32">
        <w:rPr>
          <w:rFonts w:ascii="Times New Roman" w:hAnsi="Times New Roman"/>
          <w:b/>
          <w:sz w:val="16"/>
          <w:szCs w:val="16"/>
        </w:rPr>
        <w:t>Leuten</w:t>
      </w:r>
      <w:r w:rsidRPr="00AE0832">
        <w:rPr>
          <w:rFonts w:ascii="Times New Roman" w:hAnsi="Times New Roman"/>
          <w:b/>
          <w:sz w:val="16"/>
          <w:szCs w:val="16"/>
        </w:rPr>
        <w:t xml:space="preserve">, Informanten und </w:t>
      </w:r>
      <w:r w:rsidR="00FA4D4E">
        <w:rPr>
          <w:rFonts w:ascii="Times New Roman" w:hAnsi="Times New Roman"/>
          <w:b/>
          <w:sz w:val="16"/>
          <w:szCs w:val="16"/>
        </w:rPr>
        <w:t>NOEP</w:t>
      </w:r>
      <w:r w:rsidRPr="00AE0832">
        <w:rPr>
          <w:rFonts w:ascii="Times New Roman" w:hAnsi="Times New Roman"/>
          <w:b/>
          <w:sz w:val="16"/>
          <w:szCs w:val="16"/>
        </w:rPr>
        <w:t>:</w:t>
      </w:r>
      <w:r w:rsidRPr="00AE0832">
        <w:rPr>
          <w:rFonts w:ascii="Times New Roman" w:hAnsi="Times New Roman"/>
          <w:spacing w:val="-2"/>
          <w:sz w:val="16"/>
          <w:szCs w:val="16"/>
        </w:rPr>
        <w:t xml:space="preserve"> Eine ausdrückliche gesetzliche Regelung liegt hier nicht vor; die §§ 110a ff. StPO sind </w:t>
      </w:r>
      <w:r w:rsidRPr="00AE0832">
        <w:rPr>
          <w:rFonts w:ascii="Times New Roman" w:hAnsi="Times New Roman"/>
          <w:b/>
          <w:spacing w:val="-2"/>
          <w:sz w:val="16"/>
          <w:szCs w:val="16"/>
        </w:rPr>
        <w:t>nicht</w:t>
      </w:r>
      <w:r w:rsidRPr="00AE0832">
        <w:rPr>
          <w:rFonts w:ascii="Times New Roman" w:hAnsi="Times New Roman"/>
          <w:spacing w:val="-2"/>
          <w:sz w:val="16"/>
          <w:szCs w:val="16"/>
        </w:rPr>
        <w:t xml:space="preserve"> analog anwendbar. Teilweise wird, da ihr Einsatz einen Eingriff in das Recht auf informationelle Selbstbestimmung darstelle, eine gesetzliche Ermächtigung gefordert.</w:t>
      </w:r>
      <w:r w:rsidR="0000675C">
        <w:rPr>
          <w:rFonts w:ascii="Times New Roman" w:hAnsi="Times New Roman"/>
          <w:spacing w:val="-2"/>
          <w:sz w:val="16"/>
          <w:szCs w:val="16"/>
        </w:rPr>
        <w:t xml:space="preserve"> Ein entsprechender Gesetzesentwurf zur Regelung des Einsatzes von VE und V-Leuten (sowie zu Tatprovokation) liegt vor (BT-</w:t>
      </w:r>
      <w:proofErr w:type="spellStart"/>
      <w:r w:rsidR="0000675C">
        <w:rPr>
          <w:rFonts w:ascii="Times New Roman" w:hAnsi="Times New Roman"/>
          <w:spacing w:val="-2"/>
          <w:sz w:val="16"/>
          <w:szCs w:val="16"/>
        </w:rPr>
        <w:t>Drs</w:t>
      </w:r>
      <w:proofErr w:type="spellEnd"/>
      <w:r w:rsidR="0000675C">
        <w:rPr>
          <w:rFonts w:ascii="Times New Roman" w:hAnsi="Times New Roman"/>
          <w:spacing w:val="-2"/>
          <w:sz w:val="16"/>
          <w:szCs w:val="16"/>
        </w:rPr>
        <w:t xml:space="preserve">. 20/11312). </w:t>
      </w:r>
      <w:r w:rsidRPr="00AE0832">
        <w:rPr>
          <w:rFonts w:ascii="Times New Roman" w:hAnsi="Times New Roman"/>
          <w:spacing w:val="-2"/>
          <w:sz w:val="16"/>
          <w:szCs w:val="16"/>
        </w:rPr>
        <w:t xml:space="preserve">Der BGH </w:t>
      </w:r>
      <w:r w:rsidR="00F804E0">
        <w:rPr>
          <w:rFonts w:ascii="Times New Roman" w:hAnsi="Times New Roman"/>
          <w:spacing w:val="-2"/>
          <w:sz w:val="16"/>
          <w:szCs w:val="16"/>
        </w:rPr>
        <w:t>sieht</w:t>
      </w:r>
      <w:r w:rsidRPr="00AE0832">
        <w:rPr>
          <w:rFonts w:ascii="Times New Roman" w:hAnsi="Times New Roman"/>
          <w:spacing w:val="-2"/>
          <w:sz w:val="16"/>
          <w:szCs w:val="16"/>
        </w:rPr>
        <w:t xml:space="preserve"> hingegen in den </w:t>
      </w:r>
      <w:r w:rsidRPr="00AE0832">
        <w:rPr>
          <w:rFonts w:ascii="Times New Roman" w:hAnsi="Times New Roman"/>
          <w:b/>
          <w:spacing w:val="-2"/>
          <w:sz w:val="16"/>
          <w:szCs w:val="16"/>
        </w:rPr>
        <w:t>§§ 161, 163 StPO</w:t>
      </w:r>
      <w:r w:rsidR="00166B7A">
        <w:rPr>
          <w:rFonts w:ascii="Times New Roman" w:hAnsi="Times New Roman"/>
          <w:b/>
          <w:spacing w:val="-2"/>
          <w:sz w:val="16"/>
          <w:szCs w:val="16"/>
        </w:rPr>
        <w:t xml:space="preserve"> (Ermittlungsgeneralklausel) </w:t>
      </w:r>
      <w:r w:rsidRPr="00AE0832">
        <w:rPr>
          <w:rFonts w:ascii="Times New Roman" w:hAnsi="Times New Roman"/>
          <w:spacing w:val="-2"/>
          <w:sz w:val="16"/>
          <w:szCs w:val="16"/>
        </w:rPr>
        <w:t>eine hinreichende gesetzliche Legitimation: Da die V-</w:t>
      </w:r>
      <w:r w:rsidR="00542D29">
        <w:rPr>
          <w:rFonts w:ascii="Times New Roman" w:hAnsi="Times New Roman"/>
          <w:spacing w:val="-2"/>
          <w:sz w:val="16"/>
          <w:szCs w:val="16"/>
        </w:rPr>
        <w:t>Leute</w:t>
      </w:r>
      <w:r w:rsidR="00542D29" w:rsidRPr="00AE0832">
        <w:rPr>
          <w:rFonts w:ascii="Times New Roman" w:hAnsi="Times New Roman"/>
          <w:spacing w:val="-2"/>
          <w:sz w:val="16"/>
          <w:szCs w:val="16"/>
        </w:rPr>
        <w:t xml:space="preserve"> </w:t>
      </w:r>
      <w:r w:rsidRPr="00AE0832">
        <w:rPr>
          <w:rFonts w:ascii="Times New Roman" w:hAnsi="Times New Roman"/>
          <w:spacing w:val="-2"/>
          <w:sz w:val="16"/>
          <w:szCs w:val="16"/>
        </w:rPr>
        <w:t xml:space="preserve">und Informanten keine Mitglieder der Strafverfolgungsbehörden sind, handele es sich nur um eine Informationsbeschaffung durch Zeugenbeweis, die keiner weiteren Ermächtigungsgrundlage bedürfe. Dieser „privaten“ Informationsbeschaffung werden lediglich durch das Rechtsstaatsprinzip Schranken gesetzt, sodass z.B. eine längerfristige Observation durch einen V-Mann nicht schrankenlos zulässig ist, sondern nur bei Bekämpfung und Aufklärung besonders gefährlicher und schwer aufklärbarer Kriminalität durchgeführt werden darf. </w:t>
      </w:r>
      <w:r w:rsidR="00166B7A" w:rsidRPr="009B03D3">
        <w:rPr>
          <w:rFonts w:ascii="Times New Roman" w:hAnsi="Times New Roman"/>
          <w:spacing w:val="-2"/>
          <w:sz w:val="16"/>
          <w:szCs w:val="16"/>
        </w:rPr>
        <w:t xml:space="preserve">NOEP sind zwar keine Privatpersonen, dennoch wird wegen ihres im Vergleich zu den VE nur kurzfristigen Einsatzes ebenso die Ermittlungsgeneralklausel als Rechtsgrundlage für ausreichend erachtet, wobei auch ihr Einsatz nur in den Grenzen des Verhältnismäßigkeitsprinzips zulässig ist. </w:t>
      </w:r>
      <w:r w:rsidRPr="00AE0832">
        <w:rPr>
          <w:rFonts w:ascii="Times New Roman" w:hAnsi="Times New Roman"/>
          <w:spacing w:val="-2"/>
          <w:sz w:val="16"/>
          <w:szCs w:val="16"/>
        </w:rPr>
        <w:t xml:space="preserve">Ebenso wie </w:t>
      </w:r>
      <w:r w:rsidR="00542D29">
        <w:rPr>
          <w:rFonts w:ascii="Times New Roman" w:hAnsi="Times New Roman"/>
          <w:spacing w:val="-2"/>
          <w:sz w:val="16"/>
          <w:szCs w:val="16"/>
        </w:rPr>
        <w:t>VE</w:t>
      </w:r>
      <w:r w:rsidRPr="00AE0832">
        <w:rPr>
          <w:rFonts w:ascii="Times New Roman" w:hAnsi="Times New Roman"/>
          <w:spacing w:val="-2"/>
          <w:sz w:val="16"/>
          <w:szCs w:val="16"/>
        </w:rPr>
        <w:t xml:space="preserve"> dürfen auch V-Leute, die als Lockspitzel arbeiten, nur gegen Personen eingesetzt werden, gegen die schon ein Verdacht </w:t>
      </w:r>
      <w:proofErr w:type="spellStart"/>
      <w:r w:rsidRPr="00AE0832">
        <w:rPr>
          <w:rFonts w:ascii="Times New Roman" w:hAnsi="Times New Roman"/>
          <w:spacing w:val="-2"/>
          <w:sz w:val="16"/>
          <w:szCs w:val="16"/>
        </w:rPr>
        <w:t>i.S.d</w:t>
      </w:r>
      <w:proofErr w:type="spellEnd"/>
      <w:r w:rsidR="00542D29">
        <w:rPr>
          <w:rFonts w:ascii="Times New Roman" w:hAnsi="Times New Roman"/>
          <w:spacing w:val="-2"/>
          <w:sz w:val="16"/>
          <w:szCs w:val="16"/>
        </w:rPr>
        <w:t>.</w:t>
      </w:r>
      <w:r w:rsidRPr="00AE0832">
        <w:rPr>
          <w:rFonts w:ascii="Times New Roman" w:hAnsi="Times New Roman"/>
          <w:spacing w:val="-2"/>
          <w:sz w:val="16"/>
          <w:szCs w:val="16"/>
        </w:rPr>
        <w:t xml:space="preserve"> §</w:t>
      </w:r>
      <w:r w:rsidR="00FF73CB">
        <w:rPr>
          <w:rFonts w:ascii="Times New Roman" w:hAnsi="Times New Roman"/>
          <w:spacing w:val="-2"/>
          <w:sz w:val="16"/>
          <w:szCs w:val="16"/>
        </w:rPr>
        <w:t> </w:t>
      </w:r>
      <w:r w:rsidRPr="00AE0832">
        <w:rPr>
          <w:rFonts w:ascii="Times New Roman" w:hAnsi="Times New Roman"/>
          <w:spacing w:val="-2"/>
          <w:sz w:val="16"/>
          <w:szCs w:val="16"/>
        </w:rPr>
        <w:t>160 StPO besteht – und dies auch nur bei gefährlicher oder anders schwer aufklärbarer Kriminalität. Sie dürfen andere Personen auch nicht zur Begehung von Straftaten anstiften.</w:t>
      </w:r>
    </w:p>
    <w:p w14:paraId="4144EAE2" w14:textId="77777777" w:rsidR="003D538B" w:rsidRPr="00AE0832" w:rsidRDefault="003D538B" w:rsidP="00FB2AD1">
      <w:pPr>
        <w:widowControl/>
        <w:tabs>
          <w:tab w:val="left" w:pos="-720"/>
          <w:tab w:val="left" w:pos="284"/>
          <w:tab w:val="left" w:pos="576"/>
          <w:tab w:val="left" w:pos="864"/>
          <w:tab w:val="left" w:pos="1116"/>
          <w:tab w:val="left" w:pos="1404"/>
          <w:tab w:val="left" w:pos="1692"/>
          <w:tab w:val="left" w:pos="1980"/>
          <w:tab w:val="left" w:pos="2268"/>
          <w:tab w:val="left" w:pos="2880"/>
        </w:tabs>
        <w:ind w:left="284" w:hanging="284"/>
        <w:jc w:val="both"/>
        <w:rPr>
          <w:rFonts w:ascii="Times New Roman" w:hAnsi="Times New Roman"/>
          <w:spacing w:val="-2"/>
          <w:sz w:val="16"/>
          <w:szCs w:val="16"/>
        </w:rPr>
      </w:pPr>
      <w:r w:rsidRPr="00AE0832">
        <w:rPr>
          <w:rFonts w:ascii="Times New Roman" w:hAnsi="Times New Roman"/>
          <w:b/>
          <w:spacing w:val="-2"/>
          <w:sz w:val="16"/>
          <w:szCs w:val="16"/>
        </w:rPr>
        <w:t>IV. Verwertbarkeit der Informationen im Prozess: Geheimhaltungsinteresse und Unmittelbarkeitsgrundsatz:</w:t>
      </w:r>
      <w:r w:rsidRPr="00AE0832">
        <w:rPr>
          <w:rFonts w:ascii="Times New Roman" w:hAnsi="Times New Roman"/>
          <w:spacing w:val="-2"/>
          <w:sz w:val="16"/>
          <w:szCs w:val="16"/>
        </w:rPr>
        <w:t xml:space="preserve"> Fraglich ist die Verwertbarkeit der gewonnenen Informationen im Strafprozess, wenn die Behörde die Identität der Personen nicht preisgeben will. Hier </w:t>
      </w:r>
      <w:r w:rsidR="00FF73CB" w:rsidRPr="00AE0832">
        <w:rPr>
          <w:rFonts w:ascii="Times New Roman" w:hAnsi="Times New Roman"/>
          <w:spacing w:val="-2"/>
          <w:sz w:val="16"/>
          <w:szCs w:val="16"/>
        </w:rPr>
        <w:t>konkurriert</w:t>
      </w:r>
      <w:r w:rsidR="004E5B9A">
        <w:rPr>
          <w:rFonts w:ascii="Times New Roman" w:hAnsi="Times New Roman"/>
          <w:spacing w:val="-2"/>
          <w:sz w:val="16"/>
          <w:szCs w:val="16"/>
        </w:rPr>
        <w:t xml:space="preserve"> </w:t>
      </w:r>
      <w:r w:rsidRPr="00AE0832">
        <w:rPr>
          <w:rFonts w:ascii="Times New Roman" w:hAnsi="Times New Roman"/>
          <w:spacing w:val="-2"/>
          <w:sz w:val="16"/>
          <w:szCs w:val="16"/>
        </w:rPr>
        <w:t>das Interesse der Behörde (Zusicherung der Vertraulichkeit</w:t>
      </w:r>
      <w:r w:rsidR="0070556A">
        <w:rPr>
          <w:rFonts w:ascii="Times New Roman" w:hAnsi="Times New Roman"/>
          <w:spacing w:val="-2"/>
          <w:sz w:val="16"/>
          <w:szCs w:val="16"/>
        </w:rPr>
        <w:t>,</w:t>
      </w:r>
      <w:r w:rsidRPr="00AE0832">
        <w:rPr>
          <w:rFonts w:ascii="Times New Roman" w:hAnsi="Times New Roman"/>
          <w:spacing w:val="-2"/>
          <w:sz w:val="16"/>
          <w:szCs w:val="16"/>
        </w:rPr>
        <w:t xml:space="preserve"> weiterer Einsatz als </w:t>
      </w:r>
      <w:r w:rsidR="002D2A22">
        <w:rPr>
          <w:rFonts w:ascii="Times New Roman" w:hAnsi="Times New Roman"/>
          <w:spacing w:val="-2"/>
          <w:sz w:val="16"/>
          <w:szCs w:val="16"/>
        </w:rPr>
        <w:t>VE</w:t>
      </w:r>
      <w:r w:rsidRPr="00AE0832">
        <w:rPr>
          <w:rFonts w:ascii="Times New Roman" w:hAnsi="Times New Roman"/>
          <w:spacing w:val="-2"/>
          <w:sz w:val="16"/>
          <w:szCs w:val="16"/>
        </w:rPr>
        <w:t>, V-Person oder Informant) mit dem Unmittelbarkeitsgrundsatz. Es stellen sich folgende Fragen:</w:t>
      </w:r>
    </w:p>
    <w:p w14:paraId="0BF3A710" w14:textId="7E4EC1AB" w:rsidR="003D538B" w:rsidRPr="00AE0832" w:rsidRDefault="003D538B" w:rsidP="00FB2AD1">
      <w:pPr>
        <w:widowControl/>
        <w:tabs>
          <w:tab w:val="left" w:pos="0"/>
          <w:tab w:val="left" w:pos="567"/>
          <w:tab w:val="left" w:pos="1404"/>
          <w:tab w:val="left" w:pos="1692"/>
          <w:tab w:val="left" w:pos="1980"/>
          <w:tab w:val="left" w:pos="2268"/>
          <w:tab w:val="left" w:pos="2880"/>
        </w:tabs>
        <w:ind w:left="567" w:hanging="284"/>
        <w:jc w:val="both"/>
        <w:rPr>
          <w:rFonts w:ascii="Times New Roman" w:hAnsi="Times New Roman"/>
          <w:spacing w:val="-2"/>
          <w:sz w:val="16"/>
          <w:szCs w:val="16"/>
        </w:rPr>
      </w:pPr>
      <w:r w:rsidRPr="00AE0832">
        <w:rPr>
          <w:rFonts w:ascii="Times New Roman" w:hAnsi="Times New Roman"/>
          <w:spacing w:val="-2"/>
          <w:sz w:val="16"/>
          <w:szCs w:val="16"/>
          <w:u w:val="single"/>
        </w:rPr>
        <w:t xml:space="preserve">1. </w:t>
      </w:r>
      <w:r w:rsidRPr="00AE0832">
        <w:rPr>
          <w:rFonts w:ascii="Times New Roman" w:hAnsi="Times New Roman"/>
          <w:spacing w:val="-2"/>
          <w:sz w:val="16"/>
          <w:szCs w:val="16"/>
          <w:u w:val="single"/>
        </w:rPr>
        <w:tab/>
        <w:t>Möglichkeit der Behörde, die Aufdeckung der Identität zu verweigern:</w:t>
      </w:r>
      <w:r w:rsidRPr="00AE0832">
        <w:rPr>
          <w:rFonts w:ascii="Times New Roman" w:hAnsi="Times New Roman"/>
          <w:spacing w:val="-2"/>
          <w:sz w:val="16"/>
          <w:szCs w:val="16"/>
        </w:rPr>
        <w:t xml:space="preserve"> Die StPO erkennt in den §§ 54, 68, 96, 110b III StPO das Geheimhaltungsinteresse des Staates grundsätzlich an. Eine „Sperrung“ eines </w:t>
      </w:r>
      <w:r w:rsidR="00542D29">
        <w:rPr>
          <w:rFonts w:ascii="Times New Roman" w:hAnsi="Times New Roman"/>
          <w:spacing w:val="-2"/>
          <w:sz w:val="16"/>
          <w:szCs w:val="16"/>
        </w:rPr>
        <w:t>VE</w:t>
      </w:r>
      <w:r w:rsidRPr="00AE0832">
        <w:rPr>
          <w:rFonts w:ascii="Times New Roman" w:hAnsi="Times New Roman"/>
          <w:spacing w:val="-2"/>
          <w:sz w:val="16"/>
          <w:szCs w:val="16"/>
        </w:rPr>
        <w:t xml:space="preserve"> für das gerichtliche Verfahren ist dabei nach §</w:t>
      </w:r>
      <w:r w:rsidR="00DF5259">
        <w:rPr>
          <w:rFonts w:ascii="Times New Roman" w:hAnsi="Times New Roman"/>
          <w:spacing w:val="-2"/>
          <w:sz w:val="16"/>
          <w:szCs w:val="16"/>
        </w:rPr>
        <w:t> </w:t>
      </w:r>
      <w:r w:rsidRPr="00AE0832">
        <w:rPr>
          <w:rFonts w:ascii="Times New Roman" w:hAnsi="Times New Roman"/>
          <w:spacing w:val="-2"/>
          <w:sz w:val="16"/>
          <w:szCs w:val="16"/>
        </w:rPr>
        <w:t>110b III 3</w:t>
      </w:r>
      <w:r w:rsidR="00DF5259">
        <w:rPr>
          <w:rFonts w:ascii="Times New Roman" w:hAnsi="Times New Roman"/>
          <w:spacing w:val="-2"/>
          <w:sz w:val="16"/>
          <w:szCs w:val="16"/>
        </w:rPr>
        <w:t xml:space="preserve"> StPO</w:t>
      </w:r>
      <w:r w:rsidRPr="00AE0832">
        <w:rPr>
          <w:rFonts w:ascii="Times New Roman" w:hAnsi="Times New Roman"/>
          <w:spacing w:val="-2"/>
          <w:sz w:val="16"/>
          <w:szCs w:val="16"/>
        </w:rPr>
        <w:t xml:space="preserve"> </w:t>
      </w:r>
      <w:proofErr w:type="spellStart"/>
      <w:r w:rsidRPr="00AE0832">
        <w:rPr>
          <w:rFonts w:ascii="Times New Roman" w:hAnsi="Times New Roman"/>
          <w:spacing w:val="-2"/>
          <w:sz w:val="16"/>
          <w:szCs w:val="16"/>
        </w:rPr>
        <w:t>i</w:t>
      </w:r>
      <w:r w:rsidR="00FF73CB">
        <w:rPr>
          <w:rFonts w:ascii="Times New Roman" w:hAnsi="Times New Roman"/>
          <w:spacing w:val="-2"/>
          <w:sz w:val="16"/>
          <w:szCs w:val="16"/>
        </w:rPr>
        <w:t>.</w:t>
      </w:r>
      <w:r w:rsidRPr="00AE0832">
        <w:rPr>
          <w:rFonts w:ascii="Times New Roman" w:hAnsi="Times New Roman"/>
          <w:spacing w:val="-2"/>
          <w:sz w:val="16"/>
          <w:szCs w:val="16"/>
        </w:rPr>
        <w:t>V</w:t>
      </w:r>
      <w:r w:rsidR="00FF73CB">
        <w:rPr>
          <w:rFonts w:ascii="Times New Roman" w:hAnsi="Times New Roman"/>
          <w:spacing w:val="-2"/>
          <w:sz w:val="16"/>
          <w:szCs w:val="16"/>
        </w:rPr>
        <w:t>.</w:t>
      </w:r>
      <w:r w:rsidRPr="00AE0832">
        <w:rPr>
          <w:rFonts w:ascii="Times New Roman" w:hAnsi="Times New Roman"/>
          <w:spacing w:val="-2"/>
          <w:sz w:val="16"/>
          <w:szCs w:val="16"/>
        </w:rPr>
        <w:t>m</w:t>
      </w:r>
      <w:proofErr w:type="spellEnd"/>
      <w:r w:rsidRPr="00AE0832">
        <w:rPr>
          <w:rFonts w:ascii="Times New Roman" w:hAnsi="Times New Roman"/>
          <w:spacing w:val="-2"/>
          <w:sz w:val="16"/>
          <w:szCs w:val="16"/>
        </w:rPr>
        <w:t>.</w:t>
      </w:r>
      <w:r w:rsidR="00FF73CB">
        <w:rPr>
          <w:rFonts w:ascii="Times New Roman" w:hAnsi="Times New Roman"/>
          <w:spacing w:val="-2"/>
          <w:sz w:val="16"/>
          <w:szCs w:val="16"/>
        </w:rPr>
        <w:t> § </w:t>
      </w:r>
      <w:r w:rsidRPr="00AE0832">
        <w:rPr>
          <w:rFonts w:ascii="Times New Roman" w:hAnsi="Times New Roman"/>
          <w:spacing w:val="-2"/>
          <w:sz w:val="16"/>
          <w:szCs w:val="16"/>
        </w:rPr>
        <w:t>96</w:t>
      </w:r>
      <w:r w:rsidR="00FF73CB">
        <w:rPr>
          <w:rFonts w:ascii="Times New Roman" w:hAnsi="Times New Roman"/>
          <w:spacing w:val="-2"/>
          <w:sz w:val="16"/>
          <w:szCs w:val="16"/>
        </w:rPr>
        <w:t> </w:t>
      </w:r>
      <w:r w:rsidRPr="00AE0832">
        <w:rPr>
          <w:rFonts w:ascii="Times New Roman" w:hAnsi="Times New Roman"/>
          <w:spacing w:val="-2"/>
          <w:sz w:val="16"/>
          <w:szCs w:val="16"/>
        </w:rPr>
        <w:t>StPO möglich. Bezüglich der anderen Informanten gibt es keine gesetzlichen Regelungen. Hier ist eine „Sperrung“ dieser Personen aber weiterhin nach §</w:t>
      </w:r>
      <w:r w:rsidR="0070556A">
        <w:rPr>
          <w:rFonts w:ascii="Times New Roman" w:hAnsi="Times New Roman"/>
          <w:spacing w:val="-2"/>
          <w:sz w:val="16"/>
          <w:szCs w:val="16"/>
        </w:rPr>
        <w:t> </w:t>
      </w:r>
      <w:r w:rsidRPr="00AE0832">
        <w:rPr>
          <w:rFonts w:ascii="Times New Roman" w:hAnsi="Times New Roman"/>
          <w:spacing w:val="-2"/>
          <w:sz w:val="16"/>
          <w:szCs w:val="16"/>
        </w:rPr>
        <w:t>96</w:t>
      </w:r>
      <w:r w:rsidR="0070556A">
        <w:rPr>
          <w:rFonts w:ascii="Times New Roman" w:hAnsi="Times New Roman"/>
          <w:spacing w:val="-2"/>
          <w:sz w:val="16"/>
          <w:szCs w:val="16"/>
        </w:rPr>
        <w:t> </w:t>
      </w:r>
      <w:r w:rsidRPr="00AE0832">
        <w:rPr>
          <w:rFonts w:ascii="Times New Roman" w:hAnsi="Times New Roman"/>
          <w:spacing w:val="-2"/>
          <w:sz w:val="16"/>
          <w:szCs w:val="16"/>
        </w:rPr>
        <w:t>StPO (analog) möglich. Die Behörde muss die Sperrung begründen, das Gericht muss die Entscheidung auf Rechtsfehler überprüfen können. Fraglich ist jedoch, ob und wie das Gericht einer rechtswidrige</w:t>
      </w:r>
      <w:r w:rsidR="00334BF8">
        <w:rPr>
          <w:rFonts w:ascii="Times New Roman" w:hAnsi="Times New Roman"/>
          <w:spacing w:val="-2"/>
          <w:sz w:val="16"/>
          <w:szCs w:val="16"/>
        </w:rPr>
        <w:t>n</w:t>
      </w:r>
      <w:r w:rsidRPr="00AE0832">
        <w:rPr>
          <w:rFonts w:ascii="Times New Roman" w:hAnsi="Times New Roman"/>
          <w:spacing w:val="-2"/>
          <w:sz w:val="16"/>
          <w:szCs w:val="16"/>
        </w:rPr>
        <w:t xml:space="preserve"> Sperrerklärung entgegenwirken kann.</w:t>
      </w:r>
    </w:p>
    <w:p w14:paraId="1D5CC4D1" w14:textId="2614D6E5" w:rsidR="003D538B" w:rsidRPr="00AE0832" w:rsidRDefault="003D538B" w:rsidP="00FB2AD1">
      <w:pPr>
        <w:widowControl/>
        <w:tabs>
          <w:tab w:val="left" w:pos="0"/>
          <w:tab w:val="left" w:pos="567"/>
          <w:tab w:val="left" w:pos="1404"/>
          <w:tab w:val="left" w:pos="1692"/>
          <w:tab w:val="left" w:pos="1980"/>
          <w:tab w:val="left" w:pos="2268"/>
          <w:tab w:val="left" w:pos="2880"/>
        </w:tabs>
        <w:ind w:left="567" w:hanging="284"/>
        <w:jc w:val="both"/>
        <w:rPr>
          <w:rFonts w:ascii="Times New Roman" w:hAnsi="Times New Roman"/>
          <w:spacing w:val="-2"/>
          <w:sz w:val="16"/>
          <w:szCs w:val="16"/>
        </w:rPr>
      </w:pPr>
      <w:r w:rsidRPr="00AE0832">
        <w:rPr>
          <w:rFonts w:ascii="Times New Roman" w:hAnsi="Times New Roman"/>
          <w:spacing w:val="-2"/>
          <w:sz w:val="16"/>
          <w:szCs w:val="16"/>
          <w:u w:val="single"/>
        </w:rPr>
        <w:t xml:space="preserve">2. </w:t>
      </w:r>
      <w:r w:rsidRPr="00AE0832">
        <w:rPr>
          <w:rFonts w:ascii="Times New Roman" w:hAnsi="Times New Roman"/>
          <w:spacing w:val="-2"/>
          <w:sz w:val="16"/>
          <w:szCs w:val="16"/>
          <w:u w:val="single"/>
        </w:rPr>
        <w:tab/>
        <w:t>Möglichkeit, trotz Sperrung die Aussage dieser Personen in den Prozess einzuführen:</w:t>
      </w:r>
      <w:r w:rsidRPr="00AE0832">
        <w:rPr>
          <w:rFonts w:ascii="Times New Roman" w:hAnsi="Times New Roman"/>
          <w:spacing w:val="-2"/>
          <w:sz w:val="16"/>
          <w:szCs w:val="16"/>
        </w:rPr>
        <w:t xml:space="preserve"> In §</w:t>
      </w:r>
      <w:r w:rsidR="00DF5259">
        <w:rPr>
          <w:rFonts w:ascii="Times New Roman" w:hAnsi="Times New Roman"/>
          <w:spacing w:val="-2"/>
          <w:sz w:val="16"/>
          <w:szCs w:val="16"/>
        </w:rPr>
        <w:t> </w:t>
      </w:r>
      <w:r w:rsidRPr="00AE0832">
        <w:rPr>
          <w:rFonts w:ascii="Times New Roman" w:hAnsi="Times New Roman"/>
          <w:spacing w:val="-2"/>
          <w:sz w:val="16"/>
          <w:szCs w:val="16"/>
        </w:rPr>
        <w:t xml:space="preserve">110b III StPO wurde das Geheimhaltungsinteresse beim </w:t>
      </w:r>
      <w:r w:rsidR="00DF5259">
        <w:rPr>
          <w:rFonts w:ascii="Times New Roman" w:hAnsi="Times New Roman"/>
          <w:spacing w:val="-2"/>
          <w:sz w:val="16"/>
          <w:szCs w:val="16"/>
        </w:rPr>
        <w:t>VE</w:t>
      </w:r>
      <w:r w:rsidRPr="00AE0832">
        <w:rPr>
          <w:rFonts w:ascii="Times New Roman" w:hAnsi="Times New Roman"/>
          <w:spacing w:val="-2"/>
          <w:sz w:val="16"/>
          <w:szCs w:val="16"/>
        </w:rPr>
        <w:t xml:space="preserve"> anerkannt. Auch wurde die Zeugenschutzvorschrift des § 68 StPO erweitert, ferner ist die Möglichkeit der Videovernehmung, §§ 58a, 168e, 247a, 255a StPO, hinzugekommen. Im Hinblick auf die Reichweite der Sperrung (auch bei den anderen Vertrauenspersonen) wurde von der Rech</w:t>
      </w:r>
      <w:r w:rsidR="0070556A">
        <w:rPr>
          <w:rFonts w:ascii="Times New Roman" w:hAnsi="Times New Roman"/>
          <w:spacing w:val="-2"/>
          <w:sz w:val="16"/>
          <w:szCs w:val="16"/>
        </w:rPr>
        <w:t>t</w:t>
      </w:r>
      <w:r w:rsidRPr="00AE0832">
        <w:rPr>
          <w:rFonts w:ascii="Times New Roman" w:hAnsi="Times New Roman"/>
          <w:spacing w:val="-2"/>
          <w:sz w:val="16"/>
          <w:szCs w:val="16"/>
        </w:rPr>
        <w:t xml:space="preserve">sprechung eine </w:t>
      </w:r>
      <w:r w:rsidRPr="00AE0832">
        <w:rPr>
          <w:rFonts w:ascii="Times New Roman" w:hAnsi="Times New Roman"/>
          <w:b/>
          <w:spacing w:val="-2"/>
          <w:sz w:val="16"/>
          <w:szCs w:val="16"/>
        </w:rPr>
        <w:t>3</w:t>
      </w:r>
      <w:r w:rsidR="00DF5259">
        <w:rPr>
          <w:rFonts w:ascii="Times New Roman" w:hAnsi="Times New Roman"/>
          <w:b/>
          <w:spacing w:val="-2"/>
          <w:sz w:val="16"/>
          <w:szCs w:val="16"/>
        </w:rPr>
        <w:noBreakHyphen/>
      </w:r>
      <w:r w:rsidRPr="00AE0832">
        <w:rPr>
          <w:rFonts w:ascii="Times New Roman" w:hAnsi="Times New Roman"/>
          <w:b/>
          <w:spacing w:val="-2"/>
          <w:sz w:val="16"/>
          <w:szCs w:val="16"/>
        </w:rPr>
        <w:t>Stufen-Theorie</w:t>
      </w:r>
      <w:r w:rsidRPr="00AE0832">
        <w:rPr>
          <w:rFonts w:ascii="Times New Roman" w:hAnsi="Times New Roman"/>
          <w:spacing w:val="-2"/>
          <w:sz w:val="16"/>
          <w:szCs w:val="16"/>
        </w:rPr>
        <w:t xml:space="preserve"> entwickelt, nach der die Behörde eine Vernehmung auch von bestimmten Bedingungen abhängig machen kann (eine „Totalsperrung“ ist also nicht </w:t>
      </w:r>
      <w:proofErr w:type="spellStart"/>
      <w:r w:rsidRPr="00AE0832">
        <w:rPr>
          <w:rFonts w:ascii="Times New Roman" w:hAnsi="Times New Roman"/>
          <w:spacing w:val="-2"/>
          <w:sz w:val="16"/>
          <w:szCs w:val="16"/>
        </w:rPr>
        <w:t>grds</w:t>
      </w:r>
      <w:proofErr w:type="spellEnd"/>
      <w:r w:rsidRPr="00AE0832">
        <w:rPr>
          <w:rFonts w:ascii="Times New Roman" w:hAnsi="Times New Roman"/>
          <w:spacing w:val="-2"/>
          <w:sz w:val="16"/>
          <w:szCs w:val="16"/>
        </w:rPr>
        <w:t>. zulässig):</w:t>
      </w:r>
    </w:p>
    <w:p w14:paraId="0AF73BA7" w14:textId="40FF9754" w:rsidR="003D538B" w:rsidRPr="00AE0832" w:rsidRDefault="003D538B" w:rsidP="00FB2AD1">
      <w:pPr>
        <w:widowControl/>
        <w:tabs>
          <w:tab w:val="left" w:pos="-720"/>
          <w:tab w:val="left" w:pos="0"/>
          <w:tab w:val="left" w:pos="567"/>
          <w:tab w:val="left" w:pos="1418"/>
          <w:tab w:val="left" w:pos="1692"/>
          <w:tab w:val="left" w:pos="1980"/>
          <w:tab w:val="left" w:pos="2268"/>
          <w:tab w:val="left" w:pos="2880"/>
        </w:tabs>
        <w:ind w:left="1418" w:hanging="851"/>
        <w:jc w:val="both"/>
        <w:rPr>
          <w:rFonts w:ascii="Times New Roman" w:hAnsi="Times New Roman"/>
          <w:spacing w:val="-2"/>
          <w:sz w:val="16"/>
          <w:szCs w:val="16"/>
        </w:rPr>
      </w:pPr>
      <w:r w:rsidRPr="00AE0832">
        <w:rPr>
          <w:rFonts w:ascii="Times New Roman" w:hAnsi="Times New Roman"/>
          <w:b/>
          <w:spacing w:val="-2"/>
          <w:sz w:val="16"/>
          <w:szCs w:val="16"/>
        </w:rPr>
        <w:t>1. Stufe:</w:t>
      </w:r>
      <w:r w:rsidRPr="00AE0832">
        <w:rPr>
          <w:rFonts w:ascii="Times New Roman" w:hAnsi="Times New Roman"/>
          <w:spacing w:val="-2"/>
          <w:sz w:val="16"/>
          <w:szCs w:val="16"/>
        </w:rPr>
        <w:t xml:space="preserve"> Zunächst kommen äußere Einschränkungen bei der Vernehmung vor Gericht</w:t>
      </w:r>
      <w:r w:rsidR="00DF5259">
        <w:rPr>
          <w:rFonts w:ascii="Times New Roman" w:hAnsi="Times New Roman"/>
          <w:spacing w:val="-2"/>
          <w:sz w:val="16"/>
          <w:szCs w:val="16"/>
        </w:rPr>
        <w:t xml:space="preserve"> </w:t>
      </w:r>
      <w:r w:rsidR="00DF5259" w:rsidRPr="00AE0832">
        <w:rPr>
          <w:rFonts w:ascii="Times New Roman" w:hAnsi="Times New Roman"/>
          <w:spacing w:val="-2"/>
          <w:sz w:val="16"/>
          <w:szCs w:val="16"/>
        </w:rPr>
        <w:t>in Betracht</w:t>
      </w:r>
      <w:r w:rsidRPr="00AE0832">
        <w:rPr>
          <w:rFonts w:ascii="Times New Roman" w:hAnsi="Times New Roman"/>
          <w:spacing w:val="-2"/>
          <w:sz w:val="16"/>
          <w:szCs w:val="16"/>
        </w:rPr>
        <w:t>, z.B. Verschweigen des Wohnortes.</w:t>
      </w:r>
    </w:p>
    <w:p w14:paraId="49B83236" w14:textId="5A619F5B" w:rsidR="003D538B" w:rsidRPr="00AE0832" w:rsidRDefault="003D538B" w:rsidP="00FB2AD1">
      <w:pPr>
        <w:widowControl/>
        <w:tabs>
          <w:tab w:val="left" w:pos="-720"/>
          <w:tab w:val="left" w:pos="0"/>
          <w:tab w:val="left" w:pos="567"/>
          <w:tab w:val="left" w:pos="1418"/>
          <w:tab w:val="left" w:pos="1692"/>
          <w:tab w:val="left" w:pos="1980"/>
          <w:tab w:val="left" w:pos="2268"/>
          <w:tab w:val="left" w:pos="2880"/>
        </w:tabs>
        <w:ind w:left="1418" w:hanging="851"/>
        <w:jc w:val="both"/>
        <w:rPr>
          <w:rFonts w:ascii="Times New Roman" w:hAnsi="Times New Roman"/>
          <w:spacing w:val="-2"/>
          <w:sz w:val="16"/>
          <w:szCs w:val="16"/>
        </w:rPr>
      </w:pPr>
      <w:r w:rsidRPr="00AE0832">
        <w:rPr>
          <w:rFonts w:ascii="Times New Roman" w:hAnsi="Times New Roman"/>
          <w:b/>
          <w:spacing w:val="-2"/>
          <w:sz w:val="16"/>
          <w:szCs w:val="16"/>
        </w:rPr>
        <w:t>2. Stufe:</w:t>
      </w:r>
      <w:r w:rsidRPr="00AE0832">
        <w:rPr>
          <w:rFonts w:ascii="Times New Roman" w:hAnsi="Times New Roman"/>
          <w:spacing w:val="-2"/>
          <w:sz w:val="16"/>
          <w:szCs w:val="16"/>
        </w:rPr>
        <w:t xml:space="preserve"> Ist dies nicht ausreichend, kann eine Vernehmung allein durch den beauftragten oder ersuchten Richter</w:t>
      </w:r>
      <w:r w:rsidR="00DF5259">
        <w:rPr>
          <w:rFonts w:ascii="Times New Roman" w:hAnsi="Times New Roman"/>
          <w:spacing w:val="-2"/>
          <w:sz w:val="16"/>
          <w:szCs w:val="16"/>
        </w:rPr>
        <w:t xml:space="preserve"> </w:t>
      </w:r>
      <w:r w:rsidR="00DF5259" w:rsidRPr="00AE0832">
        <w:rPr>
          <w:rFonts w:ascii="Times New Roman" w:hAnsi="Times New Roman"/>
          <w:spacing w:val="-2"/>
          <w:sz w:val="16"/>
          <w:szCs w:val="16"/>
        </w:rPr>
        <w:t>beantragt</w:t>
      </w:r>
      <w:r w:rsidR="00DF5259">
        <w:rPr>
          <w:rFonts w:ascii="Times New Roman" w:hAnsi="Times New Roman"/>
          <w:spacing w:val="-2"/>
          <w:sz w:val="16"/>
          <w:szCs w:val="16"/>
        </w:rPr>
        <w:t xml:space="preserve"> werden</w:t>
      </w:r>
      <w:r w:rsidRPr="00AE0832">
        <w:rPr>
          <w:rFonts w:ascii="Times New Roman" w:hAnsi="Times New Roman"/>
          <w:spacing w:val="-2"/>
          <w:sz w:val="16"/>
          <w:szCs w:val="16"/>
        </w:rPr>
        <w:t>, §§ 223, 224, 251 I</w:t>
      </w:r>
      <w:r w:rsidR="00E95054">
        <w:rPr>
          <w:rFonts w:ascii="Times New Roman" w:hAnsi="Times New Roman"/>
          <w:spacing w:val="-2"/>
          <w:sz w:val="16"/>
          <w:szCs w:val="16"/>
        </w:rPr>
        <w:t xml:space="preserve">I </w:t>
      </w:r>
      <w:r w:rsidRPr="00AE0832">
        <w:rPr>
          <w:rFonts w:ascii="Times New Roman" w:hAnsi="Times New Roman"/>
          <w:spacing w:val="-2"/>
          <w:sz w:val="16"/>
          <w:szCs w:val="16"/>
        </w:rPr>
        <w:t>StPO.</w:t>
      </w:r>
    </w:p>
    <w:p w14:paraId="3A6B1277" w14:textId="65274044" w:rsidR="003D538B" w:rsidRPr="00AE0832" w:rsidRDefault="003D538B" w:rsidP="00FB2AD1">
      <w:pPr>
        <w:widowControl/>
        <w:tabs>
          <w:tab w:val="left" w:pos="-720"/>
          <w:tab w:val="left" w:pos="0"/>
          <w:tab w:val="left" w:pos="567"/>
          <w:tab w:val="left" w:pos="1418"/>
          <w:tab w:val="left" w:pos="1692"/>
          <w:tab w:val="left" w:pos="1980"/>
          <w:tab w:val="left" w:pos="2268"/>
          <w:tab w:val="left" w:pos="2880"/>
        </w:tabs>
        <w:ind w:left="567"/>
        <w:jc w:val="both"/>
        <w:rPr>
          <w:rFonts w:ascii="Times New Roman" w:hAnsi="Times New Roman"/>
          <w:spacing w:val="-2"/>
          <w:sz w:val="16"/>
          <w:szCs w:val="16"/>
        </w:rPr>
      </w:pPr>
      <w:r w:rsidRPr="00AE0832">
        <w:rPr>
          <w:rFonts w:ascii="Times New Roman" w:hAnsi="Times New Roman"/>
          <w:b/>
          <w:spacing w:val="-2"/>
          <w:sz w:val="16"/>
          <w:szCs w:val="16"/>
        </w:rPr>
        <w:t>3. Stufe:</w:t>
      </w:r>
      <w:r w:rsidRPr="00AE0832">
        <w:rPr>
          <w:rFonts w:ascii="Times New Roman" w:hAnsi="Times New Roman"/>
          <w:spacing w:val="-2"/>
          <w:sz w:val="16"/>
          <w:szCs w:val="16"/>
        </w:rPr>
        <w:t xml:space="preserve"> Genügt auch dies nicht, ist die Totalsperrung zulässig</w:t>
      </w:r>
      <w:r w:rsidR="00DF5259">
        <w:rPr>
          <w:rFonts w:ascii="Times New Roman" w:hAnsi="Times New Roman"/>
          <w:spacing w:val="-2"/>
          <w:sz w:val="16"/>
          <w:szCs w:val="16"/>
        </w:rPr>
        <w:t xml:space="preserve">: </w:t>
      </w:r>
      <w:r w:rsidRPr="00AE0832">
        <w:rPr>
          <w:rFonts w:ascii="Times New Roman" w:hAnsi="Times New Roman"/>
          <w:spacing w:val="-2"/>
          <w:sz w:val="16"/>
          <w:szCs w:val="16"/>
        </w:rPr>
        <w:t>Verzicht auf Vernehmung und Verlesung polizeilicher Vernehmungsprotokolle (§</w:t>
      </w:r>
      <w:r w:rsidR="00DF5259">
        <w:rPr>
          <w:rFonts w:ascii="Times New Roman" w:hAnsi="Times New Roman"/>
          <w:spacing w:val="-2"/>
          <w:sz w:val="16"/>
          <w:szCs w:val="16"/>
        </w:rPr>
        <w:t> </w:t>
      </w:r>
      <w:r w:rsidRPr="00AE0832">
        <w:rPr>
          <w:rFonts w:ascii="Times New Roman" w:hAnsi="Times New Roman"/>
          <w:spacing w:val="-2"/>
          <w:sz w:val="16"/>
          <w:szCs w:val="16"/>
        </w:rPr>
        <w:t>251</w:t>
      </w:r>
      <w:r w:rsidR="00DF5259">
        <w:rPr>
          <w:rFonts w:ascii="Times New Roman" w:hAnsi="Times New Roman"/>
          <w:spacing w:val="-2"/>
          <w:sz w:val="16"/>
          <w:szCs w:val="16"/>
        </w:rPr>
        <w:t> </w:t>
      </w:r>
      <w:r w:rsidRPr="00AE0832">
        <w:rPr>
          <w:rFonts w:ascii="Times New Roman" w:hAnsi="Times New Roman"/>
          <w:spacing w:val="-2"/>
          <w:sz w:val="16"/>
          <w:szCs w:val="16"/>
        </w:rPr>
        <w:t xml:space="preserve">I StPO) bzw. Abspielen von Videoaufzeichnungen früherer Vernehmungen, soweit durch den Rückgriff auf audiovisuelle Medien nicht die Preisgabe der Identität zu befürchten ist (§§ 58a I 2 Nr. 2, 168e S. 4, 255a StPO) bzw. Vernehmung der (zumeist polizeilichen) Vernehmungsbeamten als Zeugen vom Hörensagen. Grund: Liegt eine vollständige Sperrung vor, ist der Zeuge „unerreichbar“ </w:t>
      </w:r>
      <w:proofErr w:type="spellStart"/>
      <w:r w:rsidRPr="00AE0832">
        <w:rPr>
          <w:rFonts w:ascii="Times New Roman" w:hAnsi="Times New Roman"/>
          <w:spacing w:val="-2"/>
          <w:sz w:val="16"/>
          <w:szCs w:val="16"/>
        </w:rPr>
        <w:t>i.S.</w:t>
      </w:r>
      <w:r w:rsidR="00DF5259">
        <w:rPr>
          <w:rFonts w:ascii="Times New Roman" w:hAnsi="Times New Roman"/>
          <w:spacing w:val="-2"/>
          <w:sz w:val="16"/>
          <w:szCs w:val="16"/>
        </w:rPr>
        <w:t>d</w:t>
      </w:r>
      <w:proofErr w:type="spellEnd"/>
      <w:r w:rsidR="00DF5259">
        <w:rPr>
          <w:rFonts w:ascii="Times New Roman" w:hAnsi="Times New Roman"/>
          <w:spacing w:val="-2"/>
          <w:sz w:val="16"/>
          <w:szCs w:val="16"/>
        </w:rPr>
        <w:t>.</w:t>
      </w:r>
      <w:r w:rsidRPr="00AE0832">
        <w:rPr>
          <w:rFonts w:ascii="Times New Roman" w:hAnsi="Times New Roman"/>
          <w:spacing w:val="-2"/>
          <w:sz w:val="16"/>
          <w:szCs w:val="16"/>
        </w:rPr>
        <w:t xml:space="preserve"> § 244 III </w:t>
      </w:r>
      <w:r w:rsidR="00E95054">
        <w:rPr>
          <w:rFonts w:ascii="Times New Roman" w:hAnsi="Times New Roman"/>
          <w:spacing w:val="-2"/>
          <w:sz w:val="16"/>
          <w:szCs w:val="16"/>
        </w:rPr>
        <w:t>3 Nr. 5</w:t>
      </w:r>
      <w:r w:rsidRPr="00AE0832">
        <w:rPr>
          <w:rFonts w:ascii="Times New Roman" w:hAnsi="Times New Roman"/>
          <w:spacing w:val="-2"/>
          <w:sz w:val="16"/>
          <w:szCs w:val="16"/>
        </w:rPr>
        <w:t xml:space="preserve"> StPO, wenn das Gericht auch auf andere Weise die Identität nicht ermitteln kann. In diesem Fall können Beweissurrogate verwendet werden. Ein Beweiserhebungs- und Verwertungsverbot bzgl. dieser Beweissurrogate besteht nur dann, wenn die Sperrung willkürlich oder offensichtlich rechtsfehlerhaft war oder das Gericht sich nicht ausreichend bemüht hat, die Sperrentscheidung der Behörde aufzuheben oder zu lockern.</w:t>
      </w:r>
    </w:p>
    <w:p w14:paraId="38B038B2" w14:textId="3F945CA8" w:rsidR="003D538B" w:rsidRPr="00AE0832" w:rsidRDefault="003D538B" w:rsidP="00FB2AD1">
      <w:pPr>
        <w:widowControl/>
        <w:tabs>
          <w:tab w:val="left" w:pos="-720"/>
          <w:tab w:val="left" w:pos="284"/>
          <w:tab w:val="left" w:pos="567"/>
          <w:tab w:val="left" w:pos="1418"/>
          <w:tab w:val="left" w:pos="1692"/>
          <w:tab w:val="left" w:pos="1980"/>
          <w:tab w:val="left" w:pos="2268"/>
          <w:tab w:val="left" w:pos="2880"/>
        </w:tabs>
        <w:ind w:left="284" w:hanging="284"/>
        <w:jc w:val="both"/>
        <w:rPr>
          <w:rFonts w:ascii="Times New Roman" w:hAnsi="Times New Roman"/>
          <w:spacing w:val="-2"/>
          <w:sz w:val="16"/>
          <w:szCs w:val="16"/>
        </w:rPr>
      </w:pPr>
      <w:r w:rsidRPr="00AE0832">
        <w:rPr>
          <w:rFonts w:ascii="Times New Roman" w:hAnsi="Times New Roman"/>
          <w:b/>
          <w:spacing w:val="-2"/>
          <w:sz w:val="16"/>
          <w:szCs w:val="16"/>
        </w:rPr>
        <w:t xml:space="preserve">V. </w:t>
      </w:r>
      <w:r w:rsidRPr="00AE0832">
        <w:rPr>
          <w:rFonts w:ascii="Times New Roman" w:hAnsi="Times New Roman"/>
          <w:b/>
          <w:spacing w:val="-2"/>
          <w:sz w:val="16"/>
          <w:szCs w:val="16"/>
        </w:rPr>
        <w:tab/>
        <w:t>Verwertbarkeit von Erkenntnissen bei Verfahrensfehlern:</w:t>
      </w:r>
      <w:r w:rsidRPr="00AE0832">
        <w:rPr>
          <w:rFonts w:ascii="Times New Roman" w:hAnsi="Times New Roman"/>
          <w:spacing w:val="-2"/>
          <w:sz w:val="16"/>
          <w:szCs w:val="16"/>
        </w:rPr>
        <w:t xml:space="preserve"> Liegen die materiellen Voraussetzungen der §§ 110a ff. StPO nicht vor, so besteht ein Verwertungsverbot; bei bloß formellen Fehlern wohl nicht; </w:t>
      </w:r>
      <w:r w:rsidR="00DF5259">
        <w:rPr>
          <w:rFonts w:ascii="Times New Roman" w:hAnsi="Times New Roman"/>
          <w:spacing w:val="-2"/>
          <w:sz w:val="16"/>
          <w:szCs w:val="16"/>
        </w:rPr>
        <w:t>auch</w:t>
      </w:r>
      <w:r w:rsidR="00DF5259" w:rsidRPr="00AE0832">
        <w:rPr>
          <w:rFonts w:ascii="Times New Roman" w:hAnsi="Times New Roman"/>
          <w:spacing w:val="-2"/>
          <w:sz w:val="16"/>
          <w:szCs w:val="16"/>
        </w:rPr>
        <w:t xml:space="preserve"> </w:t>
      </w:r>
      <w:r w:rsidRPr="00AE0832">
        <w:rPr>
          <w:rFonts w:ascii="Times New Roman" w:hAnsi="Times New Roman"/>
          <w:spacing w:val="-2"/>
          <w:sz w:val="16"/>
          <w:szCs w:val="16"/>
        </w:rPr>
        <w:t xml:space="preserve">fraglich, wenn gegen sonstige Verfahrensvorschriften verstoßen wird, so etwa wenn der VE ein Vertrauensverhältnis zum Beschuldigten aufbaut und das danach erfolgende Geständnis heimlich aufgezeichnet wird; </w:t>
      </w:r>
      <w:r w:rsidR="0070556A">
        <w:rPr>
          <w:rFonts w:ascii="Times New Roman" w:hAnsi="Times New Roman"/>
          <w:spacing w:val="-2"/>
          <w:sz w:val="16"/>
          <w:szCs w:val="16"/>
        </w:rPr>
        <w:t>in</w:t>
      </w:r>
      <w:r w:rsidRPr="00AE0832">
        <w:rPr>
          <w:rFonts w:ascii="Times New Roman" w:hAnsi="Times New Roman"/>
          <w:spacing w:val="-2"/>
          <w:sz w:val="16"/>
          <w:szCs w:val="16"/>
        </w:rPr>
        <w:t xml:space="preserve"> </w:t>
      </w:r>
      <w:r w:rsidRPr="00AE0832">
        <w:rPr>
          <w:rFonts w:ascii="Times New Roman" w:hAnsi="Times New Roman"/>
          <w:b/>
          <w:spacing w:val="-2"/>
          <w:sz w:val="16"/>
          <w:szCs w:val="16"/>
        </w:rPr>
        <w:t>BGHSt 52, 11</w:t>
      </w:r>
      <w:r w:rsidRPr="00AE0832">
        <w:rPr>
          <w:rFonts w:ascii="Times New Roman" w:hAnsi="Times New Roman"/>
          <w:spacing w:val="-2"/>
          <w:sz w:val="16"/>
          <w:szCs w:val="16"/>
        </w:rPr>
        <w:t xml:space="preserve">, nahm </w:t>
      </w:r>
      <w:r w:rsidR="0070556A">
        <w:rPr>
          <w:rFonts w:ascii="Times New Roman" w:hAnsi="Times New Roman"/>
          <w:spacing w:val="-2"/>
          <w:sz w:val="16"/>
          <w:szCs w:val="16"/>
        </w:rPr>
        <w:t xml:space="preserve">der BGH </w:t>
      </w:r>
      <w:r w:rsidRPr="00AE0832">
        <w:rPr>
          <w:rFonts w:ascii="Times New Roman" w:hAnsi="Times New Roman"/>
          <w:spacing w:val="-2"/>
          <w:sz w:val="16"/>
          <w:szCs w:val="16"/>
        </w:rPr>
        <w:t xml:space="preserve">hier einen Verstoß gegen den </w:t>
      </w:r>
      <w:r w:rsidR="006A0CD0">
        <w:rPr>
          <w:rFonts w:ascii="Times New Roman" w:hAnsi="Times New Roman"/>
          <w:spacing w:val="-2"/>
          <w:sz w:val="16"/>
          <w:szCs w:val="16"/>
        </w:rPr>
        <w:t>N</w:t>
      </w:r>
      <w:r w:rsidRPr="00AE0832">
        <w:rPr>
          <w:rFonts w:ascii="Times New Roman" w:hAnsi="Times New Roman"/>
          <w:spacing w:val="-2"/>
          <w:sz w:val="16"/>
          <w:szCs w:val="16"/>
        </w:rPr>
        <w:t xml:space="preserve">emo-tenetur-Grundsatz an – nach </w:t>
      </w:r>
      <w:proofErr w:type="spellStart"/>
      <w:r w:rsidRPr="00AE0832">
        <w:rPr>
          <w:rFonts w:ascii="Times New Roman" w:hAnsi="Times New Roman"/>
          <w:spacing w:val="-2"/>
          <w:sz w:val="16"/>
          <w:szCs w:val="16"/>
        </w:rPr>
        <w:t>a.A</w:t>
      </w:r>
      <w:proofErr w:type="spellEnd"/>
      <w:r w:rsidRPr="00AE0832">
        <w:rPr>
          <w:rFonts w:ascii="Times New Roman" w:hAnsi="Times New Roman"/>
          <w:spacing w:val="-2"/>
          <w:sz w:val="16"/>
          <w:szCs w:val="16"/>
        </w:rPr>
        <w:t>. § 136 StPO analog.</w:t>
      </w:r>
    </w:p>
    <w:p w14:paraId="5B7BD9DB" w14:textId="0B3BA07F" w:rsidR="003D538B" w:rsidRPr="00AE0832" w:rsidRDefault="003D538B" w:rsidP="00FB2AD1">
      <w:pPr>
        <w:widowControl/>
        <w:tabs>
          <w:tab w:val="left" w:pos="-720"/>
          <w:tab w:val="left" w:pos="284"/>
          <w:tab w:val="left" w:pos="567"/>
          <w:tab w:val="left" w:pos="1418"/>
          <w:tab w:val="left" w:pos="1692"/>
          <w:tab w:val="left" w:pos="1980"/>
          <w:tab w:val="left" w:pos="2268"/>
          <w:tab w:val="left" w:pos="2880"/>
        </w:tabs>
        <w:ind w:left="284" w:hanging="284"/>
        <w:jc w:val="both"/>
        <w:rPr>
          <w:rFonts w:ascii="Times New Roman" w:hAnsi="Times New Roman"/>
          <w:spacing w:val="-2"/>
          <w:sz w:val="16"/>
          <w:szCs w:val="16"/>
        </w:rPr>
      </w:pPr>
      <w:r w:rsidRPr="00AE0832">
        <w:rPr>
          <w:rFonts w:ascii="Times New Roman" w:hAnsi="Times New Roman"/>
          <w:b/>
          <w:spacing w:val="-2"/>
          <w:sz w:val="16"/>
          <w:szCs w:val="16"/>
        </w:rPr>
        <w:t xml:space="preserve">VI. </w:t>
      </w:r>
      <w:r w:rsidRPr="00AE0832">
        <w:rPr>
          <w:rFonts w:ascii="Times New Roman" w:hAnsi="Times New Roman"/>
          <w:b/>
          <w:spacing w:val="-2"/>
          <w:sz w:val="16"/>
          <w:szCs w:val="16"/>
        </w:rPr>
        <w:tab/>
        <w:t>Zufallsfunde:</w:t>
      </w:r>
      <w:r w:rsidRPr="00AE0832">
        <w:rPr>
          <w:rFonts w:ascii="Times New Roman" w:hAnsi="Times New Roman"/>
          <w:spacing w:val="-2"/>
          <w:sz w:val="16"/>
          <w:szCs w:val="16"/>
        </w:rPr>
        <w:t xml:space="preserve"> </w:t>
      </w:r>
      <w:r w:rsidR="00E95054" w:rsidRPr="00E95054">
        <w:rPr>
          <w:rFonts w:ascii="Times New Roman" w:hAnsi="Times New Roman"/>
          <w:spacing w:val="-2"/>
          <w:sz w:val="16"/>
          <w:szCs w:val="16"/>
        </w:rPr>
        <w:t xml:space="preserve">Für Zufallsfunde gelten </w:t>
      </w:r>
      <w:r w:rsidR="00E95054" w:rsidRPr="00E95054">
        <w:rPr>
          <w:rFonts w:ascii="Times New Roman" w:hAnsi="Times New Roman"/>
          <w:b/>
          <w:spacing w:val="-2"/>
          <w:sz w:val="16"/>
          <w:szCs w:val="16"/>
        </w:rPr>
        <w:t xml:space="preserve">§§ 161 </w:t>
      </w:r>
      <w:r w:rsidR="00E95054">
        <w:rPr>
          <w:rFonts w:ascii="Times New Roman" w:hAnsi="Times New Roman"/>
          <w:b/>
          <w:spacing w:val="-2"/>
          <w:sz w:val="16"/>
          <w:szCs w:val="16"/>
        </w:rPr>
        <w:t>III</w:t>
      </w:r>
      <w:r w:rsidR="00E95054" w:rsidRPr="00E95054">
        <w:rPr>
          <w:rFonts w:ascii="Times New Roman" w:hAnsi="Times New Roman"/>
          <w:b/>
          <w:spacing w:val="-2"/>
          <w:sz w:val="16"/>
          <w:szCs w:val="16"/>
        </w:rPr>
        <w:t xml:space="preserve">, 479 </w:t>
      </w:r>
      <w:r w:rsidR="00E95054">
        <w:rPr>
          <w:rFonts w:ascii="Times New Roman" w:hAnsi="Times New Roman"/>
          <w:b/>
          <w:spacing w:val="-2"/>
          <w:sz w:val="16"/>
          <w:szCs w:val="16"/>
        </w:rPr>
        <w:t xml:space="preserve">II 1 </w:t>
      </w:r>
      <w:r w:rsidR="00E95054" w:rsidRPr="00E95054">
        <w:rPr>
          <w:rFonts w:ascii="Times New Roman" w:hAnsi="Times New Roman"/>
          <w:b/>
          <w:spacing w:val="-2"/>
          <w:sz w:val="16"/>
          <w:szCs w:val="16"/>
        </w:rPr>
        <w:t>StPO</w:t>
      </w:r>
      <w:r w:rsidRPr="00AE0832">
        <w:rPr>
          <w:rFonts w:ascii="Times New Roman" w:hAnsi="Times New Roman"/>
          <w:spacing w:val="-2"/>
          <w:sz w:val="16"/>
          <w:szCs w:val="16"/>
        </w:rPr>
        <w:t>.</w:t>
      </w:r>
      <w:r w:rsidR="00166B7A">
        <w:rPr>
          <w:rFonts w:ascii="Times New Roman" w:hAnsi="Times New Roman"/>
          <w:spacing w:val="-2"/>
          <w:sz w:val="16"/>
          <w:szCs w:val="16"/>
        </w:rPr>
        <w:t xml:space="preserve"> </w:t>
      </w:r>
      <w:r w:rsidR="00166B7A" w:rsidRPr="009B03D3">
        <w:rPr>
          <w:rFonts w:ascii="Times New Roman" w:hAnsi="Times New Roman"/>
          <w:spacing w:val="-2"/>
          <w:sz w:val="16"/>
          <w:szCs w:val="16"/>
        </w:rPr>
        <w:t>Auch hier stellt sich das Problem, ob nur die Katalogtat oder auch die sonstigen Anordnungsvoraussetzungen hypothetisch für das anhängige Verfahren zu prüfen sind</w:t>
      </w:r>
      <w:r w:rsidR="009B03D3">
        <w:rPr>
          <w:rFonts w:ascii="Times New Roman" w:hAnsi="Times New Roman"/>
          <w:spacing w:val="-2"/>
          <w:sz w:val="16"/>
          <w:szCs w:val="16"/>
        </w:rPr>
        <w:t xml:space="preserve"> (vgl. Arbeitsblatt Nr. 18)</w:t>
      </w:r>
      <w:r w:rsidR="00166B7A">
        <w:rPr>
          <w:rFonts w:ascii="Times New Roman" w:hAnsi="Times New Roman"/>
          <w:spacing w:val="-2"/>
          <w:sz w:val="16"/>
          <w:szCs w:val="16"/>
        </w:rPr>
        <w:t>.</w:t>
      </w:r>
    </w:p>
    <w:p w14:paraId="3961948E" w14:textId="77777777" w:rsidR="003D538B" w:rsidRPr="006158CB" w:rsidRDefault="003D538B" w:rsidP="006158CB">
      <w:pPr>
        <w:widowControl/>
        <w:tabs>
          <w:tab w:val="left" w:pos="-720"/>
          <w:tab w:val="left" w:pos="0"/>
          <w:tab w:val="left" w:pos="567"/>
          <w:tab w:val="left" w:pos="1134"/>
          <w:tab w:val="left" w:pos="1692"/>
          <w:tab w:val="left" w:pos="1980"/>
          <w:tab w:val="left" w:pos="2268"/>
          <w:tab w:val="left" w:pos="2880"/>
        </w:tabs>
        <w:spacing w:line="130" w:lineRule="exact"/>
        <w:ind w:left="1418" w:hanging="1135"/>
        <w:jc w:val="both"/>
        <w:rPr>
          <w:rFonts w:ascii="Times New Roman" w:hAnsi="Times New Roman"/>
          <w:spacing w:val="-2"/>
          <w:sz w:val="13"/>
          <w:szCs w:val="13"/>
        </w:rPr>
      </w:pPr>
    </w:p>
    <w:p w14:paraId="6F8CD7EF" w14:textId="6C71B146" w:rsidR="003D538B" w:rsidRPr="00FB2AD1" w:rsidRDefault="003D538B" w:rsidP="00FB2AD1">
      <w:pPr>
        <w:widowControl/>
        <w:tabs>
          <w:tab w:val="left" w:pos="-720"/>
          <w:tab w:val="left" w:pos="0"/>
          <w:tab w:val="left" w:pos="288"/>
          <w:tab w:val="left" w:pos="576"/>
          <w:tab w:val="left" w:pos="864"/>
          <w:tab w:val="left" w:pos="1116"/>
          <w:tab w:val="left" w:pos="1404"/>
          <w:tab w:val="left" w:pos="1692"/>
          <w:tab w:val="left" w:pos="1980"/>
          <w:tab w:val="left" w:pos="2268"/>
          <w:tab w:val="left" w:pos="2880"/>
        </w:tabs>
        <w:ind w:left="1980" w:hanging="1980"/>
        <w:jc w:val="both"/>
        <w:rPr>
          <w:rFonts w:ascii="Times New Roman" w:hAnsi="Times New Roman"/>
          <w:spacing w:val="-2"/>
          <w:sz w:val="13"/>
          <w:szCs w:val="13"/>
        </w:rPr>
      </w:pPr>
      <w:r w:rsidRPr="00FB2AD1">
        <w:rPr>
          <w:rFonts w:ascii="Times New Roman" w:hAnsi="Times New Roman"/>
          <w:b/>
          <w:spacing w:val="-2"/>
          <w:sz w:val="13"/>
          <w:szCs w:val="13"/>
        </w:rPr>
        <w:t xml:space="preserve">Literatur/Lehrbücher: </w:t>
      </w:r>
      <w:r w:rsidRPr="00FB2AD1">
        <w:rPr>
          <w:rFonts w:ascii="Times New Roman" w:hAnsi="Times New Roman"/>
          <w:b/>
          <w:spacing w:val="-2"/>
          <w:sz w:val="13"/>
          <w:szCs w:val="13"/>
        </w:rPr>
        <w:tab/>
      </w:r>
      <w:r w:rsidR="00AF3E0B" w:rsidRPr="00FB2AD1">
        <w:rPr>
          <w:rFonts w:ascii="Times New Roman" w:hAnsi="Times New Roman"/>
          <w:i/>
          <w:spacing w:val="-2"/>
          <w:sz w:val="13"/>
          <w:szCs w:val="13"/>
        </w:rPr>
        <w:t>Heinrich/Reinbacher</w:t>
      </w:r>
      <w:r w:rsidR="00AF3E0B" w:rsidRPr="00FB2AD1">
        <w:rPr>
          <w:rFonts w:ascii="Times New Roman" w:hAnsi="Times New Roman"/>
          <w:spacing w:val="-2"/>
          <w:sz w:val="13"/>
          <w:szCs w:val="13"/>
        </w:rPr>
        <w:t>, Examinatorium Strafprozessrecht,</w:t>
      </w:r>
      <w:r w:rsidR="00C80492" w:rsidRPr="00FB2AD1">
        <w:rPr>
          <w:rFonts w:ascii="Times New Roman" w:hAnsi="Times New Roman"/>
          <w:spacing w:val="-2"/>
          <w:sz w:val="13"/>
          <w:szCs w:val="13"/>
        </w:rPr>
        <w:t xml:space="preserve"> </w:t>
      </w:r>
      <w:r w:rsidR="001A1571" w:rsidRPr="00FB2AD1">
        <w:rPr>
          <w:rFonts w:ascii="Times New Roman" w:hAnsi="Times New Roman"/>
          <w:spacing w:val="-2"/>
          <w:sz w:val="13"/>
          <w:szCs w:val="13"/>
        </w:rPr>
        <w:t>4</w:t>
      </w:r>
      <w:r w:rsidR="00C80492" w:rsidRPr="00FB2AD1">
        <w:rPr>
          <w:rFonts w:ascii="Times New Roman" w:hAnsi="Times New Roman"/>
          <w:spacing w:val="-2"/>
          <w:sz w:val="13"/>
          <w:szCs w:val="13"/>
        </w:rPr>
        <w:t xml:space="preserve">. Auflage </w:t>
      </w:r>
      <w:r w:rsidR="00E95054" w:rsidRPr="00FB2AD1">
        <w:rPr>
          <w:rFonts w:ascii="Times New Roman" w:hAnsi="Times New Roman"/>
          <w:spacing w:val="-2"/>
          <w:sz w:val="13"/>
          <w:szCs w:val="13"/>
        </w:rPr>
        <w:t>202</w:t>
      </w:r>
      <w:r w:rsidR="001A1571" w:rsidRPr="00FB2AD1">
        <w:rPr>
          <w:rFonts w:ascii="Times New Roman" w:hAnsi="Times New Roman"/>
          <w:spacing w:val="-2"/>
          <w:sz w:val="13"/>
          <w:szCs w:val="13"/>
        </w:rPr>
        <w:t>3</w:t>
      </w:r>
      <w:r w:rsidR="00C80492" w:rsidRPr="00FB2AD1">
        <w:rPr>
          <w:rFonts w:ascii="Times New Roman" w:hAnsi="Times New Roman"/>
          <w:spacing w:val="-2"/>
          <w:sz w:val="13"/>
          <w:szCs w:val="13"/>
        </w:rPr>
        <w:t>,</w:t>
      </w:r>
      <w:r w:rsidR="00AF3E0B" w:rsidRPr="00FB2AD1">
        <w:rPr>
          <w:rFonts w:ascii="Times New Roman" w:hAnsi="Times New Roman"/>
          <w:spacing w:val="-2"/>
          <w:sz w:val="13"/>
          <w:szCs w:val="13"/>
        </w:rPr>
        <w:t xml:space="preserve"> Problem</w:t>
      </w:r>
      <w:r w:rsidR="00DF5259" w:rsidRPr="00FB2AD1">
        <w:rPr>
          <w:rFonts w:ascii="Times New Roman" w:hAnsi="Times New Roman"/>
          <w:spacing w:val="-2"/>
          <w:sz w:val="13"/>
          <w:szCs w:val="13"/>
        </w:rPr>
        <w:t> </w:t>
      </w:r>
      <w:r w:rsidR="00AF3E0B" w:rsidRPr="00FB2AD1">
        <w:rPr>
          <w:rFonts w:ascii="Times New Roman" w:hAnsi="Times New Roman"/>
          <w:spacing w:val="-2"/>
          <w:sz w:val="13"/>
          <w:szCs w:val="13"/>
        </w:rPr>
        <w:t>21.</w:t>
      </w:r>
    </w:p>
    <w:p w14:paraId="0944EF8D" w14:textId="195B827B" w:rsidR="003D538B" w:rsidRPr="00FB2AD1" w:rsidRDefault="003D538B" w:rsidP="00FB2AD1">
      <w:pPr>
        <w:widowControl/>
        <w:tabs>
          <w:tab w:val="left" w:pos="-720"/>
          <w:tab w:val="left" w:pos="0"/>
          <w:tab w:val="left" w:pos="288"/>
          <w:tab w:val="left" w:pos="576"/>
          <w:tab w:val="left" w:pos="864"/>
          <w:tab w:val="left" w:pos="1116"/>
          <w:tab w:val="left" w:pos="1404"/>
          <w:tab w:val="left" w:pos="2268"/>
          <w:tab w:val="left" w:pos="2880"/>
        </w:tabs>
        <w:ind w:left="1418" w:hanging="1418"/>
        <w:jc w:val="both"/>
        <w:rPr>
          <w:rFonts w:ascii="Times New Roman" w:hAnsi="Times New Roman"/>
          <w:spacing w:val="-2"/>
          <w:sz w:val="13"/>
          <w:szCs w:val="13"/>
        </w:rPr>
      </w:pPr>
      <w:r w:rsidRPr="00FB2AD1">
        <w:rPr>
          <w:rFonts w:ascii="Times New Roman" w:hAnsi="Times New Roman"/>
          <w:b/>
          <w:spacing w:val="-2"/>
          <w:sz w:val="13"/>
          <w:szCs w:val="13"/>
        </w:rPr>
        <w:t>Literatur/Aufsätze:</w:t>
      </w:r>
      <w:r w:rsidRPr="00FB2AD1">
        <w:rPr>
          <w:rFonts w:ascii="Times New Roman" w:hAnsi="Times New Roman"/>
          <w:b/>
          <w:spacing w:val="-2"/>
          <w:sz w:val="13"/>
          <w:szCs w:val="13"/>
        </w:rPr>
        <w:tab/>
      </w:r>
      <w:r w:rsidR="009662EC">
        <w:rPr>
          <w:rFonts w:ascii="Times New Roman" w:hAnsi="Times New Roman"/>
          <w:b/>
          <w:spacing w:val="-2"/>
          <w:sz w:val="13"/>
          <w:szCs w:val="13"/>
        </w:rPr>
        <w:tab/>
      </w:r>
      <w:proofErr w:type="spellStart"/>
      <w:r w:rsidR="00AE0832" w:rsidRPr="00FB2AD1">
        <w:rPr>
          <w:rFonts w:ascii="Times New Roman" w:hAnsi="Times New Roman"/>
          <w:i/>
          <w:spacing w:val="-2"/>
          <w:sz w:val="13"/>
          <w:szCs w:val="13"/>
        </w:rPr>
        <w:t>Barczak</w:t>
      </w:r>
      <w:proofErr w:type="spellEnd"/>
      <w:r w:rsidR="00AE0832" w:rsidRPr="00FB2AD1">
        <w:rPr>
          <w:rFonts w:ascii="Times New Roman" w:hAnsi="Times New Roman"/>
          <w:spacing w:val="-2"/>
          <w:sz w:val="13"/>
          <w:szCs w:val="13"/>
        </w:rPr>
        <w:t xml:space="preserve">, Der verdeckte Einsatz ausländischer Polizisten in Deutschland – Rechtsrahmen, Rechtsprobleme und Reformbedarf, StV 2012, 182; </w:t>
      </w:r>
      <w:r w:rsidR="000146B2" w:rsidRPr="00FB2AD1">
        <w:rPr>
          <w:rFonts w:ascii="Times New Roman" w:hAnsi="Times New Roman"/>
          <w:i/>
          <w:spacing w:val="-2"/>
          <w:sz w:val="13"/>
          <w:szCs w:val="13"/>
        </w:rPr>
        <w:t>Kirkpatrick</w:t>
      </w:r>
      <w:r w:rsidR="000146B2" w:rsidRPr="00FB2AD1">
        <w:rPr>
          <w:rFonts w:ascii="Times New Roman" w:hAnsi="Times New Roman"/>
          <w:spacing w:val="-2"/>
          <w:sz w:val="13"/>
          <w:szCs w:val="13"/>
        </w:rPr>
        <w:t>, Der Einsatz von Verdeckten Ermittlern in Wirtschaftsstrafverfahren, NStZ 2019, 177;</w:t>
      </w:r>
      <w:r w:rsidRPr="00FB2AD1">
        <w:rPr>
          <w:rFonts w:ascii="Times New Roman" w:hAnsi="Times New Roman"/>
          <w:i/>
          <w:spacing w:val="-2"/>
          <w:sz w:val="13"/>
          <w:szCs w:val="13"/>
        </w:rPr>
        <w:t xml:space="preserve"> Lesch</w:t>
      </w:r>
      <w:r w:rsidRPr="00FB2AD1">
        <w:rPr>
          <w:rFonts w:ascii="Times New Roman" w:hAnsi="Times New Roman"/>
          <w:spacing w:val="-2"/>
          <w:sz w:val="13"/>
          <w:szCs w:val="13"/>
        </w:rPr>
        <w:t xml:space="preserve">, Zu den Rechtsgrundlagen des V-Mann-Einsatzes und der Observation im Strafverfahren, JA 2000, 390; </w:t>
      </w:r>
      <w:r w:rsidRPr="00FB2AD1">
        <w:rPr>
          <w:rFonts w:ascii="Times New Roman" w:hAnsi="Times New Roman"/>
          <w:i/>
          <w:spacing w:val="-2"/>
          <w:sz w:val="13"/>
          <w:szCs w:val="13"/>
        </w:rPr>
        <w:t>Nitz</w:t>
      </w:r>
      <w:r w:rsidRPr="00FB2AD1">
        <w:rPr>
          <w:rFonts w:ascii="Times New Roman" w:hAnsi="Times New Roman"/>
          <w:spacing w:val="-2"/>
          <w:sz w:val="13"/>
          <w:szCs w:val="13"/>
        </w:rPr>
        <w:t>, Verdeckte Ermittlung als polizeitaktische Maßnahme bei der Strafverfolgung, JA</w:t>
      </w:r>
      <w:r w:rsidR="008F4793" w:rsidRPr="00FB2AD1">
        <w:rPr>
          <w:rFonts w:ascii="Times New Roman" w:hAnsi="Times New Roman"/>
          <w:spacing w:val="-2"/>
          <w:sz w:val="13"/>
          <w:szCs w:val="13"/>
        </w:rPr>
        <w:t> </w:t>
      </w:r>
      <w:r w:rsidRPr="00FB2AD1">
        <w:rPr>
          <w:rFonts w:ascii="Times New Roman" w:hAnsi="Times New Roman"/>
          <w:spacing w:val="-2"/>
          <w:sz w:val="13"/>
          <w:szCs w:val="13"/>
        </w:rPr>
        <w:t>1999, 418;</w:t>
      </w:r>
      <w:r w:rsidR="00AE0832" w:rsidRPr="00FB2AD1">
        <w:rPr>
          <w:rFonts w:ascii="Times New Roman" w:hAnsi="Times New Roman"/>
          <w:spacing w:val="-2"/>
          <w:sz w:val="13"/>
          <w:szCs w:val="13"/>
        </w:rPr>
        <w:t xml:space="preserve"> </w:t>
      </w:r>
      <w:proofErr w:type="spellStart"/>
      <w:r w:rsidR="00AE0832" w:rsidRPr="00FB2AD1">
        <w:rPr>
          <w:rFonts w:ascii="Times New Roman" w:hAnsi="Times New Roman"/>
          <w:i/>
          <w:spacing w:val="-2"/>
          <w:sz w:val="13"/>
          <w:szCs w:val="13"/>
        </w:rPr>
        <w:t>Nowrousian</w:t>
      </w:r>
      <w:proofErr w:type="spellEnd"/>
      <w:r w:rsidR="00AE0832" w:rsidRPr="00FB2AD1">
        <w:rPr>
          <w:rFonts w:ascii="Times New Roman" w:hAnsi="Times New Roman"/>
          <w:spacing w:val="-2"/>
          <w:sz w:val="13"/>
          <w:szCs w:val="13"/>
        </w:rPr>
        <w:t xml:space="preserve">, Darf der Beschuldigte im Ermittlungsverfahren getäuscht werden? – Zur grundsätzlichen Zulässigkeit aktiver Täuschung im Ermittlungsverfahren, NStZ 2015, 625; </w:t>
      </w:r>
      <w:r w:rsidR="0000675C" w:rsidRPr="00FB2AD1">
        <w:rPr>
          <w:rFonts w:ascii="Times New Roman" w:hAnsi="Times New Roman"/>
          <w:i/>
          <w:iCs/>
          <w:spacing w:val="-2"/>
          <w:sz w:val="13"/>
          <w:szCs w:val="13"/>
        </w:rPr>
        <w:t>Opper</w:t>
      </w:r>
      <w:r w:rsidR="0000675C" w:rsidRPr="00FB2AD1">
        <w:rPr>
          <w:rFonts w:ascii="Times New Roman" w:hAnsi="Times New Roman"/>
          <w:spacing w:val="-2"/>
          <w:sz w:val="13"/>
          <w:szCs w:val="13"/>
        </w:rPr>
        <w:t xml:space="preserve">, Gesetz zur Regelung des Einsatzes von V-Personen, NJW-Spezial 2024, 184; </w:t>
      </w:r>
      <w:r w:rsidRPr="00FB2AD1">
        <w:rPr>
          <w:rFonts w:ascii="Times New Roman" w:hAnsi="Times New Roman"/>
          <w:i/>
          <w:spacing w:val="-2"/>
          <w:sz w:val="13"/>
          <w:szCs w:val="13"/>
        </w:rPr>
        <w:t>Quentin</w:t>
      </w:r>
      <w:r w:rsidRPr="00FB2AD1">
        <w:rPr>
          <w:rFonts w:ascii="Times New Roman" w:hAnsi="Times New Roman"/>
          <w:spacing w:val="-2"/>
          <w:sz w:val="13"/>
          <w:szCs w:val="13"/>
        </w:rPr>
        <w:t xml:space="preserve">, Der verdeckte Ermittler i.S. der §§ 110a ff. StPO, </w:t>
      </w:r>
      <w:proofErr w:type="spellStart"/>
      <w:r w:rsidRPr="00FB2AD1">
        <w:rPr>
          <w:rFonts w:ascii="Times New Roman" w:hAnsi="Times New Roman"/>
          <w:spacing w:val="-2"/>
          <w:sz w:val="13"/>
          <w:szCs w:val="13"/>
        </w:rPr>
        <w:t>JuS</w:t>
      </w:r>
      <w:proofErr w:type="spellEnd"/>
      <w:r w:rsidRPr="00FB2AD1">
        <w:rPr>
          <w:rFonts w:ascii="Times New Roman" w:hAnsi="Times New Roman"/>
          <w:spacing w:val="-2"/>
          <w:sz w:val="13"/>
          <w:szCs w:val="13"/>
        </w:rPr>
        <w:t xml:space="preserve"> 1999, 134; </w:t>
      </w:r>
      <w:proofErr w:type="spellStart"/>
      <w:r w:rsidR="008058A1" w:rsidRPr="00FB2AD1">
        <w:rPr>
          <w:rFonts w:ascii="Times New Roman" w:hAnsi="Times New Roman"/>
          <w:i/>
          <w:spacing w:val="-2"/>
          <w:sz w:val="13"/>
          <w:szCs w:val="13"/>
        </w:rPr>
        <w:t>Safferling</w:t>
      </w:r>
      <w:proofErr w:type="spellEnd"/>
      <w:r w:rsidR="008058A1" w:rsidRPr="00FB2AD1">
        <w:rPr>
          <w:rFonts w:ascii="Times New Roman" w:hAnsi="Times New Roman"/>
          <w:spacing w:val="-2"/>
          <w:sz w:val="13"/>
          <w:szCs w:val="13"/>
        </w:rPr>
        <w:t xml:space="preserve">, Verdeckte Ermittler im Strafverfahren – deutsche und europäische Rechtsprechung im Konflikt?, NStZ 2006, 75; </w:t>
      </w:r>
      <w:proofErr w:type="spellStart"/>
      <w:r w:rsidR="003E5619" w:rsidRPr="00FB2AD1">
        <w:rPr>
          <w:rFonts w:ascii="Times New Roman" w:hAnsi="Times New Roman"/>
          <w:i/>
          <w:spacing w:val="-2"/>
          <w:sz w:val="13"/>
          <w:szCs w:val="13"/>
        </w:rPr>
        <w:t>Soiné</w:t>
      </w:r>
      <w:proofErr w:type="spellEnd"/>
      <w:r w:rsidR="003E5619" w:rsidRPr="00FB2AD1">
        <w:rPr>
          <w:rFonts w:ascii="Times New Roman" w:hAnsi="Times New Roman"/>
          <w:spacing w:val="-2"/>
          <w:sz w:val="13"/>
          <w:szCs w:val="13"/>
        </w:rPr>
        <w:t>, Personale verdeckte Ermittlungen in sozialen Netzwerken zur Strafverfolgung, NStZ 2014, 248</w:t>
      </w:r>
      <w:r w:rsidR="000146B2" w:rsidRPr="00FB2AD1">
        <w:rPr>
          <w:rFonts w:ascii="Times New Roman" w:hAnsi="Times New Roman"/>
          <w:spacing w:val="-2"/>
          <w:sz w:val="13"/>
          <w:szCs w:val="13"/>
        </w:rPr>
        <w:t xml:space="preserve">; </w:t>
      </w:r>
      <w:r w:rsidR="0000675C" w:rsidRPr="00FB2AD1">
        <w:rPr>
          <w:rFonts w:ascii="Times New Roman" w:hAnsi="Times New Roman"/>
          <w:i/>
          <w:spacing w:val="-2"/>
          <w:sz w:val="13"/>
          <w:szCs w:val="13"/>
        </w:rPr>
        <w:t>Vitt</w:t>
      </w:r>
      <w:r w:rsidR="0000675C" w:rsidRPr="00FB2AD1">
        <w:rPr>
          <w:rFonts w:ascii="Times New Roman" w:hAnsi="Times New Roman"/>
          <w:spacing w:val="-2"/>
          <w:sz w:val="13"/>
          <w:szCs w:val="13"/>
        </w:rPr>
        <w:t xml:space="preserve">, Das Erfordernis weiteren Einsatzes einer V-Person als Grund für eine Sperrerklärung analog § 96 StPO, JURA 1994, 17; </w:t>
      </w:r>
      <w:r w:rsidR="0000675C" w:rsidRPr="00FB2AD1">
        <w:rPr>
          <w:rFonts w:ascii="Times New Roman" w:hAnsi="Times New Roman"/>
          <w:i/>
          <w:iCs/>
          <w:spacing w:val="-2"/>
          <w:sz w:val="13"/>
          <w:szCs w:val="13"/>
        </w:rPr>
        <w:t>Walter</w:t>
      </w:r>
      <w:r w:rsidR="0000675C" w:rsidRPr="00FB2AD1">
        <w:rPr>
          <w:rFonts w:ascii="Times New Roman" w:hAnsi="Times New Roman"/>
          <w:spacing w:val="-2"/>
          <w:sz w:val="13"/>
          <w:szCs w:val="13"/>
        </w:rPr>
        <w:t xml:space="preserve">, Staatliche Lockspitzel zwischen Strafprozess- und Polizeirecht, NJW 2024, 998; </w:t>
      </w:r>
      <w:proofErr w:type="spellStart"/>
      <w:r w:rsidR="000146B2" w:rsidRPr="00FB2AD1">
        <w:rPr>
          <w:rFonts w:ascii="Times New Roman" w:hAnsi="Times New Roman"/>
          <w:i/>
          <w:spacing w:val="-2"/>
          <w:sz w:val="13"/>
          <w:szCs w:val="13"/>
        </w:rPr>
        <w:t>Weisser</w:t>
      </w:r>
      <w:proofErr w:type="spellEnd"/>
      <w:r w:rsidR="000146B2" w:rsidRPr="00FB2AD1">
        <w:rPr>
          <w:rFonts w:ascii="Times New Roman" w:hAnsi="Times New Roman"/>
          <w:spacing w:val="-2"/>
          <w:sz w:val="13"/>
          <w:szCs w:val="13"/>
        </w:rPr>
        <w:t>, Zum Betretungsrecht von Wohnungen bzw. Hotelzimmern durch einen nicht offen ermittelnden Polizeibeamten (</w:t>
      </w:r>
      <w:proofErr w:type="spellStart"/>
      <w:r w:rsidR="000146B2" w:rsidRPr="00FB2AD1">
        <w:rPr>
          <w:rFonts w:ascii="Times New Roman" w:hAnsi="Times New Roman"/>
          <w:spacing w:val="-2"/>
          <w:sz w:val="13"/>
          <w:szCs w:val="13"/>
        </w:rPr>
        <w:t>noeP</w:t>
      </w:r>
      <w:proofErr w:type="spellEnd"/>
      <w:r w:rsidR="000146B2" w:rsidRPr="00FB2AD1">
        <w:rPr>
          <w:rFonts w:ascii="Times New Roman" w:hAnsi="Times New Roman"/>
          <w:spacing w:val="-2"/>
          <w:sz w:val="13"/>
          <w:szCs w:val="13"/>
        </w:rPr>
        <w:t xml:space="preserve">), </w:t>
      </w:r>
      <w:proofErr w:type="spellStart"/>
      <w:r w:rsidR="000146B2" w:rsidRPr="00FB2AD1">
        <w:rPr>
          <w:rFonts w:ascii="Times New Roman" w:hAnsi="Times New Roman"/>
          <w:spacing w:val="-2"/>
          <w:sz w:val="13"/>
          <w:szCs w:val="13"/>
        </w:rPr>
        <w:t>NZWiSt</w:t>
      </w:r>
      <w:proofErr w:type="spellEnd"/>
      <w:r w:rsidR="000146B2" w:rsidRPr="00FB2AD1">
        <w:rPr>
          <w:rFonts w:ascii="Times New Roman" w:hAnsi="Times New Roman"/>
          <w:spacing w:val="-2"/>
          <w:sz w:val="13"/>
          <w:szCs w:val="13"/>
        </w:rPr>
        <w:t xml:space="preserve"> 2018, 59</w:t>
      </w:r>
      <w:r w:rsidR="00DF5259" w:rsidRPr="00FB2AD1">
        <w:rPr>
          <w:rFonts w:ascii="Times New Roman" w:hAnsi="Times New Roman"/>
          <w:spacing w:val="-2"/>
          <w:sz w:val="13"/>
          <w:szCs w:val="13"/>
        </w:rPr>
        <w:t xml:space="preserve">; </w:t>
      </w:r>
      <w:r w:rsidR="00DF5259" w:rsidRPr="00FB2AD1">
        <w:rPr>
          <w:rFonts w:ascii="Times New Roman" w:hAnsi="Times New Roman"/>
          <w:i/>
          <w:iCs/>
          <w:spacing w:val="-2"/>
          <w:sz w:val="13"/>
          <w:szCs w:val="13"/>
        </w:rPr>
        <w:t>Zöller</w:t>
      </w:r>
      <w:r w:rsidR="00DF5259" w:rsidRPr="00FB2AD1">
        <w:rPr>
          <w:rFonts w:ascii="Times New Roman" w:hAnsi="Times New Roman"/>
          <w:spacing w:val="-2"/>
          <w:sz w:val="13"/>
          <w:szCs w:val="13"/>
        </w:rPr>
        <w:t>, Gesetzliche Regelung für V-Personen im Strafverfahren ZRP 2024, 79.</w:t>
      </w:r>
    </w:p>
    <w:p w14:paraId="34A6B44A" w14:textId="0F33BF8A" w:rsidR="003D538B" w:rsidRPr="00FB2AD1" w:rsidRDefault="003D538B" w:rsidP="00FB2AD1">
      <w:pPr>
        <w:widowControl/>
        <w:tabs>
          <w:tab w:val="left" w:pos="-720"/>
          <w:tab w:val="left" w:pos="0"/>
          <w:tab w:val="left" w:pos="288"/>
          <w:tab w:val="left" w:pos="576"/>
          <w:tab w:val="left" w:pos="864"/>
          <w:tab w:val="left" w:pos="1116"/>
          <w:tab w:val="left" w:pos="1404"/>
          <w:tab w:val="left" w:pos="2268"/>
          <w:tab w:val="left" w:pos="2880"/>
        </w:tabs>
        <w:ind w:left="1418" w:hanging="1418"/>
        <w:jc w:val="both"/>
        <w:rPr>
          <w:rFonts w:ascii="Times New Roman" w:hAnsi="Times New Roman"/>
          <w:spacing w:val="-2"/>
          <w:sz w:val="13"/>
          <w:szCs w:val="13"/>
        </w:rPr>
      </w:pPr>
      <w:r w:rsidRPr="00FB2AD1">
        <w:rPr>
          <w:rFonts w:ascii="Times New Roman" w:hAnsi="Times New Roman"/>
          <w:b/>
          <w:spacing w:val="-2"/>
          <w:sz w:val="13"/>
          <w:szCs w:val="13"/>
        </w:rPr>
        <w:t xml:space="preserve">Rechtsprechung: </w:t>
      </w:r>
      <w:r w:rsidRPr="00FB2AD1">
        <w:rPr>
          <w:rFonts w:ascii="Times New Roman" w:hAnsi="Times New Roman"/>
          <w:b/>
          <w:spacing w:val="-2"/>
          <w:sz w:val="13"/>
          <w:szCs w:val="13"/>
        </w:rPr>
        <w:tab/>
      </w:r>
      <w:r w:rsidRPr="00FB2AD1">
        <w:rPr>
          <w:rFonts w:ascii="Times New Roman" w:hAnsi="Times New Roman"/>
          <w:b/>
          <w:spacing w:val="-2"/>
          <w:sz w:val="13"/>
          <w:szCs w:val="13"/>
        </w:rPr>
        <w:tab/>
        <w:t>BGHSt 29, 109</w:t>
      </w:r>
      <w:r w:rsidRPr="00FB2AD1">
        <w:rPr>
          <w:rFonts w:ascii="Times New Roman" w:hAnsi="Times New Roman"/>
          <w:spacing w:val="-2"/>
          <w:sz w:val="13"/>
          <w:szCs w:val="13"/>
        </w:rPr>
        <w:t xml:space="preserve"> – Verlesung (Zulässigkeit der Verlesung bei Sperrerklärung); </w:t>
      </w:r>
      <w:r w:rsidRPr="00FB2AD1">
        <w:rPr>
          <w:rFonts w:ascii="Times New Roman" w:hAnsi="Times New Roman"/>
          <w:b/>
          <w:spacing w:val="-2"/>
          <w:sz w:val="13"/>
          <w:szCs w:val="13"/>
        </w:rPr>
        <w:t xml:space="preserve">BGHSt 29, 390 </w:t>
      </w:r>
      <w:r w:rsidRPr="00FB2AD1">
        <w:rPr>
          <w:rFonts w:ascii="Times New Roman" w:hAnsi="Times New Roman"/>
          <w:spacing w:val="-2"/>
          <w:sz w:val="13"/>
          <w:szCs w:val="13"/>
        </w:rPr>
        <w:t xml:space="preserve">– Müller (Unerreichbarkeit einer V-Person); </w:t>
      </w:r>
      <w:r w:rsidRPr="00FB2AD1">
        <w:rPr>
          <w:rFonts w:ascii="Times New Roman" w:hAnsi="Times New Roman"/>
          <w:b/>
          <w:spacing w:val="-2"/>
          <w:sz w:val="13"/>
          <w:szCs w:val="13"/>
        </w:rPr>
        <w:t xml:space="preserve">BGHSt 31, 148 </w:t>
      </w:r>
      <w:r w:rsidRPr="00FB2AD1">
        <w:rPr>
          <w:rFonts w:ascii="Times New Roman" w:hAnsi="Times New Roman"/>
          <w:spacing w:val="-2"/>
          <w:sz w:val="13"/>
          <w:szCs w:val="13"/>
        </w:rPr>
        <w:t xml:space="preserve">– Scheinaufkäuferin (Sperrerklärung ohne ausreichende Begründung); </w:t>
      </w:r>
      <w:r w:rsidRPr="00FB2AD1">
        <w:rPr>
          <w:rFonts w:ascii="Times New Roman" w:hAnsi="Times New Roman"/>
          <w:b/>
          <w:spacing w:val="-2"/>
          <w:sz w:val="13"/>
          <w:szCs w:val="13"/>
        </w:rPr>
        <w:t xml:space="preserve">BGHSt 32, 115 </w:t>
      </w:r>
      <w:r w:rsidRPr="00FB2AD1">
        <w:rPr>
          <w:rFonts w:ascii="Times New Roman" w:hAnsi="Times New Roman"/>
          <w:spacing w:val="-2"/>
          <w:sz w:val="13"/>
          <w:szCs w:val="13"/>
        </w:rPr>
        <w:t xml:space="preserve">– V-Leute (§ 163 StPO als gesetzliche Legitimation); </w:t>
      </w:r>
      <w:r w:rsidRPr="00FB2AD1">
        <w:rPr>
          <w:rFonts w:ascii="Times New Roman" w:hAnsi="Times New Roman"/>
          <w:b/>
          <w:spacing w:val="-2"/>
          <w:sz w:val="13"/>
          <w:szCs w:val="13"/>
        </w:rPr>
        <w:t xml:space="preserve">BGHSt 33, 178 </w:t>
      </w:r>
      <w:r w:rsidRPr="00FB2AD1">
        <w:rPr>
          <w:rFonts w:ascii="Times New Roman" w:hAnsi="Times New Roman"/>
          <w:spacing w:val="-2"/>
          <w:sz w:val="13"/>
          <w:szCs w:val="13"/>
        </w:rPr>
        <w:t>–</w:t>
      </w:r>
      <w:r w:rsidRPr="00FB2AD1">
        <w:rPr>
          <w:rFonts w:ascii="Times New Roman" w:hAnsi="Times New Roman"/>
          <w:b/>
          <w:spacing w:val="-2"/>
          <w:sz w:val="13"/>
          <w:szCs w:val="13"/>
        </w:rPr>
        <w:t xml:space="preserve"> </w:t>
      </w:r>
      <w:r w:rsidRPr="00FB2AD1">
        <w:rPr>
          <w:rFonts w:ascii="Times New Roman" w:hAnsi="Times New Roman"/>
          <w:spacing w:val="-2"/>
          <w:sz w:val="13"/>
          <w:szCs w:val="13"/>
        </w:rPr>
        <w:t xml:space="preserve">Scheinkäufer (Vernehmung eines Zeugen vom Hörensagen); </w:t>
      </w:r>
      <w:r w:rsidRPr="00FB2AD1">
        <w:rPr>
          <w:rFonts w:ascii="Times New Roman" w:hAnsi="Times New Roman"/>
          <w:b/>
          <w:spacing w:val="-2"/>
          <w:sz w:val="13"/>
          <w:szCs w:val="13"/>
        </w:rPr>
        <w:t xml:space="preserve">BGHSt 36, 159 </w:t>
      </w:r>
      <w:r w:rsidRPr="00FB2AD1">
        <w:rPr>
          <w:rFonts w:ascii="Times New Roman" w:hAnsi="Times New Roman"/>
          <w:spacing w:val="-2"/>
          <w:sz w:val="13"/>
          <w:szCs w:val="13"/>
        </w:rPr>
        <w:t xml:space="preserve">– Kreissparkasse (Zeuge vom Hörensagen); </w:t>
      </w:r>
      <w:r w:rsidRPr="00FB2AD1">
        <w:rPr>
          <w:rFonts w:ascii="Times New Roman" w:hAnsi="Times New Roman"/>
          <w:b/>
          <w:spacing w:val="-2"/>
          <w:sz w:val="13"/>
          <w:szCs w:val="13"/>
        </w:rPr>
        <w:t>BGHSt 41, 42</w:t>
      </w:r>
      <w:r w:rsidRPr="00FB2AD1">
        <w:rPr>
          <w:rFonts w:ascii="Times New Roman" w:hAnsi="Times New Roman"/>
          <w:spacing w:val="-2"/>
          <w:sz w:val="13"/>
          <w:szCs w:val="13"/>
        </w:rPr>
        <w:t xml:space="preserve"> – Ahmet und Mehmet (§§ 110a ff. StPO auf Vertrauenspersonen der Polizei unanwendbar); </w:t>
      </w:r>
      <w:r w:rsidRPr="00FB2AD1">
        <w:rPr>
          <w:rFonts w:ascii="Times New Roman" w:hAnsi="Times New Roman"/>
          <w:b/>
          <w:spacing w:val="-2"/>
          <w:sz w:val="13"/>
          <w:szCs w:val="13"/>
        </w:rPr>
        <w:t>BGHSt 41, 64</w:t>
      </w:r>
      <w:r w:rsidRPr="00FB2AD1">
        <w:rPr>
          <w:rFonts w:ascii="Times New Roman" w:hAnsi="Times New Roman"/>
          <w:spacing w:val="-2"/>
          <w:sz w:val="13"/>
          <w:szCs w:val="13"/>
        </w:rPr>
        <w:t xml:space="preserve"> – </w:t>
      </w:r>
      <w:r w:rsidR="008F5D7F" w:rsidRPr="00FB2AD1">
        <w:rPr>
          <w:rFonts w:ascii="Times New Roman" w:hAnsi="Times New Roman"/>
          <w:spacing w:val="-2"/>
          <w:sz w:val="13"/>
          <w:szCs w:val="13"/>
        </w:rPr>
        <w:t>V-Mann (Dauerhaftigkeit der Identitätsänderung)</w:t>
      </w:r>
      <w:r w:rsidRPr="00FB2AD1">
        <w:rPr>
          <w:rFonts w:ascii="Times New Roman" w:hAnsi="Times New Roman"/>
          <w:spacing w:val="-2"/>
          <w:sz w:val="13"/>
          <w:szCs w:val="13"/>
        </w:rPr>
        <w:t xml:space="preserve">; </w:t>
      </w:r>
      <w:r w:rsidRPr="00FB2AD1">
        <w:rPr>
          <w:rFonts w:ascii="Times New Roman" w:hAnsi="Times New Roman"/>
          <w:b/>
          <w:spacing w:val="-2"/>
          <w:sz w:val="13"/>
          <w:szCs w:val="13"/>
        </w:rPr>
        <w:t xml:space="preserve">BGHSt 42, 175 </w:t>
      </w:r>
      <w:r w:rsidRPr="00FB2AD1">
        <w:rPr>
          <w:rFonts w:ascii="Times New Roman" w:hAnsi="Times New Roman"/>
          <w:spacing w:val="-2"/>
          <w:sz w:val="13"/>
          <w:szCs w:val="13"/>
        </w:rPr>
        <w:t xml:space="preserve">– Dieter (Notwendigkeit der Entscheidung durch die oberste Dienstbehörde); </w:t>
      </w:r>
      <w:r w:rsidRPr="00FB2AD1">
        <w:rPr>
          <w:rFonts w:ascii="Times New Roman" w:hAnsi="Times New Roman"/>
          <w:b/>
          <w:spacing w:val="-2"/>
          <w:sz w:val="13"/>
          <w:szCs w:val="13"/>
        </w:rPr>
        <w:t>BGHSt 45, 321</w:t>
      </w:r>
      <w:r w:rsidRPr="00FB2AD1">
        <w:rPr>
          <w:rFonts w:ascii="Times New Roman" w:hAnsi="Times New Roman"/>
          <w:spacing w:val="-2"/>
          <w:sz w:val="13"/>
          <w:szCs w:val="13"/>
        </w:rPr>
        <w:t xml:space="preserve"> – Enzo (Unzulässigkeit der „Verführung“ einer unverdächtigen Person zu Straftaten durch V-Mann); </w:t>
      </w:r>
      <w:r w:rsidRPr="00FB2AD1">
        <w:rPr>
          <w:rFonts w:ascii="Times New Roman" w:hAnsi="Times New Roman"/>
          <w:b/>
          <w:spacing w:val="-2"/>
          <w:sz w:val="13"/>
          <w:szCs w:val="13"/>
        </w:rPr>
        <w:t xml:space="preserve">BGHSt 47, 44 </w:t>
      </w:r>
      <w:r w:rsidRPr="00FB2AD1">
        <w:rPr>
          <w:rFonts w:ascii="Times New Roman" w:hAnsi="Times New Roman"/>
          <w:spacing w:val="-2"/>
          <w:sz w:val="13"/>
          <w:szCs w:val="13"/>
        </w:rPr>
        <w:t xml:space="preserve">– Tatprovokation (Unzulässigkeit einer Tatprovokation); </w:t>
      </w:r>
      <w:r w:rsidRPr="00FB2AD1">
        <w:rPr>
          <w:rFonts w:ascii="Times New Roman" w:hAnsi="Times New Roman"/>
          <w:b/>
          <w:spacing w:val="-2"/>
          <w:sz w:val="13"/>
          <w:szCs w:val="13"/>
        </w:rPr>
        <w:t>BGHSt 52, 11</w:t>
      </w:r>
      <w:r w:rsidRPr="00FB2AD1">
        <w:rPr>
          <w:rFonts w:ascii="Times New Roman" w:hAnsi="Times New Roman"/>
          <w:spacing w:val="-2"/>
          <w:sz w:val="13"/>
          <w:szCs w:val="13"/>
        </w:rPr>
        <w:t xml:space="preserve"> – Hafturlaub (Beweisverwertungsverbot bei beharrlichem Drängen auf die Aussage); </w:t>
      </w:r>
      <w:r w:rsidRPr="00FB2AD1">
        <w:rPr>
          <w:rFonts w:ascii="Times New Roman" w:hAnsi="Times New Roman"/>
          <w:b/>
          <w:spacing w:val="-2"/>
          <w:sz w:val="13"/>
          <w:szCs w:val="13"/>
        </w:rPr>
        <w:t>BGHSt 55, 138</w:t>
      </w:r>
      <w:r w:rsidRPr="00FB2AD1">
        <w:rPr>
          <w:rFonts w:ascii="Times New Roman" w:hAnsi="Times New Roman"/>
          <w:spacing w:val="-2"/>
          <w:sz w:val="13"/>
          <w:szCs w:val="13"/>
        </w:rPr>
        <w:t xml:space="preserve"> – Mordauftrag (Verwertungsverbot bei Nötigung durch verdeckt ermittelnden Polizeibeamten); </w:t>
      </w:r>
      <w:r w:rsidRPr="00FB2AD1">
        <w:rPr>
          <w:rFonts w:ascii="Times New Roman" w:hAnsi="Times New Roman"/>
          <w:b/>
          <w:spacing w:val="-2"/>
          <w:sz w:val="13"/>
          <w:szCs w:val="13"/>
        </w:rPr>
        <w:t>BGH</w:t>
      </w:r>
      <w:r w:rsidR="0070556A" w:rsidRPr="00FB2AD1">
        <w:rPr>
          <w:rFonts w:ascii="Times New Roman" w:hAnsi="Times New Roman"/>
          <w:b/>
          <w:spacing w:val="-2"/>
          <w:sz w:val="13"/>
          <w:szCs w:val="13"/>
        </w:rPr>
        <w:t> </w:t>
      </w:r>
      <w:r w:rsidRPr="00FB2AD1">
        <w:rPr>
          <w:rFonts w:ascii="Times New Roman" w:hAnsi="Times New Roman"/>
          <w:b/>
          <w:spacing w:val="-2"/>
          <w:sz w:val="13"/>
          <w:szCs w:val="13"/>
        </w:rPr>
        <w:t>NJW</w:t>
      </w:r>
      <w:r w:rsidR="0070556A" w:rsidRPr="00FB2AD1">
        <w:rPr>
          <w:rFonts w:ascii="Times New Roman" w:hAnsi="Times New Roman"/>
          <w:b/>
          <w:spacing w:val="-2"/>
          <w:sz w:val="13"/>
          <w:szCs w:val="13"/>
        </w:rPr>
        <w:t> </w:t>
      </w:r>
      <w:r w:rsidRPr="00FB2AD1">
        <w:rPr>
          <w:rFonts w:ascii="Times New Roman" w:hAnsi="Times New Roman"/>
          <w:b/>
          <w:spacing w:val="-2"/>
          <w:sz w:val="13"/>
          <w:szCs w:val="13"/>
        </w:rPr>
        <w:t>1997, 1516</w:t>
      </w:r>
      <w:r w:rsidRPr="00FB2AD1">
        <w:rPr>
          <w:rFonts w:ascii="Times New Roman" w:hAnsi="Times New Roman"/>
          <w:spacing w:val="-2"/>
          <w:sz w:val="13"/>
          <w:szCs w:val="13"/>
        </w:rPr>
        <w:t xml:space="preserve"> – Scheinaufkäufer (Betreten einer Wohnung durch einen nicht-öffentlich ermittelnden Polizeibeamten)</w:t>
      </w:r>
      <w:r w:rsidR="0031495B" w:rsidRPr="00FB2AD1">
        <w:rPr>
          <w:rFonts w:ascii="Times New Roman" w:hAnsi="Times New Roman"/>
          <w:spacing w:val="-2"/>
          <w:sz w:val="13"/>
          <w:szCs w:val="13"/>
        </w:rPr>
        <w:t xml:space="preserve">; </w:t>
      </w:r>
      <w:r w:rsidR="006064E3" w:rsidRPr="00FB2AD1">
        <w:rPr>
          <w:rFonts w:ascii="Times New Roman" w:hAnsi="Times New Roman"/>
          <w:b/>
          <w:spacing w:val="-2"/>
          <w:sz w:val="13"/>
          <w:szCs w:val="13"/>
        </w:rPr>
        <w:t xml:space="preserve">BGH NStZ 2011, 596 </w:t>
      </w:r>
      <w:r w:rsidR="006064E3" w:rsidRPr="00FB2AD1">
        <w:rPr>
          <w:rFonts w:ascii="Times New Roman" w:hAnsi="Times New Roman"/>
          <w:spacing w:val="-2"/>
          <w:sz w:val="13"/>
          <w:szCs w:val="13"/>
        </w:rPr>
        <w:t xml:space="preserve">– Selbstbelastungsfreiheit (Verwertbarkeit der Aufzeichnung eines verdeckten Gesprächs zwischen einem Informanten und dem Beschuldigten); </w:t>
      </w:r>
      <w:r w:rsidR="0031495B" w:rsidRPr="00FB2AD1">
        <w:rPr>
          <w:rFonts w:ascii="Times New Roman" w:hAnsi="Times New Roman"/>
          <w:b/>
          <w:spacing w:val="-2"/>
          <w:sz w:val="13"/>
          <w:szCs w:val="13"/>
        </w:rPr>
        <w:t>BGH NJW 2016, 91</w:t>
      </w:r>
      <w:r w:rsidR="0031495B" w:rsidRPr="00FB2AD1">
        <w:rPr>
          <w:rFonts w:ascii="Times New Roman" w:hAnsi="Times New Roman"/>
          <w:spacing w:val="-2"/>
          <w:sz w:val="13"/>
          <w:szCs w:val="13"/>
        </w:rPr>
        <w:t xml:space="preserve"> – Verfahrenshindernis (Rechtstaatswidrige Tatprovokation durch Verdeckten Ermittler)</w:t>
      </w:r>
      <w:r w:rsidR="00E95054" w:rsidRPr="00FB2AD1">
        <w:rPr>
          <w:rFonts w:ascii="Times New Roman" w:hAnsi="Times New Roman"/>
          <w:spacing w:val="-2"/>
          <w:sz w:val="13"/>
          <w:szCs w:val="13"/>
        </w:rPr>
        <w:t xml:space="preserve">; </w:t>
      </w:r>
      <w:r w:rsidR="00E95054" w:rsidRPr="00FB2AD1">
        <w:rPr>
          <w:rFonts w:ascii="Times New Roman" w:hAnsi="Times New Roman"/>
          <w:b/>
          <w:spacing w:val="-2"/>
          <w:sz w:val="13"/>
          <w:szCs w:val="13"/>
        </w:rPr>
        <w:t>OLG Jena BeckRS 2019, 24214</w:t>
      </w:r>
      <w:r w:rsidR="00E95054" w:rsidRPr="00FB2AD1">
        <w:rPr>
          <w:rFonts w:ascii="Times New Roman" w:hAnsi="Times New Roman"/>
          <w:spacing w:val="-2"/>
          <w:sz w:val="13"/>
          <w:szCs w:val="13"/>
        </w:rPr>
        <w:t xml:space="preserve"> – Befugnisse des Verdeckten Ermittlers (Geltung des § 136a StPO auch für Verdeckte Ermittler)</w:t>
      </w:r>
      <w:r w:rsidR="006243D5" w:rsidRPr="00FB2AD1">
        <w:rPr>
          <w:rFonts w:ascii="Times New Roman" w:hAnsi="Times New Roman"/>
          <w:spacing w:val="-2"/>
          <w:sz w:val="13"/>
          <w:szCs w:val="13"/>
        </w:rPr>
        <w:t xml:space="preserve">; </w:t>
      </w:r>
      <w:r w:rsidR="006243D5" w:rsidRPr="00FB2AD1">
        <w:rPr>
          <w:rFonts w:ascii="Times New Roman" w:hAnsi="Times New Roman"/>
          <w:b/>
          <w:bCs/>
          <w:spacing w:val="-2"/>
          <w:sz w:val="13"/>
          <w:szCs w:val="13"/>
        </w:rPr>
        <w:t>BGH NStZ 2023, 243</w:t>
      </w:r>
      <w:r w:rsidR="006243D5" w:rsidRPr="00FB2AD1">
        <w:rPr>
          <w:rFonts w:ascii="Times New Roman" w:hAnsi="Times New Roman"/>
          <w:spacing w:val="-2"/>
          <w:sz w:val="13"/>
          <w:szCs w:val="13"/>
        </w:rPr>
        <w:t xml:space="preserve"> –</w:t>
      </w:r>
      <w:r w:rsidR="005C4031">
        <w:rPr>
          <w:rFonts w:ascii="Times New Roman" w:hAnsi="Times New Roman"/>
          <w:spacing w:val="-2"/>
          <w:sz w:val="13"/>
          <w:szCs w:val="13"/>
        </w:rPr>
        <w:t xml:space="preserve"> </w:t>
      </w:r>
      <w:r w:rsidR="006243D5" w:rsidRPr="00FB2AD1">
        <w:rPr>
          <w:rFonts w:ascii="Times New Roman" w:hAnsi="Times New Roman"/>
          <w:spacing w:val="-2"/>
          <w:sz w:val="13"/>
          <w:szCs w:val="13"/>
        </w:rPr>
        <w:t xml:space="preserve">Verfahrenshindernis </w:t>
      </w:r>
      <w:r w:rsidR="005C4031">
        <w:rPr>
          <w:rFonts w:ascii="Times New Roman" w:hAnsi="Times New Roman"/>
          <w:spacing w:val="-2"/>
          <w:sz w:val="13"/>
          <w:szCs w:val="13"/>
        </w:rPr>
        <w:t>(</w:t>
      </w:r>
      <w:r w:rsidR="006243D5" w:rsidRPr="00FB2AD1">
        <w:rPr>
          <w:rFonts w:ascii="Times New Roman" w:hAnsi="Times New Roman"/>
          <w:spacing w:val="-2"/>
          <w:sz w:val="13"/>
          <w:szCs w:val="13"/>
        </w:rPr>
        <w:t>rechtsstaatswidrige Tatprovokation durch einen verdeckten Ermittler</w:t>
      </w:r>
      <w:r w:rsidR="005C4031">
        <w:rPr>
          <w:rFonts w:ascii="Times New Roman" w:hAnsi="Times New Roman"/>
          <w:spacing w:val="-2"/>
          <w:sz w:val="13"/>
          <w:szCs w:val="13"/>
        </w:rPr>
        <w:t>)</w:t>
      </w:r>
      <w:r w:rsidR="006243D5" w:rsidRPr="00FB2AD1">
        <w:rPr>
          <w:rFonts w:ascii="Times New Roman" w:hAnsi="Times New Roman"/>
          <w:spacing w:val="-2"/>
          <w:sz w:val="13"/>
          <w:szCs w:val="13"/>
        </w:rPr>
        <w:t xml:space="preserve">, vgl. </w:t>
      </w:r>
      <w:r w:rsidR="006243D5" w:rsidRPr="00FB2AD1">
        <w:rPr>
          <w:rFonts w:ascii="Times New Roman" w:hAnsi="Times New Roman"/>
          <w:i/>
          <w:iCs/>
          <w:spacing w:val="-2"/>
          <w:sz w:val="13"/>
          <w:szCs w:val="13"/>
        </w:rPr>
        <w:t>Arndt/</w:t>
      </w:r>
      <w:proofErr w:type="spellStart"/>
      <w:r w:rsidR="006243D5" w:rsidRPr="00FB2AD1">
        <w:rPr>
          <w:rFonts w:ascii="Times New Roman" w:hAnsi="Times New Roman"/>
          <w:i/>
          <w:iCs/>
          <w:spacing w:val="-2"/>
          <w:sz w:val="13"/>
          <w:szCs w:val="13"/>
        </w:rPr>
        <w:t>Laterveer</w:t>
      </w:r>
      <w:proofErr w:type="spellEnd"/>
      <w:r w:rsidR="006243D5" w:rsidRPr="00FB2AD1">
        <w:rPr>
          <w:rFonts w:ascii="Times New Roman" w:hAnsi="Times New Roman"/>
          <w:spacing w:val="-2"/>
          <w:sz w:val="13"/>
          <w:szCs w:val="13"/>
        </w:rPr>
        <w:t>, famos 04/2022</w:t>
      </w:r>
      <w:r w:rsidR="0000675C" w:rsidRPr="00FB2AD1">
        <w:rPr>
          <w:rFonts w:ascii="Times New Roman" w:hAnsi="Times New Roman"/>
          <w:spacing w:val="-2"/>
          <w:sz w:val="13"/>
          <w:szCs w:val="13"/>
        </w:rPr>
        <w:t xml:space="preserve">; </w:t>
      </w:r>
      <w:r w:rsidR="0000675C" w:rsidRPr="00FB2AD1">
        <w:rPr>
          <w:rFonts w:ascii="Times New Roman" w:hAnsi="Times New Roman"/>
          <w:b/>
          <w:bCs/>
          <w:spacing w:val="-2"/>
          <w:sz w:val="13"/>
          <w:szCs w:val="13"/>
        </w:rPr>
        <w:t xml:space="preserve">BGH NStZ </w:t>
      </w:r>
      <w:r w:rsidR="009F73A0" w:rsidRPr="00FB2AD1">
        <w:rPr>
          <w:rFonts w:ascii="Times New Roman" w:hAnsi="Times New Roman"/>
          <w:b/>
          <w:bCs/>
          <w:spacing w:val="-2"/>
          <w:sz w:val="13"/>
          <w:szCs w:val="13"/>
        </w:rPr>
        <w:t>2024, 572</w:t>
      </w:r>
      <w:r w:rsidR="009F73A0" w:rsidRPr="00FB2AD1">
        <w:rPr>
          <w:rFonts w:ascii="Times New Roman" w:hAnsi="Times New Roman"/>
          <w:spacing w:val="-2"/>
          <w:sz w:val="13"/>
          <w:szCs w:val="13"/>
        </w:rPr>
        <w:t xml:space="preserve"> – Beweisverwertungsverbot </w:t>
      </w:r>
      <w:r w:rsidR="005C4031">
        <w:rPr>
          <w:rFonts w:ascii="Times New Roman" w:hAnsi="Times New Roman"/>
          <w:spacing w:val="-2"/>
          <w:sz w:val="13"/>
          <w:szCs w:val="13"/>
        </w:rPr>
        <w:t>(V</w:t>
      </w:r>
      <w:r w:rsidR="009F73A0" w:rsidRPr="00FB2AD1">
        <w:rPr>
          <w:rFonts w:ascii="Times New Roman" w:hAnsi="Times New Roman"/>
          <w:spacing w:val="-2"/>
          <w:sz w:val="13"/>
          <w:szCs w:val="13"/>
        </w:rPr>
        <w:t xml:space="preserve">erdeckte Befragung durch </w:t>
      </w:r>
      <w:r w:rsidR="007E7212">
        <w:rPr>
          <w:rFonts w:ascii="Times New Roman" w:hAnsi="Times New Roman"/>
          <w:spacing w:val="-2"/>
          <w:sz w:val="13"/>
          <w:szCs w:val="13"/>
        </w:rPr>
        <w:t>VE</w:t>
      </w:r>
      <w:r w:rsidR="005C4031">
        <w:rPr>
          <w:rFonts w:ascii="Times New Roman" w:hAnsi="Times New Roman"/>
          <w:spacing w:val="-2"/>
          <w:sz w:val="13"/>
          <w:szCs w:val="13"/>
        </w:rPr>
        <w:t>)</w:t>
      </w:r>
      <w:r w:rsidR="009F73A0" w:rsidRPr="00FB2AD1">
        <w:rPr>
          <w:rFonts w:ascii="Times New Roman" w:hAnsi="Times New Roman"/>
          <w:spacing w:val="-2"/>
          <w:sz w:val="13"/>
          <w:szCs w:val="13"/>
        </w:rPr>
        <w:t>.</w:t>
      </w:r>
    </w:p>
    <w:sectPr w:rsidR="003D538B" w:rsidRPr="00FB2AD1" w:rsidSect="003D538B">
      <w:pgSz w:w="11906" w:h="16838"/>
      <w:pgMar w:top="567" w:right="567" w:bottom="397" w:left="1134" w:header="567" w:footer="28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9D2B" w14:textId="77777777" w:rsidR="0077530B" w:rsidRDefault="0077530B">
      <w:pPr>
        <w:widowControl/>
        <w:spacing w:line="-20" w:lineRule="auto"/>
      </w:pPr>
    </w:p>
  </w:endnote>
  <w:endnote w:type="continuationSeparator" w:id="0">
    <w:p w14:paraId="28943651" w14:textId="77777777" w:rsidR="0077530B" w:rsidRDefault="0077530B">
      <w:r>
        <w:t xml:space="preserve"> </w:t>
      </w:r>
    </w:p>
  </w:endnote>
  <w:endnote w:type="continuationNotice" w:id="1">
    <w:p w14:paraId="36328836" w14:textId="77777777" w:rsidR="0077530B" w:rsidRDefault="0077530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6640" w14:textId="77777777" w:rsidR="0077530B" w:rsidRDefault="0077530B">
      <w:r>
        <w:separator/>
      </w:r>
    </w:p>
  </w:footnote>
  <w:footnote w:type="continuationSeparator" w:id="0">
    <w:p w14:paraId="556546D7" w14:textId="77777777" w:rsidR="0077530B" w:rsidRDefault="00775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10685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6141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trackRevisions/>
  <w:defaultTabStop w:val="720"/>
  <w:autoHyphenation/>
  <w:hyphenationZone w:val="51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34"/>
    <w:rsid w:val="00004736"/>
    <w:rsid w:val="0000675C"/>
    <w:rsid w:val="000146B2"/>
    <w:rsid w:val="00033861"/>
    <w:rsid w:val="00034014"/>
    <w:rsid w:val="00037CF8"/>
    <w:rsid w:val="00040983"/>
    <w:rsid w:val="00056771"/>
    <w:rsid w:val="000B0272"/>
    <w:rsid w:val="000D7A0F"/>
    <w:rsid w:val="00133CA1"/>
    <w:rsid w:val="00137F40"/>
    <w:rsid w:val="00166B7A"/>
    <w:rsid w:val="00193795"/>
    <w:rsid w:val="001A1571"/>
    <w:rsid w:val="001B24AD"/>
    <w:rsid w:val="001B56A6"/>
    <w:rsid w:val="00212C93"/>
    <w:rsid w:val="00231E14"/>
    <w:rsid w:val="00286A87"/>
    <w:rsid w:val="002A305F"/>
    <w:rsid w:val="002B45F5"/>
    <w:rsid w:val="002C3DF1"/>
    <w:rsid w:val="002D2A22"/>
    <w:rsid w:val="002D47F7"/>
    <w:rsid w:val="002F78C6"/>
    <w:rsid w:val="0031495B"/>
    <w:rsid w:val="00334BF8"/>
    <w:rsid w:val="00391381"/>
    <w:rsid w:val="003926C7"/>
    <w:rsid w:val="003B0C91"/>
    <w:rsid w:val="003B19B1"/>
    <w:rsid w:val="003C0FE5"/>
    <w:rsid w:val="003C345E"/>
    <w:rsid w:val="003D538B"/>
    <w:rsid w:val="003E5619"/>
    <w:rsid w:val="00420F01"/>
    <w:rsid w:val="00456F88"/>
    <w:rsid w:val="00461D21"/>
    <w:rsid w:val="00477260"/>
    <w:rsid w:val="004914B2"/>
    <w:rsid w:val="004D56E4"/>
    <w:rsid w:val="004E5B9A"/>
    <w:rsid w:val="005264EC"/>
    <w:rsid w:val="00540003"/>
    <w:rsid w:val="00542D29"/>
    <w:rsid w:val="005632B2"/>
    <w:rsid w:val="00571CEA"/>
    <w:rsid w:val="00585234"/>
    <w:rsid w:val="005B2FB8"/>
    <w:rsid w:val="005C4031"/>
    <w:rsid w:val="005E548A"/>
    <w:rsid w:val="006064E3"/>
    <w:rsid w:val="006158CB"/>
    <w:rsid w:val="006243D5"/>
    <w:rsid w:val="00634EDE"/>
    <w:rsid w:val="00670966"/>
    <w:rsid w:val="00691299"/>
    <w:rsid w:val="006A0CD0"/>
    <w:rsid w:val="00701B60"/>
    <w:rsid w:val="0070556A"/>
    <w:rsid w:val="0070637B"/>
    <w:rsid w:val="00711CAE"/>
    <w:rsid w:val="00715D32"/>
    <w:rsid w:val="007315E6"/>
    <w:rsid w:val="00740DBD"/>
    <w:rsid w:val="0076597B"/>
    <w:rsid w:val="0077530B"/>
    <w:rsid w:val="00776201"/>
    <w:rsid w:val="00784045"/>
    <w:rsid w:val="00790086"/>
    <w:rsid w:val="007963F1"/>
    <w:rsid w:val="007A5FF7"/>
    <w:rsid w:val="007C24D0"/>
    <w:rsid w:val="007C419B"/>
    <w:rsid w:val="007C6D61"/>
    <w:rsid w:val="007E7212"/>
    <w:rsid w:val="008058A1"/>
    <w:rsid w:val="0085107A"/>
    <w:rsid w:val="008924FC"/>
    <w:rsid w:val="008C2913"/>
    <w:rsid w:val="008F4793"/>
    <w:rsid w:val="008F5D7F"/>
    <w:rsid w:val="009662EC"/>
    <w:rsid w:val="009B03D3"/>
    <w:rsid w:val="009C232B"/>
    <w:rsid w:val="009C4608"/>
    <w:rsid w:val="009D25A7"/>
    <w:rsid w:val="009D760B"/>
    <w:rsid w:val="009F3462"/>
    <w:rsid w:val="009F73A0"/>
    <w:rsid w:val="009F77C9"/>
    <w:rsid w:val="00A05FEB"/>
    <w:rsid w:val="00A134BF"/>
    <w:rsid w:val="00A37713"/>
    <w:rsid w:val="00A54FBF"/>
    <w:rsid w:val="00A67E94"/>
    <w:rsid w:val="00A709C2"/>
    <w:rsid w:val="00A90374"/>
    <w:rsid w:val="00A915BA"/>
    <w:rsid w:val="00AB1CBF"/>
    <w:rsid w:val="00AE0832"/>
    <w:rsid w:val="00AE5285"/>
    <w:rsid w:val="00AF3E0B"/>
    <w:rsid w:val="00B02CA7"/>
    <w:rsid w:val="00B10A55"/>
    <w:rsid w:val="00B33C5C"/>
    <w:rsid w:val="00B45F57"/>
    <w:rsid w:val="00B56F80"/>
    <w:rsid w:val="00BB2C5E"/>
    <w:rsid w:val="00BE0D9E"/>
    <w:rsid w:val="00C24105"/>
    <w:rsid w:val="00C256EA"/>
    <w:rsid w:val="00C464A6"/>
    <w:rsid w:val="00C671FB"/>
    <w:rsid w:val="00C74B2B"/>
    <w:rsid w:val="00C80492"/>
    <w:rsid w:val="00CC68DC"/>
    <w:rsid w:val="00CE36D2"/>
    <w:rsid w:val="00D007AF"/>
    <w:rsid w:val="00DB0DEB"/>
    <w:rsid w:val="00DD12D5"/>
    <w:rsid w:val="00DF0077"/>
    <w:rsid w:val="00DF5259"/>
    <w:rsid w:val="00E440E9"/>
    <w:rsid w:val="00E95054"/>
    <w:rsid w:val="00EA2571"/>
    <w:rsid w:val="00EB0F5E"/>
    <w:rsid w:val="00ED43BE"/>
    <w:rsid w:val="00ED49AF"/>
    <w:rsid w:val="00ED7314"/>
    <w:rsid w:val="00EE4844"/>
    <w:rsid w:val="00EE6A94"/>
    <w:rsid w:val="00EF256B"/>
    <w:rsid w:val="00EF2CF3"/>
    <w:rsid w:val="00F372FE"/>
    <w:rsid w:val="00F61A1A"/>
    <w:rsid w:val="00F622DD"/>
    <w:rsid w:val="00F63EC9"/>
    <w:rsid w:val="00F7213B"/>
    <w:rsid w:val="00F804E0"/>
    <w:rsid w:val="00F815D4"/>
    <w:rsid w:val="00FA4D4E"/>
    <w:rsid w:val="00FA7DE5"/>
    <w:rsid w:val="00FB2AD1"/>
    <w:rsid w:val="00FC7EFB"/>
    <w:rsid w:val="00FF259A"/>
    <w:rsid w:val="00FF73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684ED3"/>
  <w15:chartTrackingRefBased/>
  <w15:docId w15:val="{6BAD63FD-6DF4-4F0A-BF07-FBD857B2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DD0F7D"/>
    <w:rPr>
      <w:rFonts w:ascii="Tahoma" w:hAnsi="Tahoma" w:cs="Tahoma"/>
      <w:sz w:val="16"/>
      <w:szCs w:val="16"/>
    </w:rPr>
  </w:style>
  <w:style w:type="character" w:styleId="Kommentarzeichen">
    <w:name w:val="annotation reference"/>
    <w:uiPriority w:val="99"/>
    <w:semiHidden/>
    <w:unhideWhenUsed/>
    <w:rsid w:val="00C74B2B"/>
    <w:rPr>
      <w:sz w:val="18"/>
      <w:szCs w:val="18"/>
    </w:rPr>
  </w:style>
  <w:style w:type="paragraph" w:styleId="Kommentartext">
    <w:name w:val="annotation text"/>
    <w:basedOn w:val="Standard"/>
    <w:link w:val="KommentartextZchn"/>
    <w:uiPriority w:val="99"/>
    <w:semiHidden/>
    <w:unhideWhenUsed/>
    <w:rsid w:val="00C74B2B"/>
    <w:rPr>
      <w:szCs w:val="24"/>
    </w:rPr>
  </w:style>
  <w:style w:type="character" w:customStyle="1" w:styleId="KommentartextZchn">
    <w:name w:val="Kommentartext Zchn"/>
    <w:link w:val="Kommentartext"/>
    <w:uiPriority w:val="99"/>
    <w:semiHidden/>
    <w:rsid w:val="00C74B2B"/>
    <w:rPr>
      <w:rFonts w:ascii="Dutch Roman 12pt" w:hAnsi="Dutch Roman 12pt"/>
      <w:sz w:val="24"/>
      <w:szCs w:val="24"/>
    </w:rPr>
  </w:style>
  <w:style w:type="paragraph" w:styleId="Kommentarthema">
    <w:name w:val="annotation subject"/>
    <w:basedOn w:val="Kommentartext"/>
    <w:next w:val="Kommentartext"/>
    <w:link w:val="KommentarthemaZchn"/>
    <w:uiPriority w:val="99"/>
    <w:semiHidden/>
    <w:unhideWhenUsed/>
    <w:rsid w:val="00C74B2B"/>
    <w:rPr>
      <w:b/>
      <w:bCs/>
      <w:sz w:val="20"/>
      <w:szCs w:val="20"/>
    </w:rPr>
  </w:style>
  <w:style w:type="character" w:customStyle="1" w:styleId="KommentarthemaZchn">
    <w:name w:val="Kommentarthema Zchn"/>
    <w:link w:val="Kommentarthema"/>
    <w:uiPriority w:val="99"/>
    <w:semiHidden/>
    <w:rsid w:val="00C74B2B"/>
    <w:rPr>
      <w:rFonts w:ascii="Dutch Roman 12pt" w:hAnsi="Dutch Roman 12pt"/>
      <w:b/>
      <w:bCs/>
      <w:sz w:val="24"/>
      <w:szCs w:val="24"/>
    </w:rPr>
  </w:style>
  <w:style w:type="paragraph" w:styleId="berarbeitung">
    <w:name w:val="Revision"/>
    <w:hidden/>
    <w:uiPriority w:val="71"/>
    <w:rsid w:val="001A1571"/>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974189">
      <w:bodyDiv w:val="1"/>
      <w:marLeft w:val="0"/>
      <w:marRight w:val="0"/>
      <w:marTop w:val="0"/>
      <w:marBottom w:val="0"/>
      <w:divBdr>
        <w:top w:val="none" w:sz="0" w:space="0" w:color="auto"/>
        <w:left w:val="none" w:sz="0" w:space="0" w:color="auto"/>
        <w:bottom w:val="none" w:sz="0" w:space="0" w:color="auto"/>
        <w:right w:val="none" w:sz="0" w:space="0" w:color="auto"/>
      </w:divBdr>
    </w:div>
    <w:div w:id="20025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0AC8-65FD-438B-9364-6F479AD0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1494</Words>
  <Characters>9415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dc:description/>
  <cp:lastModifiedBy>Judith Schult</cp:lastModifiedBy>
  <cp:revision>2</cp:revision>
  <cp:lastPrinted>2020-10-28T16:14:00Z</cp:lastPrinted>
  <dcterms:created xsi:type="dcterms:W3CDTF">2024-10-09T15:23:00Z</dcterms:created>
  <dcterms:modified xsi:type="dcterms:W3CDTF">2024-10-09T15:23:00Z</dcterms:modified>
</cp:coreProperties>
</file>