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C67C6" w14:textId="7E338102" w:rsidR="009C4D6C" w:rsidRDefault="009C4D6C" w:rsidP="00A24DB9">
      <w:pPr>
        <w:tabs>
          <w:tab w:val="right" w:pos="10206"/>
        </w:tabs>
        <w:jc w:val="both"/>
        <w:rPr>
          <w:b/>
          <w:spacing w:val="-3"/>
        </w:rPr>
      </w:pPr>
      <w:r>
        <w:rPr>
          <w:b/>
          <w:spacing w:val="-3"/>
        </w:rPr>
        <w:t xml:space="preserve">Prof. Dr. </w:t>
      </w:r>
      <w:r w:rsidR="00105097">
        <w:rPr>
          <w:b/>
          <w:spacing w:val="-3"/>
        </w:rPr>
        <w:t xml:space="preserve">Dr. h.c. </w:t>
      </w:r>
      <w:r>
        <w:rPr>
          <w:b/>
          <w:spacing w:val="-3"/>
        </w:rPr>
        <w:t>Bernd Heinrich/</w:t>
      </w:r>
      <w:r w:rsidR="00571E3E">
        <w:rPr>
          <w:b/>
          <w:spacing w:val="-3"/>
        </w:rPr>
        <w:t>Pr</w:t>
      </w:r>
      <w:r w:rsidR="002B39E7">
        <w:rPr>
          <w:b/>
          <w:spacing w:val="-3"/>
        </w:rPr>
        <w:t>of</w:t>
      </w:r>
      <w:r w:rsidR="00571E3E">
        <w:rPr>
          <w:b/>
          <w:spacing w:val="-3"/>
        </w:rPr>
        <w:t xml:space="preserve">. </w:t>
      </w:r>
      <w:r>
        <w:rPr>
          <w:b/>
          <w:spacing w:val="-3"/>
        </w:rPr>
        <w:t>Dr. Tobias Reinbacher</w:t>
      </w:r>
      <w:r>
        <w:rPr>
          <w:b/>
          <w:spacing w:val="-3"/>
        </w:rPr>
        <w:tab/>
        <w:t xml:space="preserve">Stand: 1. </w:t>
      </w:r>
      <w:r w:rsidR="006E2F8B">
        <w:rPr>
          <w:b/>
          <w:spacing w:val="-3"/>
        </w:rPr>
        <w:t>Oktober</w:t>
      </w:r>
      <w:r w:rsidR="006C799F">
        <w:rPr>
          <w:b/>
          <w:spacing w:val="-3"/>
        </w:rPr>
        <w:t xml:space="preserve"> 20</w:t>
      </w:r>
      <w:r w:rsidR="00B90859">
        <w:rPr>
          <w:b/>
          <w:spacing w:val="-3"/>
        </w:rPr>
        <w:t>2</w:t>
      </w:r>
      <w:r w:rsidR="00AF4896">
        <w:rPr>
          <w:b/>
          <w:spacing w:val="-3"/>
        </w:rPr>
        <w:t>4</w:t>
      </w:r>
    </w:p>
    <w:p w14:paraId="31060EBE" w14:textId="5ED9BA46" w:rsidR="009C4D6C" w:rsidRDefault="009C4D6C" w:rsidP="00A24DB9">
      <w:pPr>
        <w:framePr w:w="9642" w:h="1417" w:hSpace="240" w:vSpace="120" w:wrap="auto" w:vAnchor="text" w:hAnchor="page" w:x="1292" w:y="238"/>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spacing w:val="-3"/>
        </w:rPr>
      </w:pPr>
      <w:r>
        <w:rPr>
          <w:b/>
          <w:spacing w:val="-3"/>
        </w:rPr>
        <w:t>Examinatorium Strafprozessrecht – Arbeitsblatt Nr.</w:t>
      </w:r>
      <w:r w:rsidR="00AF4896">
        <w:rPr>
          <w:b/>
          <w:spacing w:val="-3"/>
        </w:rPr>
        <w:t> </w:t>
      </w:r>
      <w:r>
        <w:rPr>
          <w:b/>
          <w:spacing w:val="-3"/>
        </w:rPr>
        <w:t>25</w:t>
      </w:r>
    </w:p>
    <w:p w14:paraId="00407CD2" w14:textId="0BB4E640" w:rsidR="009C4D6C" w:rsidRPr="00AE1B45" w:rsidRDefault="009C4D6C" w:rsidP="00A00FA7">
      <w:pPr>
        <w:framePr w:w="9642" w:h="1417" w:hSpace="240" w:vSpace="120" w:wrap="auto" w:vAnchor="text" w:hAnchor="page" w:x="1292" w:y="238"/>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pPr>
      <w:r w:rsidRPr="00E5074F">
        <w:rPr>
          <w:b/>
          <w:spacing w:val="-7"/>
          <w:sz w:val="52"/>
          <w:szCs w:val="52"/>
        </w:rPr>
        <w:t>Zeugnis</w:t>
      </w:r>
      <w:r w:rsidR="008A4D97">
        <w:rPr>
          <w:b/>
          <w:spacing w:val="-7"/>
          <w:sz w:val="52"/>
          <w:szCs w:val="52"/>
        </w:rPr>
        <w:t>- und Aussage</w:t>
      </w:r>
      <w:r w:rsidRPr="00E5074F">
        <w:rPr>
          <w:b/>
          <w:spacing w:val="-7"/>
          <w:sz w:val="52"/>
          <w:szCs w:val="52"/>
        </w:rPr>
        <w:t>verweigerungsrechte</w:t>
      </w:r>
    </w:p>
    <w:p w14:paraId="4501288E" w14:textId="77777777" w:rsidR="009C4D6C" w:rsidRPr="005958C8" w:rsidRDefault="009C4D6C" w:rsidP="00A24DB9">
      <w:pPr>
        <w:tabs>
          <w:tab w:val="right" w:pos="10206"/>
        </w:tabs>
        <w:jc w:val="both"/>
        <w:rPr>
          <w:b/>
          <w:spacing w:val="-3"/>
          <w:sz w:val="8"/>
          <w:szCs w:val="8"/>
        </w:rPr>
      </w:pPr>
    </w:p>
    <w:p w14:paraId="587DA621" w14:textId="77777777" w:rsidR="009C4D6C" w:rsidRPr="007C459D" w:rsidRDefault="009C4D6C" w:rsidP="00A24DB9">
      <w:pPr>
        <w:widowControl/>
        <w:tabs>
          <w:tab w:val="left" w:pos="-720"/>
          <w:tab w:val="left" w:pos="0"/>
          <w:tab w:val="left" w:pos="576"/>
          <w:tab w:val="left" w:pos="864"/>
          <w:tab w:val="left" w:pos="1116"/>
          <w:tab w:val="left" w:pos="1404"/>
          <w:tab w:val="left" w:pos="1692"/>
          <w:tab w:val="left" w:pos="1980"/>
          <w:tab w:val="left" w:pos="2268"/>
          <w:tab w:val="left" w:pos="2880"/>
        </w:tabs>
        <w:ind w:hanging="567"/>
        <w:jc w:val="both"/>
        <w:rPr>
          <w:rFonts w:ascii="Times New Roman" w:hAnsi="Times New Roman"/>
          <w:b/>
          <w:spacing w:val="-2"/>
          <w:sz w:val="12"/>
          <w:szCs w:val="12"/>
        </w:rPr>
      </w:pPr>
    </w:p>
    <w:p w14:paraId="675B2058" w14:textId="70FADE41" w:rsidR="009C4D6C" w:rsidRPr="009970EE" w:rsidRDefault="009C4D6C" w:rsidP="00925299">
      <w:pPr>
        <w:widowControl/>
        <w:tabs>
          <w:tab w:val="left" w:pos="-720"/>
          <w:tab w:val="left" w:pos="567"/>
          <w:tab w:val="left" w:pos="864"/>
          <w:tab w:val="left" w:pos="1116"/>
          <w:tab w:val="left" w:pos="1404"/>
          <w:tab w:val="left" w:pos="1692"/>
          <w:tab w:val="left" w:pos="1980"/>
          <w:tab w:val="left" w:pos="2268"/>
          <w:tab w:val="left" w:pos="2880"/>
        </w:tabs>
        <w:jc w:val="both"/>
        <w:rPr>
          <w:rFonts w:ascii="Times New Roman" w:hAnsi="Times New Roman"/>
          <w:spacing w:val="-2"/>
          <w:sz w:val="16"/>
          <w:szCs w:val="16"/>
        </w:rPr>
      </w:pPr>
      <w:r w:rsidRPr="009970EE">
        <w:rPr>
          <w:rFonts w:ascii="Times New Roman" w:hAnsi="Times New Roman"/>
          <w:b/>
          <w:spacing w:val="-2"/>
          <w:sz w:val="16"/>
          <w:szCs w:val="16"/>
        </w:rPr>
        <w:t>I. Allgemeines:</w:t>
      </w:r>
      <w:r w:rsidRPr="009970EE">
        <w:rPr>
          <w:rFonts w:ascii="Times New Roman" w:hAnsi="Times New Roman"/>
          <w:spacing w:val="-2"/>
          <w:sz w:val="16"/>
          <w:szCs w:val="16"/>
        </w:rPr>
        <w:t xml:space="preserve"> Der Zeuge ist eines der wichtigsten Beweismittel. Als Zeuge ist jede Person anzusehen, die in einer Strafsache, welche nicht gegen sie selbst gerichtet ist, über ihre Wahrnehmungen über Tatsachen Auskunft erteilen soll. Zeugen </w:t>
      </w:r>
      <w:r w:rsidR="00BF73F9" w:rsidRPr="009970EE">
        <w:rPr>
          <w:rFonts w:ascii="Times New Roman" w:hAnsi="Times New Roman"/>
          <w:spacing w:val="-2"/>
          <w:sz w:val="16"/>
          <w:szCs w:val="16"/>
        </w:rPr>
        <w:t xml:space="preserve">haben </w:t>
      </w:r>
      <w:proofErr w:type="spellStart"/>
      <w:r w:rsidRPr="009970EE">
        <w:rPr>
          <w:rFonts w:ascii="Times New Roman" w:hAnsi="Times New Roman"/>
          <w:spacing w:val="-2"/>
          <w:sz w:val="16"/>
          <w:szCs w:val="16"/>
        </w:rPr>
        <w:t>grds</w:t>
      </w:r>
      <w:proofErr w:type="spellEnd"/>
      <w:r w:rsidRPr="009970EE">
        <w:rPr>
          <w:rFonts w:ascii="Times New Roman" w:hAnsi="Times New Roman"/>
          <w:spacing w:val="-2"/>
          <w:sz w:val="16"/>
          <w:szCs w:val="16"/>
        </w:rPr>
        <w:t xml:space="preserve">. </w:t>
      </w:r>
      <w:r w:rsidRPr="009970EE">
        <w:rPr>
          <w:rFonts w:ascii="Times New Roman" w:hAnsi="Times New Roman"/>
          <w:b/>
          <w:spacing w:val="-2"/>
          <w:sz w:val="16"/>
          <w:szCs w:val="16"/>
        </w:rPr>
        <w:t>drei Pflichten</w:t>
      </w:r>
      <w:r w:rsidRPr="009970EE">
        <w:rPr>
          <w:rFonts w:ascii="Times New Roman" w:hAnsi="Times New Roman"/>
          <w:spacing w:val="-2"/>
          <w:sz w:val="16"/>
          <w:szCs w:val="16"/>
        </w:rPr>
        <w:t xml:space="preserve">: </w:t>
      </w:r>
      <w:r w:rsidR="00BF73F9" w:rsidRPr="009970EE">
        <w:rPr>
          <w:rFonts w:ascii="Times New Roman" w:hAnsi="Times New Roman"/>
          <w:spacing w:val="-2"/>
          <w:sz w:val="16"/>
          <w:szCs w:val="16"/>
        </w:rPr>
        <w:t>Sie mü</w:t>
      </w:r>
      <w:r w:rsidRPr="009970EE">
        <w:rPr>
          <w:rFonts w:ascii="Times New Roman" w:hAnsi="Times New Roman"/>
          <w:spacing w:val="-2"/>
          <w:sz w:val="16"/>
          <w:szCs w:val="16"/>
        </w:rPr>
        <w:t>ss</w:t>
      </w:r>
      <w:r w:rsidR="00BF73F9" w:rsidRPr="009970EE">
        <w:rPr>
          <w:rFonts w:ascii="Times New Roman" w:hAnsi="Times New Roman"/>
          <w:spacing w:val="-2"/>
          <w:sz w:val="16"/>
          <w:szCs w:val="16"/>
        </w:rPr>
        <w:t>en</w:t>
      </w:r>
      <w:r w:rsidRPr="009970EE">
        <w:rPr>
          <w:rFonts w:ascii="Times New Roman" w:hAnsi="Times New Roman"/>
          <w:spacing w:val="-2"/>
          <w:sz w:val="16"/>
          <w:szCs w:val="16"/>
        </w:rPr>
        <w:t xml:space="preserve"> erscheinen, § 51 StPO, wahrheitsgemäß (!) aussagen, §§ 57 S. 1 StPO, 153 ff. StGB, und ggf. </w:t>
      </w:r>
      <w:r w:rsidR="00BF73F9" w:rsidRPr="009970EE">
        <w:rPr>
          <w:rFonts w:ascii="Times New Roman" w:hAnsi="Times New Roman"/>
          <w:spacing w:val="-2"/>
          <w:sz w:val="16"/>
          <w:szCs w:val="16"/>
        </w:rPr>
        <w:t>di</w:t>
      </w:r>
      <w:r w:rsidRPr="009970EE">
        <w:rPr>
          <w:rFonts w:ascii="Times New Roman" w:hAnsi="Times New Roman"/>
          <w:spacing w:val="-2"/>
          <w:sz w:val="16"/>
          <w:szCs w:val="16"/>
        </w:rPr>
        <w:t>e Aussage beeiden, § 59 StPO. Oftmals stehen Zeugen aber in besondere</w:t>
      </w:r>
      <w:r w:rsidR="00D14EF3">
        <w:rPr>
          <w:rFonts w:ascii="Times New Roman" w:hAnsi="Times New Roman"/>
          <w:spacing w:val="-2"/>
          <w:sz w:val="16"/>
          <w:szCs w:val="16"/>
        </w:rPr>
        <w:t>r</w:t>
      </w:r>
      <w:r w:rsidRPr="009970EE">
        <w:rPr>
          <w:rFonts w:ascii="Times New Roman" w:hAnsi="Times New Roman"/>
          <w:spacing w:val="-2"/>
          <w:sz w:val="16"/>
          <w:szCs w:val="16"/>
        </w:rPr>
        <w:t xml:space="preserve"> Verbindung zum Angekl</w:t>
      </w:r>
      <w:r w:rsidR="00817887">
        <w:rPr>
          <w:rFonts w:ascii="Times New Roman" w:hAnsi="Times New Roman"/>
          <w:spacing w:val="-2"/>
          <w:sz w:val="16"/>
          <w:szCs w:val="16"/>
        </w:rPr>
        <w:t>agten</w:t>
      </w:r>
      <w:r w:rsidRPr="009970EE">
        <w:rPr>
          <w:rFonts w:ascii="Times New Roman" w:hAnsi="Times New Roman"/>
          <w:spacing w:val="-2"/>
          <w:sz w:val="16"/>
          <w:szCs w:val="16"/>
        </w:rPr>
        <w:t xml:space="preserve">, sodass sie in eine </w:t>
      </w:r>
      <w:r w:rsidRPr="009970EE">
        <w:rPr>
          <w:rFonts w:ascii="Times New Roman" w:hAnsi="Times New Roman"/>
          <w:b/>
          <w:spacing w:val="-2"/>
          <w:sz w:val="16"/>
          <w:szCs w:val="16"/>
        </w:rPr>
        <w:t>Konfliktlage</w:t>
      </w:r>
      <w:r w:rsidRPr="009970EE">
        <w:rPr>
          <w:rFonts w:ascii="Times New Roman" w:hAnsi="Times New Roman"/>
          <w:spacing w:val="-2"/>
          <w:sz w:val="16"/>
          <w:szCs w:val="16"/>
        </w:rPr>
        <w:t xml:space="preserve"> zwischen der Aussagepflicht auf der einen und dem Wunsch bzw. dem aus ihrem Berufsethos erwachsenden Gebot, den Betreffenden nicht belasten zu wollen, auf der anderen Seite</w:t>
      </w:r>
      <w:r w:rsidR="00BF73F9" w:rsidRPr="009970EE">
        <w:rPr>
          <w:rFonts w:ascii="Times New Roman" w:hAnsi="Times New Roman"/>
          <w:spacing w:val="-2"/>
          <w:sz w:val="16"/>
          <w:szCs w:val="16"/>
        </w:rPr>
        <w:t xml:space="preserve"> geraten können</w:t>
      </w:r>
      <w:r w:rsidRPr="009970EE">
        <w:rPr>
          <w:rFonts w:ascii="Times New Roman" w:hAnsi="Times New Roman"/>
          <w:spacing w:val="-2"/>
          <w:sz w:val="16"/>
          <w:szCs w:val="16"/>
        </w:rPr>
        <w:t xml:space="preserve">. Hier </w:t>
      </w:r>
      <w:r w:rsidR="00BF73F9" w:rsidRPr="009970EE">
        <w:rPr>
          <w:rFonts w:ascii="Times New Roman" w:hAnsi="Times New Roman"/>
          <w:spacing w:val="-2"/>
          <w:sz w:val="16"/>
          <w:szCs w:val="16"/>
        </w:rPr>
        <w:t>ist</w:t>
      </w:r>
      <w:r w:rsidRPr="009970EE">
        <w:rPr>
          <w:rFonts w:ascii="Times New Roman" w:hAnsi="Times New Roman"/>
          <w:spacing w:val="-2"/>
          <w:sz w:val="16"/>
          <w:szCs w:val="16"/>
        </w:rPr>
        <w:t xml:space="preserve"> insb</w:t>
      </w:r>
      <w:r w:rsidR="000233CA">
        <w:rPr>
          <w:rFonts w:ascii="Times New Roman" w:hAnsi="Times New Roman"/>
          <w:spacing w:val="-2"/>
          <w:sz w:val="16"/>
          <w:szCs w:val="16"/>
        </w:rPr>
        <w:t>.</w:t>
      </w:r>
      <w:r w:rsidRPr="009970EE">
        <w:rPr>
          <w:rFonts w:ascii="Times New Roman" w:hAnsi="Times New Roman"/>
          <w:spacing w:val="-2"/>
          <w:sz w:val="16"/>
          <w:szCs w:val="16"/>
        </w:rPr>
        <w:t xml:space="preserve"> an Ehegatten </w:t>
      </w:r>
      <w:r w:rsidR="00BF73F9" w:rsidRPr="009970EE">
        <w:rPr>
          <w:rFonts w:ascii="Times New Roman" w:hAnsi="Times New Roman"/>
          <w:spacing w:val="-2"/>
          <w:sz w:val="16"/>
          <w:szCs w:val="16"/>
        </w:rPr>
        <w:t xml:space="preserve">zu </w:t>
      </w:r>
      <w:r w:rsidRPr="009970EE">
        <w:rPr>
          <w:rFonts w:ascii="Times New Roman" w:hAnsi="Times New Roman"/>
          <w:spacing w:val="-2"/>
          <w:sz w:val="16"/>
          <w:szCs w:val="16"/>
        </w:rPr>
        <w:t>denken. Eine uneingeschränkte Aussage würde den Familienfrieden beeinträchtigen und liefe damit dem in Art. 6 </w:t>
      </w:r>
      <w:r w:rsidR="00D239BF">
        <w:rPr>
          <w:rFonts w:ascii="Times New Roman" w:hAnsi="Times New Roman"/>
          <w:spacing w:val="-2"/>
          <w:sz w:val="16"/>
          <w:szCs w:val="16"/>
        </w:rPr>
        <w:t xml:space="preserve">I </w:t>
      </w:r>
      <w:r w:rsidRPr="009970EE">
        <w:rPr>
          <w:rFonts w:ascii="Times New Roman" w:hAnsi="Times New Roman"/>
          <w:spacing w:val="-2"/>
          <w:sz w:val="16"/>
          <w:szCs w:val="16"/>
        </w:rPr>
        <w:t xml:space="preserve">GG verankerten Prinzip des Schutzes der Familie zuwider. Ferner kann die Konfliktlage darin bestehen, dass der Zeuge in die Tat verwickelt ist und sich durch eine Aussage selbst belasten müsste. Hier ist der </w:t>
      </w:r>
      <w:r w:rsidRPr="009970EE">
        <w:rPr>
          <w:rFonts w:ascii="Times New Roman" w:hAnsi="Times New Roman"/>
          <w:b/>
          <w:spacing w:val="-2"/>
          <w:sz w:val="16"/>
          <w:szCs w:val="16"/>
        </w:rPr>
        <w:t>Nemo-tenetur-Grundsatz</w:t>
      </w:r>
      <w:r w:rsidRPr="009970EE">
        <w:rPr>
          <w:rFonts w:ascii="Times New Roman" w:hAnsi="Times New Roman"/>
          <w:spacing w:val="-2"/>
          <w:sz w:val="16"/>
          <w:szCs w:val="16"/>
        </w:rPr>
        <w:t xml:space="preserve"> einschlägig: Niemand ist verpflicht</w:t>
      </w:r>
      <w:r w:rsidR="007B7B1B" w:rsidRPr="009970EE">
        <w:rPr>
          <w:rFonts w:ascii="Times New Roman" w:hAnsi="Times New Roman"/>
          <w:spacing w:val="-2"/>
          <w:sz w:val="16"/>
          <w:szCs w:val="16"/>
        </w:rPr>
        <w:t>et</w:t>
      </w:r>
      <w:r w:rsidRPr="009970EE">
        <w:rPr>
          <w:rFonts w:ascii="Times New Roman" w:hAnsi="Times New Roman"/>
          <w:spacing w:val="-2"/>
          <w:sz w:val="16"/>
          <w:szCs w:val="16"/>
        </w:rPr>
        <w:t>, sich selbst zu be</w:t>
      </w:r>
      <w:r w:rsidR="006C534B">
        <w:rPr>
          <w:rFonts w:ascii="Times New Roman" w:hAnsi="Times New Roman"/>
          <w:spacing w:val="-2"/>
          <w:sz w:val="16"/>
          <w:szCs w:val="16"/>
        </w:rPr>
        <w:t>last</w:t>
      </w:r>
      <w:r w:rsidRPr="009970EE">
        <w:rPr>
          <w:rFonts w:ascii="Times New Roman" w:hAnsi="Times New Roman"/>
          <w:spacing w:val="-2"/>
          <w:sz w:val="16"/>
          <w:szCs w:val="16"/>
        </w:rPr>
        <w:t xml:space="preserve">en. Diesen Zwangslagen tragen die </w:t>
      </w:r>
      <w:r w:rsidRPr="009970EE">
        <w:rPr>
          <w:rFonts w:ascii="Times New Roman" w:hAnsi="Times New Roman"/>
          <w:b/>
          <w:spacing w:val="-2"/>
          <w:sz w:val="16"/>
          <w:szCs w:val="16"/>
        </w:rPr>
        <w:t>§§ 52 ff. </w:t>
      </w:r>
      <w:proofErr w:type="gramStart"/>
      <w:r w:rsidRPr="009970EE">
        <w:rPr>
          <w:rFonts w:ascii="Times New Roman" w:hAnsi="Times New Roman"/>
          <w:b/>
          <w:spacing w:val="-2"/>
          <w:sz w:val="16"/>
          <w:szCs w:val="16"/>
        </w:rPr>
        <w:t>StPO</w:t>
      </w:r>
      <w:r w:rsidRPr="009970EE">
        <w:rPr>
          <w:rFonts w:ascii="Times New Roman" w:hAnsi="Times New Roman"/>
          <w:spacing w:val="-2"/>
          <w:sz w:val="16"/>
          <w:szCs w:val="16"/>
        </w:rPr>
        <w:t xml:space="preserve"> Rechnung</w:t>
      </w:r>
      <w:proofErr w:type="gramEnd"/>
      <w:r w:rsidRPr="009970EE">
        <w:rPr>
          <w:rFonts w:ascii="Times New Roman" w:hAnsi="Times New Roman"/>
          <w:spacing w:val="-2"/>
          <w:sz w:val="16"/>
          <w:szCs w:val="16"/>
        </w:rPr>
        <w:t xml:space="preserve">, indem sie für Angehörige, Berufsgeheimnisträger und diejenigen Personen, </w:t>
      </w:r>
      <w:r w:rsidR="00D239BF">
        <w:rPr>
          <w:rFonts w:ascii="Times New Roman" w:hAnsi="Times New Roman"/>
          <w:spacing w:val="-2"/>
          <w:sz w:val="16"/>
          <w:szCs w:val="16"/>
        </w:rPr>
        <w:t>die</w:t>
      </w:r>
      <w:r w:rsidR="00D239BF" w:rsidRPr="009970EE">
        <w:rPr>
          <w:rFonts w:ascii="Times New Roman" w:hAnsi="Times New Roman"/>
          <w:spacing w:val="-2"/>
          <w:sz w:val="16"/>
          <w:szCs w:val="16"/>
        </w:rPr>
        <w:t xml:space="preserve"> </w:t>
      </w:r>
      <w:r w:rsidRPr="009970EE">
        <w:rPr>
          <w:rFonts w:ascii="Times New Roman" w:hAnsi="Times New Roman"/>
          <w:spacing w:val="-2"/>
          <w:sz w:val="16"/>
          <w:szCs w:val="16"/>
        </w:rPr>
        <w:t xml:space="preserve">sich durch die Aussage selbst belasten würden, Zeugnis- bzw. Aussageverweigerungsrechte normieren. Macht der Zeugnisverweigerungsberechtigte erst später von seinem Recht Gebrauch, so </w:t>
      </w:r>
      <w:r w:rsidR="00440622">
        <w:rPr>
          <w:rFonts w:ascii="Times New Roman" w:hAnsi="Times New Roman"/>
          <w:spacing w:val="-2"/>
          <w:sz w:val="16"/>
          <w:szCs w:val="16"/>
        </w:rPr>
        <w:t>greift</w:t>
      </w:r>
      <w:r w:rsidRPr="009970EE">
        <w:rPr>
          <w:rFonts w:ascii="Times New Roman" w:hAnsi="Times New Roman"/>
          <w:spacing w:val="-2"/>
          <w:sz w:val="16"/>
          <w:szCs w:val="16"/>
        </w:rPr>
        <w:t xml:space="preserve"> bzgl. der früheren Aussagen </w:t>
      </w:r>
      <w:r w:rsidRPr="009970EE">
        <w:rPr>
          <w:rFonts w:ascii="Times New Roman" w:hAnsi="Times New Roman"/>
          <w:b/>
          <w:spacing w:val="-2"/>
          <w:sz w:val="16"/>
          <w:szCs w:val="16"/>
        </w:rPr>
        <w:t>§ 252 StPO</w:t>
      </w:r>
      <w:r w:rsidRPr="009970EE">
        <w:rPr>
          <w:rFonts w:ascii="Times New Roman" w:hAnsi="Times New Roman"/>
          <w:spacing w:val="-2"/>
          <w:sz w:val="16"/>
          <w:szCs w:val="16"/>
        </w:rPr>
        <w:t>.</w:t>
      </w:r>
    </w:p>
    <w:p w14:paraId="2DF4C070" w14:textId="0C265C9B" w:rsidR="009C4D6C" w:rsidRPr="009970EE" w:rsidRDefault="009C4D6C" w:rsidP="00A24DB9">
      <w:pPr>
        <w:widowControl/>
        <w:tabs>
          <w:tab w:val="left" w:pos="-720"/>
          <w:tab w:val="left" w:pos="288"/>
          <w:tab w:val="left" w:pos="567"/>
          <w:tab w:val="left" w:pos="864"/>
          <w:tab w:val="left" w:pos="1116"/>
          <w:tab w:val="left" w:pos="1404"/>
          <w:tab w:val="left" w:pos="1692"/>
          <w:tab w:val="left" w:pos="1980"/>
          <w:tab w:val="left" w:pos="2268"/>
          <w:tab w:val="left" w:pos="2880"/>
        </w:tabs>
        <w:ind w:left="284" w:hanging="284"/>
        <w:jc w:val="both"/>
        <w:rPr>
          <w:rFonts w:ascii="Times New Roman" w:hAnsi="Times New Roman"/>
          <w:b/>
          <w:spacing w:val="-2"/>
          <w:sz w:val="16"/>
          <w:szCs w:val="16"/>
        </w:rPr>
      </w:pPr>
      <w:r w:rsidRPr="009970EE">
        <w:rPr>
          <w:rFonts w:ascii="Times New Roman" w:hAnsi="Times New Roman"/>
          <w:b/>
          <w:spacing w:val="-2"/>
          <w:sz w:val="16"/>
          <w:szCs w:val="16"/>
        </w:rPr>
        <w:t xml:space="preserve">II. </w:t>
      </w:r>
      <w:r w:rsidRPr="009970EE">
        <w:rPr>
          <w:rFonts w:ascii="Times New Roman" w:hAnsi="Times New Roman"/>
          <w:b/>
          <w:spacing w:val="-2"/>
          <w:sz w:val="16"/>
          <w:szCs w:val="16"/>
        </w:rPr>
        <w:tab/>
        <w:t>Zeugnisverweigerungsrechte:</w:t>
      </w:r>
    </w:p>
    <w:p w14:paraId="218754D1" w14:textId="36BB5DC2" w:rsidR="009C4D6C" w:rsidRPr="009970EE" w:rsidRDefault="009C4D6C" w:rsidP="00A24DB9">
      <w:pPr>
        <w:tabs>
          <w:tab w:val="left" w:pos="-720"/>
          <w:tab w:val="left" w:pos="567"/>
          <w:tab w:val="left" w:pos="851"/>
        </w:tabs>
        <w:ind w:left="284" w:hanging="284"/>
        <w:jc w:val="both"/>
        <w:outlineLvl w:val="0"/>
        <w:rPr>
          <w:rFonts w:ascii="Times New Roman" w:hAnsi="Times New Roman" w:cs="Times New Roman"/>
          <w:sz w:val="16"/>
          <w:szCs w:val="16"/>
          <w:lang w:bidi="x-none"/>
        </w:rPr>
      </w:pPr>
      <w:r w:rsidRPr="009970EE">
        <w:rPr>
          <w:rFonts w:ascii="Times New Roman" w:hAnsi="Times New Roman"/>
          <w:spacing w:val="-2"/>
          <w:sz w:val="16"/>
          <w:szCs w:val="16"/>
          <w:u w:val="single"/>
        </w:rPr>
        <w:t xml:space="preserve">1. </w:t>
      </w:r>
      <w:r w:rsidRPr="009970EE">
        <w:rPr>
          <w:rFonts w:ascii="Times New Roman" w:hAnsi="Times New Roman"/>
          <w:spacing w:val="-2"/>
          <w:sz w:val="16"/>
          <w:szCs w:val="16"/>
          <w:u w:val="single"/>
        </w:rPr>
        <w:tab/>
        <w:t>Angehörige</w:t>
      </w:r>
      <w:r w:rsidRPr="009970EE">
        <w:rPr>
          <w:rFonts w:ascii="Times New Roman" w:hAnsi="Times New Roman"/>
          <w:spacing w:val="-2"/>
          <w:sz w:val="16"/>
          <w:szCs w:val="16"/>
        </w:rPr>
        <w:t xml:space="preserve">: </w:t>
      </w:r>
      <w:r w:rsidRPr="009970EE">
        <w:rPr>
          <w:rFonts w:ascii="Times New Roman" w:hAnsi="Times New Roman" w:cs="Times New Roman"/>
          <w:sz w:val="16"/>
          <w:szCs w:val="16"/>
          <w:lang w:bidi="x-none"/>
        </w:rPr>
        <w:t>Zunächst steht den nahen Angehörigen des Beschuldigten/Angeklagten ein Zeugnisverweigerungsrecht zu.</w:t>
      </w:r>
    </w:p>
    <w:p w14:paraId="5FCD9E61" w14:textId="77777777" w:rsidR="009C4D6C" w:rsidRPr="009970EE" w:rsidRDefault="009C4D6C" w:rsidP="00A24DB9">
      <w:p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ind w:left="284" w:hanging="284"/>
        <w:jc w:val="both"/>
        <w:rPr>
          <w:rFonts w:ascii="Times New Roman" w:hAnsi="Times New Roman" w:cs="Times New Roman"/>
          <w:sz w:val="16"/>
          <w:szCs w:val="16"/>
          <w:lang w:bidi="x-none"/>
        </w:rPr>
      </w:pPr>
      <w:r w:rsidRPr="009970EE">
        <w:rPr>
          <w:rFonts w:ascii="Times New Roman" w:hAnsi="Times New Roman" w:cs="Times New Roman"/>
          <w:sz w:val="16"/>
          <w:szCs w:val="16"/>
          <w:lang w:bidi="x-none"/>
        </w:rPr>
        <w:t xml:space="preserve">a) </w:t>
      </w:r>
      <w:r w:rsidRPr="009970EE">
        <w:rPr>
          <w:rFonts w:ascii="Times New Roman" w:hAnsi="Times New Roman" w:cs="Times New Roman"/>
          <w:sz w:val="16"/>
          <w:szCs w:val="16"/>
          <w:lang w:bidi="x-none"/>
        </w:rPr>
        <w:tab/>
      </w:r>
      <w:r w:rsidRPr="009970EE">
        <w:rPr>
          <w:rFonts w:ascii="Times New Roman" w:hAnsi="Times New Roman" w:cs="Times New Roman"/>
          <w:sz w:val="16"/>
          <w:szCs w:val="16"/>
          <w:u w:val="single"/>
          <w:lang w:bidi="x-none"/>
        </w:rPr>
        <w:t>Fallgruppen</w:t>
      </w:r>
      <w:r w:rsidRPr="009970EE">
        <w:rPr>
          <w:rFonts w:ascii="Times New Roman" w:hAnsi="Times New Roman" w:cs="Times New Roman"/>
          <w:sz w:val="16"/>
          <w:szCs w:val="16"/>
          <w:lang w:bidi="x-none"/>
        </w:rPr>
        <w:t>:</w:t>
      </w:r>
    </w:p>
    <w:p w14:paraId="6E41E1E0" w14:textId="4D089ED6" w:rsidR="009C4D6C" w:rsidRPr="009970EE" w:rsidRDefault="009C4D6C" w:rsidP="00A24D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84" w:hanging="284"/>
        <w:jc w:val="both"/>
        <w:rPr>
          <w:rFonts w:ascii="Times New Roman" w:hAnsi="Times New Roman" w:cs="Times New Roman"/>
          <w:sz w:val="16"/>
          <w:szCs w:val="16"/>
          <w:lang w:bidi="x-none"/>
        </w:rPr>
      </w:pPr>
      <w:r w:rsidRPr="009970EE">
        <w:rPr>
          <w:rFonts w:ascii="Times New Roman" w:hAnsi="Times New Roman" w:cs="Times New Roman"/>
          <w:sz w:val="16"/>
          <w:szCs w:val="16"/>
          <w:lang w:bidi="x-none"/>
        </w:rPr>
        <w:t xml:space="preserve">– </w:t>
      </w:r>
      <w:r w:rsidRPr="009970EE">
        <w:rPr>
          <w:rFonts w:ascii="Times New Roman" w:hAnsi="Times New Roman" w:cs="Times New Roman"/>
          <w:sz w:val="16"/>
          <w:szCs w:val="16"/>
          <w:lang w:bidi="x-none"/>
        </w:rPr>
        <w:tab/>
        <w:t xml:space="preserve">Verlobte </w:t>
      </w:r>
      <w:r w:rsidR="006E2F8B" w:rsidRPr="009970EE">
        <w:rPr>
          <w:rFonts w:ascii="Times New Roman" w:hAnsi="Times New Roman" w:cs="Times New Roman"/>
          <w:sz w:val="16"/>
          <w:szCs w:val="16"/>
          <w:lang w:bidi="x-none"/>
        </w:rPr>
        <w:t>des Beschuldigten</w:t>
      </w:r>
      <w:r w:rsidRPr="009970EE">
        <w:rPr>
          <w:rFonts w:ascii="Times New Roman" w:hAnsi="Times New Roman" w:cs="Times New Roman"/>
          <w:sz w:val="16"/>
          <w:szCs w:val="16"/>
          <w:lang w:bidi="x-none"/>
        </w:rPr>
        <w:t>, § 52 I Nr. 1 StPO</w:t>
      </w:r>
      <w:r w:rsidR="00B66B65" w:rsidRPr="009970EE">
        <w:rPr>
          <w:rFonts w:ascii="Times New Roman" w:hAnsi="Times New Roman" w:cs="Times New Roman"/>
          <w:sz w:val="16"/>
          <w:szCs w:val="16"/>
          <w:lang w:bidi="x-none"/>
        </w:rPr>
        <w:t xml:space="preserve">; </w:t>
      </w:r>
      <w:r w:rsidR="00B66B65" w:rsidRPr="009970EE">
        <w:rPr>
          <w:rFonts w:ascii="Times New Roman" w:hAnsi="Times New Roman" w:cs="Times New Roman"/>
          <w:b/>
          <w:sz w:val="16"/>
          <w:szCs w:val="16"/>
          <w:lang w:bidi="x-none"/>
        </w:rPr>
        <w:t>beachte:</w:t>
      </w:r>
      <w:r w:rsidRPr="009970EE">
        <w:rPr>
          <w:rFonts w:ascii="Times New Roman" w:hAnsi="Times New Roman" w:cs="Times New Roman"/>
          <w:sz w:val="16"/>
          <w:szCs w:val="16"/>
          <w:lang w:bidi="x-none"/>
        </w:rPr>
        <w:t xml:space="preserve"> besonders problematisch</w:t>
      </w:r>
      <w:r w:rsidR="00B66B65" w:rsidRPr="009970EE">
        <w:rPr>
          <w:rFonts w:ascii="Times New Roman" w:hAnsi="Times New Roman" w:cs="Times New Roman"/>
          <w:sz w:val="16"/>
          <w:szCs w:val="16"/>
          <w:lang w:bidi="x-none"/>
        </w:rPr>
        <w:t>, da</w:t>
      </w:r>
      <w:r w:rsidRPr="009970EE">
        <w:rPr>
          <w:rFonts w:ascii="Times New Roman" w:hAnsi="Times New Roman" w:cs="Times New Roman"/>
          <w:sz w:val="16"/>
          <w:szCs w:val="16"/>
          <w:lang w:bidi="x-none"/>
        </w:rPr>
        <w:t xml:space="preserve"> keine überprüfbaren formellen Erfordernisse für </w:t>
      </w:r>
      <w:r w:rsidR="00B66B65" w:rsidRPr="009970EE">
        <w:rPr>
          <w:rFonts w:ascii="Times New Roman" w:hAnsi="Times New Roman" w:cs="Times New Roman"/>
          <w:sz w:val="16"/>
          <w:szCs w:val="16"/>
          <w:lang w:bidi="x-none"/>
        </w:rPr>
        <w:t>Verlöbnis bestehen</w:t>
      </w:r>
      <w:r w:rsidRPr="009970EE">
        <w:rPr>
          <w:rFonts w:ascii="Times New Roman" w:hAnsi="Times New Roman" w:cs="Times New Roman"/>
          <w:sz w:val="16"/>
          <w:szCs w:val="16"/>
          <w:lang w:bidi="x-none"/>
        </w:rPr>
        <w:t>, sodass h</w:t>
      </w:r>
      <w:r w:rsidR="00B66B65" w:rsidRPr="009970EE">
        <w:rPr>
          <w:rFonts w:ascii="Times New Roman" w:hAnsi="Times New Roman" w:cs="Times New Roman"/>
          <w:sz w:val="16"/>
          <w:szCs w:val="16"/>
          <w:lang w:bidi="x-none"/>
        </w:rPr>
        <w:t>ohe Missbrauchsgefahr</w:t>
      </w:r>
      <w:r w:rsidR="00373B70">
        <w:rPr>
          <w:rFonts w:ascii="Times New Roman" w:hAnsi="Times New Roman" w:cs="Times New Roman"/>
          <w:sz w:val="16"/>
          <w:szCs w:val="16"/>
          <w:lang w:bidi="x-none"/>
        </w:rPr>
        <w:t xml:space="preserve"> besteht</w:t>
      </w:r>
      <w:r w:rsidR="00B66B65" w:rsidRPr="009970EE">
        <w:rPr>
          <w:rFonts w:ascii="Times New Roman" w:hAnsi="Times New Roman" w:cs="Times New Roman"/>
          <w:sz w:val="16"/>
          <w:szCs w:val="16"/>
          <w:lang w:bidi="x-none"/>
        </w:rPr>
        <w:t>; r</w:t>
      </w:r>
      <w:r w:rsidRPr="009970EE">
        <w:rPr>
          <w:rFonts w:ascii="Times New Roman" w:hAnsi="Times New Roman" w:cs="Times New Roman"/>
          <w:sz w:val="16"/>
          <w:szCs w:val="16"/>
          <w:lang w:bidi="x-none"/>
        </w:rPr>
        <w:t>echtspolitischen Bestrebungen, das Zeugnisverweigerungsrecht für Verlobte zu streichen (vgl. BR-</w:t>
      </w:r>
      <w:proofErr w:type="spellStart"/>
      <w:r w:rsidRPr="009970EE">
        <w:rPr>
          <w:rFonts w:ascii="Times New Roman" w:hAnsi="Times New Roman" w:cs="Times New Roman"/>
          <w:sz w:val="16"/>
          <w:szCs w:val="16"/>
          <w:lang w:bidi="x-none"/>
        </w:rPr>
        <w:t>Drs</w:t>
      </w:r>
      <w:proofErr w:type="spellEnd"/>
      <w:r w:rsidRPr="009970EE">
        <w:rPr>
          <w:rFonts w:ascii="Times New Roman" w:hAnsi="Times New Roman" w:cs="Times New Roman"/>
          <w:sz w:val="16"/>
          <w:szCs w:val="16"/>
          <w:lang w:bidi="x-none"/>
        </w:rPr>
        <w:t xml:space="preserve">. 867/05), wurde </w:t>
      </w:r>
      <w:r w:rsidR="00B66B65" w:rsidRPr="009970EE">
        <w:rPr>
          <w:rFonts w:ascii="Times New Roman" w:hAnsi="Times New Roman" w:cs="Times New Roman"/>
          <w:sz w:val="16"/>
          <w:szCs w:val="16"/>
          <w:lang w:bidi="x-none"/>
        </w:rPr>
        <w:t>aber zu Recht nicht Folge geleistet, denn e</w:t>
      </w:r>
      <w:r w:rsidRPr="009970EE">
        <w:rPr>
          <w:rFonts w:ascii="Times New Roman" w:hAnsi="Times New Roman" w:cs="Times New Roman"/>
          <w:sz w:val="16"/>
          <w:szCs w:val="16"/>
          <w:lang w:bidi="x-none"/>
        </w:rPr>
        <w:t>ine Missbrauchsgefahr besteht bei vielen Rech</w:t>
      </w:r>
      <w:r w:rsidR="00B66B65" w:rsidRPr="009970EE">
        <w:rPr>
          <w:rFonts w:ascii="Times New Roman" w:hAnsi="Times New Roman" w:cs="Times New Roman"/>
          <w:sz w:val="16"/>
          <w:szCs w:val="16"/>
          <w:lang w:bidi="x-none"/>
        </w:rPr>
        <w:t>ten, was</w:t>
      </w:r>
      <w:r w:rsidRPr="009970EE">
        <w:rPr>
          <w:rFonts w:ascii="Times New Roman" w:hAnsi="Times New Roman" w:cs="Times New Roman"/>
          <w:sz w:val="16"/>
          <w:szCs w:val="16"/>
          <w:lang w:bidi="x-none"/>
        </w:rPr>
        <w:t xml:space="preserve"> aber nicht dazu führen</w:t>
      </w:r>
      <w:r w:rsidR="00B66B65" w:rsidRPr="009970EE">
        <w:rPr>
          <w:rFonts w:ascii="Times New Roman" w:hAnsi="Times New Roman" w:cs="Times New Roman"/>
          <w:sz w:val="16"/>
          <w:szCs w:val="16"/>
          <w:lang w:bidi="x-none"/>
        </w:rPr>
        <w:t xml:space="preserve"> darf</w:t>
      </w:r>
      <w:r w:rsidRPr="009970EE">
        <w:rPr>
          <w:rFonts w:ascii="Times New Roman" w:hAnsi="Times New Roman" w:cs="Times New Roman"/>
          <w:sz w:val="16"/>
          <w:szCs w:val="16"/>
          <w:lang w:bidi="x-none"/>
        </w:rPr>
        <w:t xml:space="preserve">, </w:t>
      </w:r>
      <w:r w:rsidR="00756AE9">
        <w:rPr>
          <w:rFonts w:ascii="Times New Roman" w:hAnsi="Times New Roman" w:cs="Times New Roman"/>
          <w:sz w:val="16"/>
          <w:szCs w:val="16"/>
          <w:lang w:bidi="x-none"/>
        </w:rPr>
        <w:t>sie</w:t>
      </w:r>
      <w:r w:rsidRPr="009970EE">
        <w:rPr>
          <w:rFonts w:ascii="Times New Roman" w:hAnsi="Times New Roman" w:cs="Times New Roman"/>
          <w:sz w:val="16"/>
          <w:szCs w:val="16"/>
          <w:lang w:bidi="x-none"/>
        </w:rPr>
        <w:t xml:space="preserve"> zu beseitigen. Fraglich ist ferner, ob ein dauerhaftes </w:t>
      </w:r>
      <w:r w:rsidRPr="009970EE">
        <w:rPr>
          <w:rFonts w:ascii="Times New Roman" w:hAnsi="Times New Roman" w:cs="Times New Roman"/>
          <w:sz w:val="16"/>
          <w:szCs w:val="16"/>
          <w:u w:val="single"/>
          <w:lang w:bidi="x-none"/>
        </w:rPr>
        <w:t>Zusammenleben im Sinne einer Lebensgemeinschaft</w:t>
      </w:r>
      <w:r w:rsidRPr="009970EE">
        <w:rPr>
          <w:rFonts w:ascii="Times New Roman" w:hAnsi="Times New Roman" w:cs="Times New Roman"/>
          <w:sz w:val="16"/>
          <w:szCs w:val="16"/>
          <w:lang w:bidi="x-none"/>
        </w:rPr>
        <w:t xml:space="preserve"> dem Verlöbnis gleichgestellt werden kann. Angesichts der abnehmenden Bedeutung eines formalen Verlöbnisses bzw. der Institution der Ehe im Allgemeinen, sollte dies bejaht werden, denn die psychische Zwangslage ist hier dieselbe (sehr </w:t>
      </w:r>
      <w:proofErr w:type="spellStart"/>
      <w:r w:rsidRPr="009970EE">
        <w:rPr>
          <w:rFonts w:ascii="Times New Roman" w:hAnsi="Times New Roman" w:cs="Times New Roman"/>
          <w:sz w:val="16"/>
          <w:szCs w:val="16"/>
          <w:lang w:bidi="x-none"/>
        </w:rPr>
        <w:t>str.</w:t>
      </w:r>
      <w:proofErr w:type="spellEnd"/>
      <w:r w:rsidRPr="009970EE">
        <w:rPr>
          <w:rFonts w:ascii="Times New Roman" w:hAnsi="Times New Roman" w:cs="Times New Roman"/>
          <w:sz w:val="16"/>
          <w:szCs w:val="16"/>
          <w:lang w:bidi="x-none"/>
        </w:rPr>
        <w:t xml:space="preserve">; </w:t>
      </w:r>
      <w:proofErr w:type="spellStart"/>
      <w:r w:rsidRPr="009970EE">
        <w:rPr>
          <w:rFonts w:ascii="Times New Roman" w:hAnsi="Times New Roman" w:cs="Times New Roman"/>
          <w:sz w:val="16"/>
          <w:szCs w:val="16"/>
          <w:lang w:bidi="x-none"/>
        </w:rPr>
        <w:t>a.A</w:t>
      </w:r>
      <w:proofErr w:type="spellEnd"/>
      <w:r w:rsidRPr="009970EE">
        <w:rPr>
          <w:rFonts w:ascii="Times New Roman" w:hAnsi="Times New Roman" w:cs="Times New Roman"/>
          <w:sz w:val="16"/>
          <w:szCs w:val="16"/>
          <w:lang w:bidi="x-none"/>
        </w:rPr>
        <w:t xml:space="preserve">. </w:t>
      </w:r>
      <w:r w:rsidR="00D239BF">
        <w:rPr>
          <w:rFonts w:ascii="Times New Roman" w:hAnsi="Times New Roman" w:cs="Times New Roman"/>
          <w:sz w:val="16"/>
          <w:szCs w:val="16"/>
          <w:lang w:bidi="x-none"/>
        </w:rPr>
        <w:t>insb.</w:t>
      </w:r>
      <w:r w:rsidR="00D239BF" w:rsidRPr="009970EE">
        <w:rPr>
          <w:rFonts w:ascii="Times New Roman" w:hAnsi="Times New Roman" w:cs="Times New Roman"/>
          <w:sz w:val="16"/>
          <w:szCs w:val="16"/>
          <w:lang w:bidi="x-none"/>
        </w:rPr>
        <w:t xml:space="preserve"> </w:t>
      </w:r>
      <w:r w:rsidRPr="009970EE">
        <w:rPr>
          <w:rFonts w:ascii="Times New Roman" w:hAnsi="Times New Roman" w:cs="Times New Roman"/>
          <w:sz w:val="16"/>
          <w:szCs w:val="16"/>
          <w:lang w:bidi="x-none"/>
        </w:rPr>
        <w:t>BVerfG NJW 1999, 1622).</w:t>
      </w:r>
    </w:p>
    <w:p w14:paraId="70834B21" w14:textId="77777777" w:rsidR="009C4D6C" w:rsidRPr="009970EE" w:rsidRDefault="00A24DB9" w:rsidP="00A24DB9">
      <w:p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sz w:val="16"/>
          <w:szCs w:val="16"/>
          <w:lang w:bidi="x-none"/>
        </w:rPr>
      </w:pPr>
      <w:r w:rsidRPr="009970EE">
        <w:rPr>
          <w:rFonts w:ascii="Times New Roman" w:hAnsi="Times New Roman" w:cs="Times New Roman"/>
          <w:sz w:val="16"/>
          <w:szCs w:val="16"/>
          <w:lang w:bidi="x-none"/>
        </w:rPr>
        <w:t xml:space="preserve">–     </w:t>
      </w:r>
      <w:r w:rsidR="009C4D6C" w:rsidRPr="009970EE">
        <w:rPr>
          <w:rFonts w:ascii="Times New Roman" w:hAnsi="Times New Roman" w:cs="Times New Roman"/>
          <w:sz w:val="16"/>
          <w:szCs w:val="16"/>
          <w:lang w:bidi="x-none"/>
        </w:rPr>
        <w:t>Ehegatten, auch wenn die Ehe nicht mehr besteht, § 52 I Nr. 2 StPO</w:t>
      </w:r>
    </w:p>
    <w:p w14:paraId="77E61B75" w14:textId="77777777" w:rsidR="009C4D6C" w:rsidRPr="009970EE" w:rsidRDefault="00BF73F9" w:rsidP="00A24D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851" w:hanging="851"/>
        <w:jc w:val="both"/>
        <w:rPr>
          <w:rFonts w:ascii="Times New Roman" w:hAnsi="Times New Roman" w:cs="Times New Roman"/>
          <w:sz w:val="16"/>
          <w:szCs w:val="16"/>
          <w:lang w:bidi="x-none"/>
        </w:rPr>
      </w:pPr>
      <w:r w:rsidRPr="009970EE">
        <w:rPr>
          <w:rFonts w:ascii="Times New Roman" w:hAnsi="Times New Roman" w:cs="Times New Roman"/>
          <w:sz w:val="16"/>
          <w:szCs w:val="16"/>
          <w:lang w:bidi="x-none"/>
        </w:rPr>
        <w:t xml:space="preserve">– </w:t>
      </w:r>
      <w:r w:rsidR="00A24DB9" w:rsidRPr="009970EE">
        <w:rPr>
          <w:rFonts w:ascii="Times New Roman" w:hAnsi="Times New Roman" w:cs="Times New Roman"/>
          <w:sz w:val="16"/>
          <w:szCs w:val="16"/>
          <w:lang w:bidi="x-none"/>
        </w:rPr>
        <w:t xml:space="preserve">    </w:t>
      </w:r>
      <w:r w:rsidR="009C4D6C" w:rsidRPr="009970EE">
        <w:rPr>
          <w:rFonts w:ascii="Times New Roman" w:hAnsi="Times New Roman" w:cs="Times New Roman"/>
          <w:sz w:val="16"/>
          <w:szCs w:val="16"/>
          <w:lang w:bidi="x-none"/>
        </w:rPr>
        <w:t>Gleichgeschlechtliche Lebenspartner, auch wenn die Lebenspartnerschaft nicht mehr besteht, § 52 I Nr. 2a StPO</w:t>
      </w:r>
    </w:p>
    <w:p w14:paraId="51B85C0D" w14:textId="1D3375A8" w:rsidR="009C4D6C" w:rsidRPr="009970EE" w:rsidRDefault="009C4D6C" w:rsidP="00A24D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84" w:hanging="284"/>
        <w:jc w:val="both"/>
        <w:rPr>
          <w:rFonts w:ascii="Times New Roman" w:hAnsi="Times New Roman" w:cs="Times New Roman"/>
          <w:sz w:val="16"/>
          <w:szCs w:val="16"/>
          <w:lang w:bidi="x-none"/>
        </w:rPr>
      </w:pPr>
      <w:r w:rsidRPr="009970EE">
        <w:rPr>
          <w:rFonts w:ascii="Times New Roman" w:hAnsi="Times New Roman" w:cs="Times New Roman"/>
          <w:sz w:val="16"/>
          <w:szCs w:val="16"/>
          <w:lang w:bidi="x-none"/>
        </w:rPr>
        <w:t xml:space="preserve">– </w:t>
      </w:r>
      <w:r w:rsidRPr="009970EE">
        <w:rPr>
          <w:rFonts w:ascii="Times New Roman" w:hAnsi="Times New Roman" w:cs="Times New Roman"/>
          <w:sz w:val="16"/>
          <w:szCs w:val="16"/>
          <w:lang w:bidi="x-none"/>
        </w:rPr>
        <w:tab/>
        <w:t>Personen, die mit dem Beschuldigten in gerader Linie verwandt oder verschwägert, in der Seitenlinie bis zum dritten Grad verwandt oder bis zum zweiten Grad verschwägert sind oder waren, § 52 I Nr. 3 StPO</w:t>
      </w:r>
      <w:r w:rsidR="00CF4A5B" w:rsidRPr="009970EE">
        <w:rPr>
          <w:rFonts w:ascii="Times New Roman" w:hAnsi="Times New Roman" w:cs="Times New Roman"/>
          <w:sz w:val="16"/>
          <w:szCs w:val="16"/>
          <w:lang w:bidi="x-none"/>
        </w:rPr>
        <w:t xml:space="preserve">; </w:t>
      </w:r>
      <w:r w:rsidR="00CF4A5B" w:rsidRPr="009970EE">
        <w:rPr>
          <w:rFonts w:ascii="Times New Roman" w:hAnsi="Times New Roman" w:cs="Times New Roman"/>
          <w:b/>
          <w:sz w:val="16"/>
          <w:szCs w:val="16"/>
          <w:lang w:bidi="x-none"/>
        </w:rPr>
        <w:t>b</w:t>
      </w:r>
      <w:r w:rsidRPr="009970EE">
        <w:rPr>
          <w:rFonts w:ascii="Times New Roman" w:hAnsi="Times New Roman" w:cs="Times New Roman"/>
          <w:b/>
          <w:sz w:val="16"/>
          <w:szCs w:val="16"/>
          <w:lang w:bidi="x-none"/>
        </w:rPr>
        <w:t>eachte</w:t>
      </w:r>
      <w:r w:rsidRPr="009970EE">
        <w:rPr>
          <w:rFonts w:ascii="Times New Roman" w:hAnsi="Times New Roman" w:cs="Times New Roman"/>
          <w:sz w:val="16"/>
          <w:szCs w:val="16"/>
          <w:lang w:bidi="x-none"/>
        </w:rPr>
        <w:t xml:space="preserve">: Enge </w:t>
      </w:r>
      <w:r w:rsidRPr="009970EE">
        <w:rPr>
          <w:rFonts w:ascii="Times New Roman" w:hAnsi="Times New Roman" w:cs="Times New Roman"/>
          <w:sz w:val="16"/>
          <w:szCs w:val="16"/>
          <w:u w:val="single"/>
          <w:lang w:bidi="x-none"/>
        </w:rPr>
        <w:t>Freunde</w:t>
      </w:r>
      <w:r w:rsidRPr="009970EE">
        <w:rPr>
          <w:rFonts w:ascii="Times New Roman" w:hAnsi="Times New Roman" w:cs="Times New Roman"/>
          <w:sz w:val="16"/>
          <w:szCs w:val="16"/>
          <w:lang w:bidi="x-none"/>
        </w:rPr>
        <w:t xml:space="preserve"> </w:t>
      </w:r>
      <w:r w:rsidR="00D239BF">
        <w:rPr>
          <w:rFonts w:ascii="Times New Roman" w:hAnsi="Times New Roman" w:cs="Times New Roman"/>
          <w:sz w:val="16"/>
          <w:szCs w:val="16"/>
          <w:lang w:bidi="x-none"/>
        </w:rPr>
        <w:t xml:space="preserve">sind </w:t>
      </w:r>
      <w:r w:rsidRPr="009970EE">
        <w:rPr>
          <w:rFonts w:ascii="Times New Roman" w:hAnsi="Times New Roman" w:cs="Times New Roman"/>
          <w:sz w:val="16"/>
          <w:szCs w:val="16"/>
          <w:lang w:bidi="x-none"/>
        </w:rPr>
        <w:t>nicht zeugnisverweigerungsberechtigt, obgleich hier</w:t>
      </w:r>
      <w:r w:rsidR="00871625">
        <w:rPr>
          <w:rFonts w:ascii="Times New Roman" w:hAnsi="Times New Roman" w:cs="Times New Roman"/>
          <w:sz w:val="16"/>
          <w:szCs w:val="16"/>
          <w:lang w:bidi="x-none"/>
        </w:rPr>
        <w:t xml:space="preserve"> eine</w:t>
      </w:r>
      <w:r w:rsidRPr="009970EE">
        <w:rPr>
          <w:rFonts w:ascii="Times New Roman" w:hAnsi="Times New Roman" w:cs="Times New Roman"/>
          <w:sz w:val="16"/>
          <w:szCs w:val="16"/>
          <w:lang w:bidi="x-none"/>
        </w:rPr>
        <w:t xml:space="preserve"> ähnlich</w:t>
      </w:r>
      <w:r w:rsidR="00871625">
        <w:rPr>
          <w:rFonts w:ascii="Times New Roman" w:hAnsi="Times New Roman" w:cs="Times New Roman"/>
          <w:sz w:val="16"/>
          <w:szCs w:val="16"/>
          <w:lang w:bidi="x-none"/>
        </w:rPr>
        <w:t xml:space="preserve">e Zwangslage </w:t>
      </w:r>
      <w:r w:rsidR="008C345A">
        <w:rPr>
          <w:rFonts w:ascii="Times New Roman" w:hAnsi="Times New Roman" w:cs="Times New Roman"/>
          <w:sz w:val="16"/>
          <w:szCs w:val="16"/>
          <w:lang w:bidi="x-none"/>
        </w:rPr>
        <w:t>bestehen kann</w:t>
      </w:r>
      <w:r w:rsidR="00871625">
        <w:rPr>
          <w:rFonts w:ascii="Times New Roman" w:hAnsi="Times New Roman" w:cs="Times New Roman"/>
          <w:sz w:val="16"/>
          <w:szCs w:val="16"/>
          <w:lang w:bidi="x-none"/>
        </w:rPr>
        <w:t>.</w:t>
      </w:r>
    </w:p>
    <w:p w14:paraId="28B04500" w14:textId="29B32954" w:rsidR="009C4D6C" w:rsidRPr="009970EE" w:rsidRDefault="009C4D6C" w:rsidP="00A24DB9">
      <w:p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ind w:left="289" w:hanging="289"/>
        <w:jc w:val="both"/>
        <w:rPr>
          <w:rFonts w:ascii="Times New Roman" w:hAnsi="Times New Roman"/>
          <w:spacing w:val="-2"/>
          <w:sz w:val="16"/>
          <w:szCs w:val="16"/>
        </w:rPr>
      </w:pPr>
      <w:r w:rsidRPr="009970EE">
        <w:rPr>
          <w:rFonts w:ascii="Times New Roman" w:hAnsi="Times New Roman" w:cs="Times New Roman"/>
          <w:sz w:val="16"/>
          <w:szCs w:val="16"/>
          <w:lang w:bidi="x-none"/>
        </w:rPr>
        <w:t xml:space="preserve">b) </w:t>
      </w:r>
      <w:r w:rsidRPr="009970EE">
        <w:rPr>
          <w:rFonts w:ascii="Times New Roman" w:hAnsi="Times New Roman" w:cs="Times New Roman"/>
          <w:sz w:val="16"/>
          <w:szCs w:val="16"/>
          <w:lang w:bidi="x-none"/>
        </w:rPr>
        <w:tab/>
      </w:r>
      <w:r w:rsidRPr="009970EE">
        <w:rPr>
          <w:rFonts w:ascii="Times New Roman" w:hAnsi="Times New Roman" w:cs="Times New Roman"/>
          <w:sz w:val="16"/>
          <w:szCs w:val="16"/>
          <w:u w:val="single"/>
          <w:lang w:bidi="x-none"/>
        </w:rPr>
        <w:t>Problematik bei mehreren Beschuldigten</w:t>
      </w:r>
      <w:r w:rsidR="00CF4A5B" w:rsidRPr="009970EE">
        <w:rPr>
          <w:rFonts w:ascii="Times New Roman" w:hAnsi="Times New Roman" w:cs="Times New Roman"/>
          <w:sz w:val="16"/>
          <w:szCs w:val="16"/>
          <w:lang w:bidi="x-none"/>
        </w:rPr>
        <w:t>,</w:t>
      </w:r>
      <w:r w:rsidRPr="009970EE">
        <w:rPr>
          <w:rFonts w:ascii="Times New Roman" w:hAnsi="Times New Roman" w:cs="Times New Roman"/>
          <w:sz w:val="16"/>
          <w:szCs w:val="16"/>
          <w:lang w:bidi="x-none"/>
        </w:rPr>
        <w:t xml:space="preserve"> wenn das Angehörigenverhältnis des Zeugen nur zu </w:t>
      </w:r>
      <w:r w:rsidRPr="009970EE">
        <w:rPr>
          <w:rFonts w:ascii="Times New Roman" w:hAnsi="Times New Roman" w:cs="Times New Roman"/>
          <w:b/>
          <w:sz w:val="16"/>
          <w:szCs w:val="16"/>
          <w:lang w:bidi="x-none"/>
        </w:rPr>
        <w:t>einem</w:t>
      </w:r>
      <w:r w:rsidRPr="009970EE">
        <w:rPr>
          <w:rFonts w:ascii="Times New Roman" w:hAnsi="Times New Roman" w:cs="Times New Roman"/>
          <w:sz w:val="16"/>
          <w:szCs w:val="16"/>
          <w:lang w:bidi="x-none"/>
        </w:rPr>
        <w:t xml:space="preserve"> Be</w:t>
      </w:r>
      <w:r w:rsidR="00CF4A5B" w:rsidRPr="009970EE">
        <w:rPr>
          <w:rFonts w:ascii="Times New Roman" w:hAnsi="Times New Roman" w:cs="Times New Roman"/>
          <w:sz w:val="16"/>
          <w:szCs w:val="16"/>
          <w:lang w:bidi="x-none"/>
        </w:rPr>
        <w:t>schuldigten/Angeklagten besteht: Hier</w:t>
      </w:r>
      <w:r w:rsidRPr="009970EE">
        <w:rPr>
          <w:rFonts w:ascii="Times New Roman" w:hAnsi="Times New Roman" w:cs="Times New Roman"/>
          <w:sz w:val="16"/>
          <w:szCs w:val="16"/>
          <w:lang w:bidi="x-none"/>
        </w:rPr>
        <w:t xml:space="preserve"> sollte immer die Zielrichtung des § 52 StPO im Auge behalten werden, der Zwangslage und </w:t>
      </w:r>
      <w:r w:rsidR="008E3676">
        <w:rPr>
          <w:rFonts w:ascii="Times New Roman" w:hAnsi="Times New Roman" w:cs="Times New Roman"/>
          <w:sz w:val="16"/>
          <w:szCs w:val="16"/>
          <w:lang w:bidi="x-none"/>
        </w:rPr>
        <w:t>dem</w:t>
      </w:r>
      <w:r w:rsidRPr="009970EE">
        <w:rPr>
          <w:rFonts w:ascii="Times New Roman" w:hAnsi="Times New Roman" w:cs="Times New Roman"/>
          <w:sz w:val="16"/>
          <w:szCs w:val="16"/>
          <w:lang w:bidi="x-none"/>
        </w:rPr>
        <w:t xml:space="preserve"> Familienfrieden Rechnung zu tragen. Daher gil</w:t>
      </w:r>
      <w:r w:rsidR="009543C0">
        <w:rPr>
          <w:rFonts w:ascii="Times New Roman" w:hAnsi="Times New Roman" w:cs="Times New Roman"/>
          <w:sz w:val="16"/>
          <w:szCs w:val="16"/>
          <w:lang w:bidi="x-none"/>
        </w:rPr>
        <w:t xml:space="preserve">t ein </w:t>
      </w:r>
      <w:r w:rsidRPr="009970EE">
        <w:rPr>
          <w:rFonts w:ascii="Times New Roman" w:hAnsi="Times New Roman" w:cs="Times New Roman"/>
          <w:sz w:val="16"/>
          <w:szCs w:val="16"/>
          <w:lang w:bidi="x-none"/>
        </w:rPr>
        <w:t xml:space="preserve">umfassendes Zeugnisverweigerungsrecht bzgl. sämtlicher Beteiligter, auch wenn das Angehörigenverhältnis nur zu einem der Beschuldigten besteht, sofern der </w:t>
      </w:r>
      <w:r w:rsidR="008B33EE" w:rsidRPr="009970EE">
        <w:rPr>
          <w:rFonts w:ascii="Times New Roman" w:hAnsi="Times New Roman" w:cs="Times New Roman"/>
          <w:sz w:val="16"/>
          <w:szCs w:val="16"/>
          <w:lang w:bidi="x-none"/>
        </w:rPr>
        <w:t>S</w:t>
      </w:r>
      <w:r w:rsidR="00817887">
        <w:rPr>
          <w:rFonts w:ascii="Times New Roman" w:hAnsi="Times New Roman" w:cs="Times New Roman"/>
          <w:sz w:val="16"/>
          <w:szCs w:val="16"/>
          <w:lang w:bidi="x-none"/>
        </w:rPr>
        <w:t>achverhalt</w:t>
      </w:r>
      <w:r w:rsidRPr="009970EE">
        <w:rPr>
          <w:rFonts w:ascii="Times New Roman" w:hAnsi="Times New Roman" w:cs="Times New Roman"/>
          <w:sz w:val="16"/>
          <w:szCs w:val="16"/>
          <w:lang w:bidi="x-none"/>
        </w:rPr>
        <w:t xml:space="preserve"> auch den </w:t>
      </w:r>
      <w:proofErr w:type="spellStart"/>
      <w:r w:rsidRPr="009970EE">
        <w:rPr>
          <w:rFonts w:ascii="Times New Roman" w:hAnsi="Times New Roman" w:cs="Times New Roman"/>
          <w:sz w:val="16"/>
          <w:szCs w:val="16"/>
          <w:lang w:bidi="x-none"/>
        </w:rPr>
        <w:t>beschuldigten</w:t>
      </w:r>
      <w:proofErr w:type="spellEnd"/>
      <w:r w:rsidR="00B9203E">
        <w:rPr>
          <w:rFonts w:ascii="Times New Roman" w:hAnsi="Times New Roman" w:cs="Times New Roman"/>
          <w:sz w:val="16"/>
          <w:szCs w:val="16"/>
          <w:lang w:bidi="x-none"/>
        </w:rPr>
        <w:t xml:space="preserve"> </w:t>
      </w:r>
      <w:r w:rsidRPr="009970EE">
        <w:rPr>
          <w:rFonts w:ascii="Times New Roman" w:hAnsi="Times New Roman" w:cs="Times New Roman"/>
          <w:sz w:val="16"/>
          <w:szCs w:val="16"/>
          <w:lang w:bidi="x-none"/>
        </w:rPr>
        <w:t xml:space="preserve">Angehörigen betrifft. Fraglich ist, </w:t>
      </w:r>
      <w:r w:rsidR="00B9203E">
        <w:rPr>
          <w:rFonts w:ascii="Times New Roman" w:hAnsi="Times New Roman" w:cs="Times New Roman"/>
          <w:sz w:val="16"/>
          <w:szCs w:val="16"/>
          <w:lang w:bidi="x-none"/>
        </w:rPr>
        <w:t>was</w:t>
      </w:r>
      <w:r w:rsidRPr="009970EE">
        <w:rPr>
          <w:rFonts w:ascii="Times New Roman" w:hAnsi="Times New Roman" w:cs="Times New Roman"/>
          <w:sz w:val="16"/>
          <w:szCs w:val="16"/>
          <w:lang w:bidi="x-none"/>
        </w:rPr>
        <w:t xml:space="preserve"> gilt, wenn das Verfahren abgetrennt und/oder gegen den Angehörigen eingestellt </w:t>
      </w:r>
      <w:r w:rsidR="00EC2C40">
        <w:rPr>
          <w:rFonts w:ascii="Times New Roman" w:hAnsi="Times New Roman" w:cs="Times New Roman"/>
          <w:sz w:val="16"/>
          <w:szCs w:val="16"/>
          <w:lang w:bidi="x-none"/>
        </w:rPr>
        <w:t xml:space="preserve">wird </w:t>
      </w:r>
      <w:r w:rsidRPr="009970EE">
        <w:rPr>
          <w:rFonts w:ascii="Times New Roman" w:hAnsi="Times New Roman" w:cs="Times New Roman"/>
          <w:sz w:val="16"/>
          <w:szCs w:val="16"/>
          <w:lang w:bidi="x-none"/>
        </w:rPr>
        <w:t xml:space="preserve">oder dieser bereits verurteilt wurde. Nach </w:t>
      </w:r>
      <w:proofErr w:type="spellStart"/>
      <w:r w:rsidRPr="009970EE">
        <w:rPr>
          <w:rFonts w:ascii="Times New Roman" w:hAnsi="Times New Roman" w:cs="Times New Roman"/>
          <w:sz w:val="16"/>
          <w:szCs w:val="16"/>
          <w:lang w:bidi="x-none"/>
        </w:rPr>
        <w:t>t</w:t>
      </w:r>
      <w:r w:rsidR="004A7CA2" w:rsidRPr="009970EE">
        <w:rPr>
          <w:rFonts w:ascii="Times New Roman" w:hAnsi="Times New Roman" w:cs="Times New Roman"/>
          <w:sz w:val="16"/>
          <w:szCs w:val="16"/>
          <w:lang w:bidi="x-none"/>
        </w:rPr>
        <w:t>.</w:t>
      </w:r>
      <w:r w:rsidRPr="009970EE">
        <w:rPr>
          <w:rFonts w:ascii="Times New Roman" w:hAnsi="Times New Roman" w:cs="Times New Roman"/>
          <w:sz w:val="16"/>
          <w:szCs w:val="16"/>
          <w:lang w:bidi="x-none"/>
        </w:rPr>
        <w:t>v</w:t>
      </w:r>
      <w:r w:rsidR="004A7CA2" w:rsidRPr="009970EE">
        <w:rPr>
          <w:rFonts w:ascii="Times New Roman" w:hAnsi="Times New Roman" w:cs="Times New Roman"/>
          <w:sz w:val="16"/>
          <w:szCs w:val="16"/>
          <w:lang w:bidi="x-none"/>
        </w:rPr>
        <w:t>.</w:t>
      </w:r>
      <w:r w:rsidRPr="009970EE">
        <w:rPr>
          <w:rFonts w:ascii="Times New Roman" w:hAnsi="Times New Roman" w:cs="Times New Roman"/>
          <w:sz w:val="16"/>
          <w:szCs w:val="16"/>
          <w:lang w:bidi="x-none"/>
        </w:rPr>
        <w:t>A</w:t>
      </w:r>
      <w:proofErr w:type="spellEnd"/>
      <w:r w:rsidR="004A7CA2" w:rsidRPr="009970EE">
        <w:rPr>
          <w:rFonts w:ascii="Times New Roman" w:hAnsi="Times New Roman" w:cs="Times New Roman"/>
          <w:sz w:val="16"/>
          <w:szCs w:val="16"/>
          <w:lang w:bidi="x-none"/>
        </w:rPr>
        <w:t>.</w:t>
      </w:r>
      <w:r w:rsidRPr="009970EE">
        <w:rPr>
          <w:rFonts w:ascii="Times New Roman" w:hAnsi="Times New Roman" w:cs="Times New Roman"/>
          <w:sz w:val="16"/>
          <w:szCs w:val="16"/>
          <w:lang w:bidi="x-none"/>
        </w:rPr>
        <w:t xml:space="preserve"> soll </w:t>
      </w:r>
      <w:proofErr w:type="spellStart"/>
      <w:r w:rsidR="00EC2C40">
        <w:rPr>
          <w:rFonts w:ascii="Times New Roman" w:hAnsi="Times New Roman" w:cs="Times New Roman"/>
          <w:sz w:val="16"/>
          <w:szCs w:val="16"/>
          <w:lang w:bidi="x-none"/>
        </w:rPr>
        <w:t>i.H.a</w:t>
      </w:r>
      <w:proofErr w:type="spellEnd"/>
      <w:r w:rsidR="00EC2C40">
        <w:rPr>
          <w:rFonts w:ascii="Times New Roman" w:hAnsi="Times New Roman" w:cs="Times New Roman"/>
          <w:sz w:val="16"/>
          <w:szCs w:val="16"/>
          <w:lang w:bidi="x-none"/>
        </w:rPr>
        <w:t>.</w:t>
      </w:r>
      <w:r w:rsidRPr="009970EE">
        <w:rPr>
          <w:rFonts w:ascii="Times New Roman" w:hAnsi="Times New Roman" w:cs="Times New Roman"/>
          <w:sz w:val="16"/>
          <w:szCs w:val="16"/>
          <w:lang w:bidi="x-none"/>
        </w:rPr>
        <w:t xml:space="preserve"> die Intention des § 52 StPO das Zeugnisverweigerungsrecht bestehen bleiben</w:t>
      </w:r>
      <w:r w:rsidR="006C4DDD">
        <w:rPr>
          <w:rFonts w:ascii="Times New Roman" w:hAnsi="Times New Roman" w:cs="Times New Roman"/>
          <w:sz w:val="16"/>
          <w:szCs w:val="16"/>
          <w:lang w:bidi="x-none"/>
        </w:rPr>
        <w:t>. Nach</w:t>
      </w:r>
      <w:r w:rsidRPr="009970EE">
        <w:rPr>
          <w:rFonts w:ascii="Times New Roman" w:hAnsi="Times New Roman" w:cs="Times New Roman"/>
          <w:sz w:val="16"/>
          <w:szCs w:val="16"/>
          <w:lang w:bidi="x-none"/>
        </w:rPr>
        <w:t xml:space="preserve"> </w:t>
      </w:r>
      <w:proofErr w:type="spellStart"/>
      <w:r w:rsidRPr="009970EE">
        <w:rPr>
          <w:rFonts w:ascii="Times New Roman" w:hAnsi="Times New Roman" w:cs="Times New Roman"/>
          <w:sz w:val="16"/>
          <w:szCs w:val="16"/>
          <w:lang w:bidi="x-none"/>
        </w:rPr>
        <w:t>a.A</w:t>
      </w:r>
      <w:proofErr w:type="spellEnd"/>
      <w:r w:rsidRPr="009970EE">
        <w:rPr>
          <w:rFonts w:ascii="Times New Roman" w:hAnsi="Times New Roman" w:cs="Times New Roman"/>
          <w:sz w:val="16"/>
          <w:szCs w:val="16"/>
          <w:lang w:bidi="x-none"/>
        </w:rPr>
        <w:t>.</w:t>
      </w:r>
      <w:r w:rsidR="006C4DDD">
        <w:rPr>
          <w:rFonts w:ascii="Times New Roman" w:hAnsi="Times New Roman" w:cs="Times New Roman"/>
          <w:sz w:val="16"/>
          <w:szCs w:val="16"/>
          <w:lang w:bidi="x-none"/>
        </w:rPr>
        <w:t xml:space="preserve"> des BGH erlischt das Zeugnisverweigerungsrecht</w:t>
      </w:r>
      <w:r w:rsidR="008C345A">
        <w:rPr>
          <w:rFonts w:ascii="Times New Roman" w:hAnsi="Times New Roman" w:cs="Times New Roman"/>
          <w:sz w:val="16"/>
          <w:szCs w:val="16"/>
          <w:lang w:bidi="x-none"/>
        </w:rPr>
        <w:t xml:space="preserve"> (BGHSt 38, 96; 54, 1)</w:t>
      </w:r>
      <w:r w:rsidR="006C4DDD">
        <w:rPr>
          <w:rFonts w:ascii="Times New Roman" w:hAnsi="Times New Roman" w:cs="Times New Roman"/>
          <w:sz w:val="16"/>
          <w:szCs w:val="16"/>
          <w:lang w:bidi="x-none"/>
        </w:rPr>
        <w:t xml:space="preserve">. </w:t>
      </w:r>
      <w:r w:rsidR="00B710B2" w:rsidRPr="009970EE">
        <w:rPr>
          <w:rFonts w:ascii="Times New Roman" w:hAnsi="Times New Roman" w:cs="Times New Roman"/>
          <w:sz w:val="16"/>
          <w:szCs w:val="16"/>
          <w:lang w:bidi="x-none"/>
        </w:rPr>
        <w:t xml:space="preserve">Das Gleiche muss </w:t>
      </w:r>
      <w:r w:rsidR="007A683A">
        <w:rPr>
          <w:rFonts w:ascii="Times New Roman" w:hAnsi="Times New Roman" w:cs="Times New Roman"/>
          <w:sz w:val="16"/>
          <w:szCs w:val="16"/>
          <w:lang w:bidi="x-none"/>
        </w:rPr>
        <w:t>bei</w:t>
      </w:r>
      <w:r w:rsidR="00B710B2" w:rsidRPr="009970EE">
        <w:rPr>
          <w:rFonts w:ascii="Times New Roman" w:hAnsi="Times New Roman" w:cs="Times New Roman"/>
          <w:sz w:val="16"/>
          <w:szCs w:val="16"/>
          <w:lang w:bidi="x-none"/>
        </w:rPr>
        <w:t xml:space="preserve"> Tod des Angehörigen gelten.</w:t>
      </w:r>
    </w:p>
    <w:p w14:paraId="0D53E885" w14:textId="58959D62" w:rsidR="009C4D6C" w:rsidRPr="009970EE" w:rsidRDefault="009C4D6C" w:rsidP="00A24DB9">
      <w:pPr>
        <w:tabs>
          <w:tab w:val="left" w:pos="-720"/>
          <w:tab w:val="left" w:pos="567"/>
          <w:tab w:val="left" w:pos="851"/>
        </w:tabs>
        <w:ind w:left="284" w:hanging="284"/>
        <w:jc w:val="both"/>
        <w:outlineLvl w:val="0"/>
        <w:rPr>
          <w:rFonts w:ascii="Times New Roman" w:hAnsi="Times New Roman"/>
          <w:spacing w:val="-2"/>
          <w:sz w:val="16"/>
          <w:szCs w:val="16"/>
        </w:rPr>
      </w:pPr>
      <w:r w:rsidRPr="009970EE">
        <w:rPr>
          <w:rFonts w:ascii="Times New Roman" w:hAnsi="Times New Roman"/>
          <w:spacing w:val="-2"/>
          <w:sz w:val="16"/>
          <w:szCs w:val="16"/>
          <w:u w:val="single"/>
        </w:rPr>
        <w:t xml:space="preserve">2. </w:t>
      </w:r>
      <w:r w:rsidRPr="009970EE">
        <w:rPr>
          <w:rFonts w:ascii="Times New Roman" w:hAnsi="Times New Roman"/>
          <w:spacing w:val="-2"/>
          <w:sz w:val="16"/>
          <w:szCs w:val="16"/>
          <w:u w:val="single"/>
        </w:rPr>
        <w:tab/>
        <w:t>Berufsgeheimnisträger</w:t>
      </w:r>
      <w:r w:rsidRPr="009970EE">
        <w:rPr>
          <w:rFonts w:ascii="Times New Roman" w:hAnsi="Times New Roman"/>
          <w:spacing w:val="-2"/>
          <w:sz w:val="16"/>
          <w:szCs w:val="16"/>
        </w:rPr>
        <w:t>: §</w:t>
      </w:r>
      <w:r w:rsidR="00D239BF">
        <w:rPr>
          <w:rFonts w:ascii="Times New Roman" w:hAnsi="Times New Roman"/>
          <w:spacing w:val="-2"/>
          <w:sz w:val="16"/>
          <w:szCs w:val="16"/>
        </w:rPr>
        <w:t> </w:t>
      </w:r>
      <w:r w:rsidRPr="009970EE">
        <w:rPr>
          <w:rFonts w:ascii="Times New Roman" w:hAnsi="Times New Roman"/>
          <w:spacing w:val="-2"/>
          <w:sz w:val="16"/>
          <w:szCs w:val="16"/>
        </w:rPr>
        <w:t>53 StPO enthält eine Aufzählung der zeugnisverweiger</w:t>
      </w:r>
      <w:r w:rsidR="00E268F7" w:rsidRPr="009970EE">
        <w:rPr>
          <w:rFonts w:ascii="Times New Roman" w:hAnsi="Times New Roman"/>
          <w:spacing w:val="-2"/>
          <w:sz w:val="16"/>
          <w:szCs w:val="16"/>
        </w:rPr>
        <w:t>ungsberechtigten Berufsgruppen</w:t>
      </w:r>
      <w:r w:rsidRPr="009970EE">
        <w:rPr>
          <w:rFonts w:ascii="Times New Roman" w:hAnsi="Times New Roman"/>
          <w:spacing w:val="-2"/>
          <w:sz w:val="16"/>
          <w:szCs w:val="16"/>
        </w:rPr>
        <w:t>:</w:t>
      </w:r>
    </w:p>
    <w:p w14:paraId="670BEFC9" w14:textId="77777777" w:rsidR="009C4D6C" w:rsidRPr="009970EE" w:rsidRDefault="009C4D6C" w:rsidP="00A24DB9">
      <w:pPr>
        <w:tabs>
          <w:tab w:val="left" w:pos="560"/>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ind w:left="284" w:hanging="284"/>
        <w:jc w:val="both"/>
        <w:rPr>
          <w:rFonts w:ascii="Times New Roman" w:hAnsi="Times New Roman" w:cs="Times New Roman"/>
          <w:sz w:val="16"/>
          <w:szCs w:val="16"/>
          <w:lang w:bidi="x-none"/>
        </w:rPr>
      </w:pPr>
      <w:r w:rsidRPr="009970EE">
        <w:rPr>
          <w:rFonts w:ascii="Times New Roman" w:hAnsi="Times New Roman"/>
          <w:spacing w:val="-2"/>
          <w:sz w:val="16"/>
          <w:szCs w:val="16"/>
        </w:rPr>
        <w:t xml:space="preserve">– </w:t>
      </w:r>
      <w:r w:rsidRPr="009970EE">
        <w:rPr>
          <w:rFonts w:ascii="Times New Roman" w:hAnsi="Times New Roman"/>
          <w:spacing w:val="-2"/>
          <w:sz w:val="16"/>
          <w:szCs w:val="16"/>
        </w:rPr>
        <w:tab/>
      </w:r>
      <w:r w:rsidRPr="009970EE">
        <w:rPr>
          <w:rFonts w:ascii="Times New Roman" w:hAnsi="Times New Roman" w:cs="Times New Roman"/>
          <w:sz w:val="16"/>
          <w:szCs w:val="16"/>
          <w:lang w:bidi="x-none"/>
        </w:rPr>
        <w:t>Geistliche über das, was ihnen in ihrer Eigenschaft als Seelsorger anvertraut worden oder bekanntgeworden ist, § 53 I 1 Nr. 1 StPO</w:t>
      </w:r>
    </w:p>
    <w:p w14:paraId="4FFAD812" w14:textId="7EC3997B" w:rsidR="009C4D6C" w:rsidRPr="009970EE" w:rsidRDefault="009C4D6C" w:rsidP="00A24DB9">
      <w:pPr>
        <w:tabs>
          <w:tab w:val="left" w:pos="560"/>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ind w:left="284" w:hanging="284"/>
        <w:jc w:val="both"/>
        <w:rPr>
          <w:rFonts w:ascii="Times New Roman" w:hAnsi="Times New Roman" w:cs="Times New Roman"/>
          <w:sz w:val="16"/>
          <w:szCs w:val="16"/>
          <w:lang w:bidi="x-none"/>
        </w:rPr>
      </w:pPr>
      <w:r w:rsidRPr="009970EE">
        <w:rPr>
          <w:rFonts w:ascii="Times New Roman" w:hAnsi="Times New Roman" w:cs="Times New Roman"/>
          <w:sz w:val="16"/>
          <w:szCs w:val="16"/>
          <w:lang w:bidi="x-none"/>
        </w:rPr>
        <w:t xml:space="preserve">– </w:t>
      </w:r>
      <w:r w:rsidRPr="009970EE">
        <w:rPr>
          <w:rFonts w:ascii="Times New Roman" w:hAnsi="Times New Roman" w:cs="Times New Roman"/>
          <w:sz w:val="16"/>
          <w:szCs w:val="16"/>
          <w:lang w:bidi="x-none"/>
        </w:rPr>
        <w:tab/>
        <w:t>Verteidiger des Beschuldigten über das, was ihnen in dieser Eigenschaft anvertraut worden oder bekanntgeworden ist, § 53 I 1 Nr. 2 StPO</w:t>
      </w:r>
      <w:r w:rsidR="00960F3C" w:rsidRPr="009970EE">
        <w:rPr>
          <w:rFonts w:ascii="Times New Roman" w:hAnsi="Times New Roman" w:cs="Times New Roman"/>
          <w:sz w:val="16"/>
          <w:szCs w:val="16"/>
          <w:lang w:bidi="x-none"/>
        </w:rPr>
        <w:t>, wenn sie nicht von der Schweigepflicht e</w:t>
      </w:r>
      <w:r w:rsidR="007C459D" w:rsidRPr="009970EE">
        <w:rPr>
          <w:rFonts w:ascii="Times New Roman" w:hAnsi="Times New Roman" w:cs="Times New Roman"/>
          <w:sz w:val="16"/>
          <w:szCs w:val="16"/>
          <w:lang w:bidi="x-none"/>
        </w:rPr>
        <w:t>ntbunden wurden, §</w:t>
      </w:r>
      <w:r w:rsidR="00D239BF">
        <w:rPr>
          <w:rFonts w:ascii="Times New Roman" w:hAnsi="Times New Roman" w:cs="Times New Roman"/>
          <w:sz w:val="16"/>
          <w:szCs w:val="16"/>
          <w:lang w:bidi="x-none"/>
        </w:rPr>
        <w:t> </w:t>
      </w:r>
      <w:r w:rsidR="007C459D" w:rsidRPr="009970EE">
        <w:rPr>
          <w:rFonts w:ascii="Times New Roman" w:hAnsi="Times New Roman" w:cs="Times New Roman"/>
          <w:sz w:val="16"/>
          <w:szCs w:val="16"/>
          <w:lang w:bidi="x-none"/>
        </w:rPr>
        <w:t>53 II 1 StPO</w:t>
      </w:r>
    </w:p>
    <w:p w14:paraId="65401383" w14:textId="7CAA1665" w:rsidR="000D40F4" w:rsidRPr="009970EE" w:rsidRDefault="009C4D6C" w:rsidP="00A24DB9">
      <w:p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ind w:left="284" w:hanging="284"/>
        <w:jc w:val="both"/>
        <w:rPr>
          <w:rFonts w:ascii="Times New Roman" w:hAnsi="Times New Roman" w:cs="Times New Roman"/>
          <w:sz w:val="16"/>
          <w:szCs w:val="16"/>
          <w:lang w:bidi="x-none"/>
        </w:rPr>
      </w:pPr>
      <w:r w:rsidRPr="009970EE">
        <w:rPr>
          <w:rFonts w:ascii="Times New Roman" w:hAnsi="Times New Roman" w:cs="Times New Roman"/>
          <w:sz w:val="16"/>
          <w:szCs w:val="16"/>
          <w:lang w:bidi="x-none"/>
        </w:rPr>
        <w:t xml:space="preserve">– </w:t>
      </w:r>
      <w:r w:rsidRPr="009970EE">
        <w:rPr>
          <w:rFonts w:ascii="Times New Roman" w:hAnsi="Times New Roman" w:cs="Times New Roman"/>
          <w:sz w:val="16"/>
          <w:szCs w:val="16"/>
          <w:lang w:bidi="x-none"/>
        </w:rPr>
        <w:tab/>
        <w:t>Rechtsanwälte</w:t>
      </w:r>
      <w:r w:rsidR="006E2F8B" w:rsidRPr="009970EE">
        <w:rPr>
          <w:rFonts w:ascii="Times New Roman" w:hAnsi="Times New Roman" w:cs="Times New Roman"/>
          <w:sz w:val="16"/>
          <w:szCs w:val="16"/>
          <w:lang w:bidi="x-none"/>
        </w:rPr>
        <w:t xml:space="preserve"> und Kammerrechtsbeistände</w:t>
      </w:r>
      <w:r w:rsidRPr="009970EE">
        <w:rPr>
          <w:rFonts w:ascii="Times New Roman" w:hAnsi="Times New Roman" w:cs="Times New Roman"/>
          <w:sz w:val="16"/>
          <w:szCs w:val="16"/>
          <w:lang w:bidi="x-none"/>
        </w:rPr>
        <w:t xml:space="preserve">, Patentanwälte, Notare, Wirtschaftsprüfer, vereidigte Buchprüfer, Steuerberater und Steuerbevollmächtigte, Ärzte, Zahnärzte, </w:t>
      </w:r>
      <w:r w:rsidR="00732D1A" w:rsidRPr="009970EE">
        <w:rPr>
          <w:rFonts w:ascii="Times New Roman" w:hAnsi="Times New Roman" w:cs="Times New Roman"/>
          <w:sz w:val="16"/>
          <w:szCs w:val="16"/>
          <w:lang w:bidi="x-none"/>
        </w:rPr>
        <w:t xml:space="preserve">Psychotherapeuten, </w:t>
      </w:r>
      <w:r w:rsidRPr="009970EE">
        <w:rPr>
          <w:rFonts w:ascii="Times New Roman" w:hAnsi="Times New Roman" w:cs="Times New Roman"/>
          <w:sz w:val="16"/>
          <w:szCs w:val="16"/>
          <w:lang w:bidi="x-none"/>
        </w:rPr>
        <w:t xml:space="preserve">Psychologische Psychotherapeuten, Kinder- und </w:t>
      </w:r>
      <w:proofErr w:type="spellStart"/>
      <w:r w:rsidRPr="009970EE">
        <w:rPr>
          <w:rFonts w:ascii="Times New Roman" w:hAnsi="Times New Roman" w:cs="Times New Roman"/>
          <w:sz w:val="16"/>
          <w:szCs w:val="16"/>
          <w:lang w:bidi="x-none"/>
        </w:rPr>
        <w:t>Jugendlichenpsychotherapeuten</w:t>
      </w:r>
      <w:proofErr w:type="spellEnd"/>
      <w:r w:rsidRPr="009970EE">
        <w:rPr>
          <w:rFonts w:ascii="Times New Roman" w:hAnsi="Times New Roman" w:cs="Times New Roman"/>
          <w:sz w:val="16"/>
          <w:szCs w:val="16"/>
          <w:lang w:bidi="x-none"/>
        </w:rPr>
        <w:t>, Apotheker und Hebammen über das, was ihnen in dieser Eigenschaft anvertraut worden oder bekanntgeworden ist</w:t>
      </w:r>
      <w:r w:rsidR="000D40F4" w:rsidRPr="009970EE">
        <w:rPr>
          <w:rFonts w:ascii="Times New Roman" w:hAnsi="Times New Roman" w:cs="Times New Roman"/>
          <w:sz w:val="16"/>
          <w:szCs w:val="16"/>
          <w:lang w:bidi="x-none"/>
        </w:rPr>
        <w:t xml:space="preserve">; für Syndikusrechtsanwälte und </w:t>
      </w:r>
      <w:proofErr w:type="spellStart"/>
      <w:r w:rsidR="000D40F4" w:rsidRPr="009970EE">
        <w:rPr>
          <w:rFonts w:ascii="Times New Roman" w:hAnsi="Times New Roman" w:cs="Times New Roman"/>
          <w:sz w:val="16"/>
          <w:szCs w:val="16"/>
          <w:lang w:bidi="x-none"/>
        </w:rPr>
        <w:t>Syndikuspatentanwälte</w:t>
      </w:r>
      <w:proofErr w:type="spellEnd"/>
      <w:r w:rsidR="000D40F4" w:rsidRPr="009970EE">
        <w:rPr>
          <w:rFonts w:ascii="Times New Roman" w:hAnsi="Times New Roman" w:cs="Times New Roman"/>
          <w:sz w:val="16"/>
          <w:szCs w:val="16"/>
          <w:lang w:bidi="x-none"/>
        </w:rPr>
        <w:t xml:space="preserve"> gilt dies vorbehaltlich des §</w:t>
      </w:r>
      <w:r w:rsidR="00D239BF">
        <w:rPr>
          <w:rFonts w:ascii="Times New Roman" w:hAnsi="Times New Roman" w:cs="Times New Roman"/>
          <w:sz w:val="16"/>
          <w:szCs w:val="16"/>
          <w:lang w:bidi="x-none"/>
        </w:rPr>
        <w:t> </w:t>
      </w:r>
      <w:r w:rsidR="000D40F4" w:rsidRPr="009970EE">
        <w:rPr>
          <w:rFonts w:ascii="Times New Roman" w:hAnsi="Times New Roman" w:cs="Times New Roman"/>
          <w:sz w:val="16"/>
          <w:szCs w:val="16"/>
          <w:lang w:bidi="x-none"/>
        </w:rPr>
        <w:t>53a StPO nicht hinsichtlich dessen, was ihnen in dieser Eigenschaft anvertraut worden oder bekanntgeworden ist</w:t>
      </w:r>
      <w:r w:rsidRPr="009970EE">
        <w:rPr>
          <w:rFonts w:ascii="Times New Roman" w:hAnsi="Times New Roman" w:cs="Times New Roman"/>
          <w:sz w:val="16"/>
          <w:szCs w:val="16"/>
          <w:lang w:bidi="x-none"/>
        </w:rPr>
        <w:t>, § 53 I 1 Nr. 3 StPO</w:t>
      </w:r>
      <w:r w:rsidR="000D40F4" w:rsidRPr="009970EE">
        <w:rPr>
          <w:rFonts w:ascii="Times New Roman" w:hAnsi="Times New Roman" w:cs="Times New Roman"/>
          <w:sz w:val="16"/>
          <w:szCs w:val="16"/>
          <w:lang w:bidi="x-none"/>
        </w:rPr>
        <w:t>. Die in §</w:t>
      </w:r>
      <w:r w:rsidR="00D239BF">
        <w:rPr>
          <w:rFonts w:ascii="Times New Roman" w:hAnsi="Times New Roman" w:cs="Times New Roman"/>
          <w:sz w:val="16"/>
          <w:szCs w:val="16"/>
          <w:lang w:bidi="x-none"/>
        </w:rPr>
        <w:t> </w:t>
      </w:r>
      <w:r w:rsidR="000D40F4" w:rsidRPr="009970EE">
        <w:rPr>
          <w:rFonts w:ascii="Times New Roman" w:hAnsi="Times New Roman" w:cs="Times New Roman"/>
          <w:sz w:val="16"/>
          <w:szCs w:val="16"/>
          <w:lang w:bidi="x-none"/>
        </w:rPr>
        <w:t xml:space="preserve">53 I </w:t>
      </w:r>
      <w:r w:rsidR="00D239BF">
        <w:rPr>
          <w:rFonts w:ascii="Times New Roman" w:hAnsi="Times New Roman" w:cs="Times New Roman"/>
          <w:sz w:val="16"/>
          <w:szCs w:val="16"/>
          <w:lang w:bidi="x-none"/>
        </w:rPr>
        <w:t xml:space="preserve">1 </w:t>
      </w:r>
      <w:r w:rsidR="000D40F4" w:rsidRPr="009970EE">
        <w:rPr>
          <w:rFonts w:ascii="Times New Roman" w:hAnsi="Times New Roman" w:cs="Times New Roman"/>
          <w:sz w:val="16"/>
          <w:szCs w:val="16"/>
          <w:lang w:bidi="x-none"/>
        </w:rPr>
        <w:t xml:space="preserve">Nr. 3 </w:t>
      </w:r>
      <w:proofErr w:type="gramStart"/>
      <w:r w:rsidR="000D40F4" w:rsidRPr="009970EE">
        <w:rPr>
          <w:rFonts w:ascii="Times New Roman" w:hAnsi="Times New Roman" w:cs="Times New Roman"/>
          <w:sz w:val="16"/>
          <w:szCs w:val="16"/>
          <w:lang w:bidi="x-none"/>
        </w:rPr>
        <w:t>StPO Genannten</w:t>
      </w:r>
      <w:proofErr w:type="gramEnd"/>
      <w:r w:rsidR="000D40F4" w:rsidRPr="009970EE">
        <w:rPr>
          <w:rFonts w:ascii="Times New Roman" w:hAnsi="Times New Roman" w:cs="Times New Roman"/>
          <w:sz w:val="16"/>
          <w:szCs w:val="16"/>
          <w:lang w:bidi="x-none"/>
        </w:rPr>
        <w:t xml:space="preserve"> dürfen das Zeugnis nicht verweigern, wenn sie von der </w:t>
      </w:r>
      <w:r w:rsidR="00225CD7">
        <w:rPr>
          <w:rFonts w:ascii="Times New Roman" w:hAnsi="Times New Roman" w:cs="Times New Roman"/>
          <w:sz w:val="16"/>
          <w:szCs w:val="16"/>
          <w:lang w:bidi="x-none"/>
        </w:rPr>
        <w:t xml:space="preserve">Schweigepflicht </w:t>
      </w:r>
      <w:r w:rsidR="000D40F4" w:rsidRPr="009970EE">
        <w:rPr>
          <w:rFonts w:ascii="Times New Roman" w:hAnsi="Times New Roman" w:cs="Times New Roman"/>
          <w:sz w:val="16"/>
          <w:szCs w:val="16"/>
          <w:lang w:bidi="x-none"/>
        </w:rPr>
        <w:t>entbunden sind, §</w:t>
      </w:r>
      <w:r w:rsidR="00E804D3">
        <w:rPr>
          <w:rFonts w:ascii="Times New Roman" w:hAnsi="Times New Roman" w:cs="Times New Roman"/>
          <w:sz w:val="16"/>
          <w:szCs w:val="16"/>
          <w:lang w:bidi="x-none"/>
        </w:rPr>
        <w:t> </w:t>
      </w:r>
      <w:r w:rsidR="000D40F4" w:rsidRPr="009970EE">
        <w:rPr>
          <w:rFonts w:ascii="Times New Roman" w:hAnsi="Times New Roman" w:cs="Times New Roman"/>
          <w:sz w:val="16"/>
          <w:szCs w:val="16"/>
          <w:lang w:bidi="x-none"/>
        </w:rPr>
        <w:t>53 II 1 StPO.</w:t>
      </w:r>
    </w:p>
    <w:p w14:paraId="663974C9" w14:textId="4441E4CD" w:rsidR="009C4D6C" w:rsidRPr="009970EE" w:rsidRDefault="009C4D6C" w:rsidP="00A24DB9">
      <w:pPr>
        <w:tabs>
          <w:tab w:val="left" w:pos="560"/>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ind w:left="284" w:hanging="284"/>
        <w:jc w:val="both"/>
        <w:rPr>
          <w:rFonts w:ascii="Times New Roman" w:hAnsi="Times New Roman" w:cs="Times New Roman"/>
          <w:sz w:val="16"/>
          <w:szCs w:val="16"/>
          <w:lang w:bidi="x-none"/>
        </w:rPr>
      </w:pPr>
      <w:r w:rsidRPr="009970EE">
        <w:rPr>
          <w:rFonts w:ascii="Times New Roman" w:hAnsi="Times New Roman" w:cs="Times New Roman"/>
          <w:sz w:val="16"/>
          <w:szCs w:val="16"/>
          <w:lang w:bidi="x-none"/>
        </w:rPr>
        <w:t xml:space="preserve">– </w:t>
      </w:r>
      <w:r w:rsidRPr="009970EE">
        <w:rPr>
          <w:rFonts w:ascii="Times New Roman" w:hAnsi="Times New Roman" w:cs="Times New Roman"/>
          <w:sz w:val="16"/>
          <w:szCs w:val="16"/>
          <w:lang w:bidi="x-none"/>
        </w:rPr>
        <w:tab/>
        <w:t>Mitglieder oder Beauftragte einer anerkannten Beratungsstelle nach den §§</w:t>
      </w:r>
      <w:r w:rsidR="00D239BF">
        <w:rPr>
          <w:rFonts w:ascii="Times New Roman" w:hAnsi="Times New Roman" w:cs="Times New Roman"/>
          <w:sz w:val="16"/>
          <w:szCs w:val="16"/>
          <w:lang w:bidi="x-none"/>
        </w:rPr>
        <w:t> </w:t>
      </w:r>
      <w:r w:rsidRPr="009970EE">
        <w:rPr>
          <w:rFonts w:ascii="Times New Roman" w:hAnsi="Times New Roman" w:cs="Times New Roman"/>
          <w:sz w:val="16"/>
          <w:szCs w:val="16"/>
          <w:lang w:bidi="x-none"/>
        </w:rPr>
        <w:t xml:space="preserve">3 und 8 des </w:t>
      </w:r>
      <w:proofErr w:type="spellStart"/>
      <w:r w:rsidRPr="009970EE">
        <w:rPr>
          <w:rFonts w:ascii="Times New Roman" w:hAnsi="Times New Roman" w:cs="Times New Roman"/>
          <w:sz w:val="16"/>
          <w:szCs w:val="16"/>
          <w:lang w:bidi="x-none"/>
        </w:rPr>
        <w:t>Schwangerschaftskonflikt</w:t>
      </w:r>
      <w:r w:rsidR="00E804D3">
        <w:rPr>
          <w:rFonts w:ascii="Times New Roman" w:hAnsi="Times New Roman" w:cs="Times New Roman"/>
          <w:sz w:val="16"/>
          <w:szCs w:val="16"/>
          <w:lang w:bidi="x-none"/>
        </w:rPr>
        <w:t>G</w:t>
      </w:r>
      <w:proofErr w:type="spellEnd"/>
      <w:r w:rsidRPr="009970EE">
        <w:rPr>
          <w:rFonts w:ascii="Times New Roman" w:hAnsi="Times New Roman" w:cs="Times New Roman"/>
          <w:sz w:val="16"/>
          <w:szCs w:val="16"/>
          <w:lang w:bidi="x-none"/>
        </w:rPr>
        <w:t xml:space="preserve"> über das, was ihnen in dieser Eigenschaft anvertraut worden oder bekanntgeworden ist, § 53 I 1 Nr. 3a StPO</w:t>
      </w:r>
      <w:r w:rsidR="00D239BF">
        <w:rPr>
          <w:rFonts w:ascii="Times New Roman" w:hAnsi="Times New Roman" w:cs="Times New Roman"/>
          <w:sz w:val="16"/>
          <w:szCs w:val="16"/>
          <w:lang w:bidi="x-none"/>
        </w:rPr>
        <w:t xml:space="preserve">; </w:t>
      </w:r>
      <w:r w:rsidR="00003C5F">
        <w:rPr>
          <w:rFonts w:ascii="Times New Roman" w:hAnsi="Times New Roman" w:cs="Times New Roman"/>
          <w:sz w:val="16"/>
          <w:szCs w:val="16"/>
          <w:lang w:bidi="x-none"/>
        </w:rPr>
        <w:t xml:space="preserve">Ausnahme: Entbindung </w:t>
      </w:r>
      <w:r w:rsidR="00960F3C" w:rsidRPr="009970EE">
        <w:rPr>
          <w:rFonts w:ascii="Times New Roman" w:hAnsi="Times New Roman" w:cs="Times New Roman"/>
          <w:sz w:val="16"/>
          <w:szCs w:val="16"/>
          <w:lang w:bidi="x-none"/>
        </w:rPr>
        <w:t>von der Schweigepflicht</w:t>
      </w:r>
      <w:r w:rsidR="00003C5F">
        <w:rPr>
          <w:rFonts w:ascii="Times New Roman" w:hAnsi="Times New Roman" w:cs="Times New Roman"/>
          <w:sz w:val="16"/>
          <w:szCs w:val="16"/>
          <w:lang w:bidi="x-none"/>
        </w:rPr>
        <w:t xml:space="preserve">, </w:t>
      </w:r>
      <w:r w:rsidR="00960F3C" w:rsidRPr="009970EE">
        <w:rPr>
          <w:rFonts w:ascii="Times New Roman" w:hAnsi="Times New Roman" w:cs="Times New Roman"/>
          <w:sz w:val="16"/>
          <w:szCs w:val="16"/>
          <w:lang w:bidi="x-none"/>
        </w:rPr>
        <w:t>§</w:t>
      </w:r>
      <w:r w:rsidR="00D239BF">
        <w:rPr>
          <w:rFonts w:ascii="Times New Roman" w:hAnsi="Times New Roman" w:cs="Times New Roman"/>
          <w:sz w:val="16"/>
          <w:szCs w:val="16"/>
          <w:lang w:bidi="x-none"/>
        </w:rPr>
        <w:t> </w:t>
      </w:r>
      <w:r w:rsidR="00960F3C" w:rsidRPr="009970EE">
        <w:rPr>
          <w:rFonts w:ascii="Times New Roman" w:hAnsi="Times New Roman" w:cs="Times New Roman"/>
          <w:sz w:val="16"/>
          <w:szCs w:val="16"/>
          <w:lang w:bidi="x-none"/>
        </w:rPr>
        <w:t>53 II 1 StPO.</w:t>
      </w:r>
    </w:p>
    <w:p w14:paraId="454227F3" w14:textId="0C40B516" w:rsidR="009C4D6C" w:rsidRPr="009970EE" w:rsidRDefault="009C4D6C" w:rsidP="00A24DB9">
      <w:pPr>
        <w:tabs>
          <w:tab w:val="left" w:pos="567"/>
          <w:tab w:val="left" w:pos="851"/>
          <w:tab w:val="left" w:pos="1680"/>
          <w:tab w:val="left" w:pos="2240"/>
          <w:tab w:val="left" w:pos="2800"/>
          <w:tab w:val="left" w:pos="3360"/>
          <w:tab w:val="left" w:pos="3920"/>
          <w:tab w:val="left" w:pos="4480"/>
          <w:tab w:val="left" w:pos="5040"/>
          <w:tab w:val="left" w:pos="5600"/>
          <w:tab w:val="left" w:pos="6160"/>
          <w:tab w:val="left" w:pos="6720"/>
        </w:tabs>
        <w:ind w:left="284" w:hanging="284"/>
        <w:jc w:val="both"/>
        <w:rPr>
          <w:rFonts w:ascii="Times New Roman" w:hAnsi="Times New Roman" w:cs="Times New Roman"/>
          <w:sz w:val="16"/>
          <w:szCs w:val="16"/>
          <w:lang w:bidi="x-none"/>
        </w:rPr>
      </w:pPr>
      <w:r w:rsidRPr="009970EE">
        <w:rPr>
          <w:rFonts w:ascii="Times New Roman" w:hAnsi="Times New Roman" w:cs="Times New Roman"/>
          <w:sz w:val="16"/>
          <w:szCs w:val="16"/>
          <w:lang w:bidi="x-none"/>
        </w:rPr>
        <w:t xml:space="preserve">– </w:t>
      </w:r>
      <w:r w:rsidRPr="009970EE">
        <w:rPr>
          <w:rFonts w:ascii="Times New Roman" w:hAnsi="Times New Roman" w:cs="Times New Roman"/>
          <w:sz w:val="16"/>
          <w:szCs w:val="16"/>
          <w:lang w:bidi="x-none"/>
        </w:rPr>
        <w:tab/>
        <w:t xml:space="preserve">Berater für Fragen der </w:t>
      </w:r>
      <w:proofErr w:type="spellStart"/>
      <w:r w:rsidR="001B2B23">
        <w:rPr>
          <w:rFonts w:ascii="Times New Roman" w:hAnsi="Times New Roman" w:cs="Times New Roman"/>
          <w:sz w:val="16"/>
          <w:szCs w:val="16"/>
          <w:lang w:bidi="x-none"/>
        </w:rPr>
        <w:t>Btm</w:t>
      </w:r>
      <w:proofErr w:type="spellEnd"/>
      <w:r w:rsidR="001B2B23">
        <w:rPr>
          <w:rFonts w:ascii="Times New Roman" w:hAnsi="Times New Roman" w:cs="Times New Roman"/>
          <w:sz w:val="16"/>
          <w:szCs w:val="16"/>
          <w:lang w:bidi="x-none"/>
        </w:rPr>
        <w:t>-A</w:t>
      </w:r>
      <w:r w:rsidRPr="009970EE">
        <w:rPr>
          <w:rFonts w:ascii="Times New Roman" w:hAnsi="Times New Roman" w:cs="Times New Roman"/>
          <w:sz w:val="16"/>
          <w:szCs w:val="16"/>
          <w:lang w:bidi="x-none"/>
        </w:rPr>
        <w:t>bhängigkeit in einer Beratungsstelle, die eine Behörde oder eine Körperschaft, Anstalt oder Stiftung des öffentlichen Rechts anerkannt oder bei sich eingerichtet hat, über das, was ihnen in dieser Eigenschaft anvertraut worden oder bekanntgeworden ist, § 53 I 1 Nr. 3b StPO</w:t>
      </w:r>
      <w:r w:rsidR="00960F3C" w:rsidRPr="009970EE">
        <w:rPr>
          <w:rFonts w:ascii="Times New Roman" w:hAnsi="Times New Roman" w:cs="Times New Roman"/>
          <w:sz w:val="16"/>
          <w:szCs w:val="16"/>
          <w:lang w:bidi="x-none"/>
        </w:rPr>
        <w:t>, wenn sie nicht von der Schweigepflicht entbunden wurden, §</w:t>
      </w:r>
      <w:r w:rsidR="00D239BF">
        <w:rPr>
          <w:rFonts w:ascii="Times New Roman" w:hAnsi="Times New Roman" w:cs="Times New Roman"/>
          <w:sz w:val="16"/>
          <w:szCs w:val="16"/>
          <w:lang w:bidi="x-none"/>
        </w:rPr>
        <w:t> </w:t>
      </w:r>
      <w:r w:rsidR="00960F3C" w:rsidRPr="009970EE">
        <w:rPr>
          <w:rFonts w:ascii="Times New Roman" w:hAnsi="Times New Roman" w:cs="Times New Roman"/>
          <w:sz w:val="16"/>
          <w:szCs w:val="16"/>
          <w:lang w:bidi="x-none"/>
        </w:rPr>
        <w:t>53 II 1 StPO.</w:t>
      </w:r>
    </w:p>
    <w:p w14:paraId="16036275" w14:textId="77777777" w:rsidR="009C4D6C" w:rsidRPr="009970EE" w:rsidRDefault="009C4D6C" w:rsidP="00A24DB9">
      <w:pPr>
        <w:tabs>
          <w:tab w:val="left" w:pos="560"/>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ind w:left="284" w:hanging="284"/>
        <w:jc w:val="both"/>
        <w:rPr>
          <w:rFonts w:ascii="Times New Roman" w:hAnsi="Times New Roman" w:cs="Times New Roman"/>
          <w:sz w:val="16"/>
          <w:szCs w:val="16"/>
          <w:lang w:bidi="x-none"/>
        </w:rPr>
      </w:pPr>
      <w:r w:rsidRPr="009970EE">
        <w:rPr>
          <w:rFonts w:ascii="Times New Roman" w:hAnsi="Times New Roman" w:cs="Times New Roman"/>
          <w:sz w:val="16"/>
          <w:szCs w:val="16"/>
          <w:lang w:bidi="x-none"/>
        </w:rPr>
        <w:t xml:space="preserve">– </w:t>
      </w:r>
      <w:r w:rsidRPr="009970EE">
        <w:rPr>
          <w:rFonts w:ascii="Times New Roman" w:hAnsi="Times New Roman" w:cs="Times New Roman"/>
          <w:sz w:val="16"/>
          <w:szCs w:val="16"/>
          <w:lang w:bidi="x-none"/>
        </w:rPr>
        <w:tab/>
        <w:t xml:space="preserve">Mitglieder des Bundestages, </w:t>
      </w:r>
      <w:r w:rsidR="000D40F4" w:rsidRPr="009970EE">
        <w:rPr>
          <w:rFonts w:ascii="Times New Roman" w:hAnsi="Times New Roman" w:cs="Times New Roman"/>
          <w:sz w:val="16"/>
          <w:szCs w:val="16"/>
          <w:lang w:bidi="x-none"/>
        </w:rPr>
        <w:t xml:space="preserve">der Bundesversammlung, des Europäischen Parlaments oder eines Landtages über Personen, die ihnen in ihrer Eigenschaft als Mitglieder dieser Organe oder denen sie in dieser Eigenschaft Tatsachen anvertraut haben, sowie über diese Tatsachen selbst, </w:t>
      </w:r>
      <w:r w:rsidRPr="009970EE">
        <w:rPr>
          <w:rFonts w:ascii="Times New Roman" w:hAnsi="Times New Roman" w:cs="Times New Roman"/>
          <w:sz w:val="16"/>
          <w:szCs w:val="16"/>
          <w:lang w:bidi="x-none"/>
        </w:rPr>
        <w:t>§ 53 I 1 Nr. 4 StPO</w:t>
      </w:r>
      <w:r w:rsidR="000D40F4" w:rsidRPr="009970EE">
        <w:rPr>
          <w:rFonts w:ascii="Times New Roman" w:hAnsi="Times New Roman" w:cs="Times New Roman"/>
          <w:sz w:val="16"/>
          <w:szCs w:val="16"/>
          <w:lang w:bidi="x-none"/>
        </w:rPr>
        <w:t>.</w:t>
      </w:r>
    </w:p>
    <w:p w14:paraId="1AE4D96E" w14:textId="77777777" w:rsidR="009C4D6C" w:rsidRPr="009970EE" w:rsidRDefault="009C4D6C" w:rsidP="00A24DB9">
      <w:pPr>
        <w:tabs>
          <w:tab w:val="left" w:pos="560"/>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ind w:left="284" w:hanging="284"/>
        <w:jc w:val="both"/>
        <w:rPr>
          <w:rFonts w:ascii="Times New Roman" w:hAnsi="Times New Roman" w:cs="Times New Roman"/>
          <w:sz w:val="16"/>
          <w:szCs w:val="16"/>
          <w:lang w:bidi="x-none"/>
        </w:rPr>
      </w:pPr>
      <w:r w:rsidRPr="009970EE">
        <w:rPr>
          <w:rFonts w:ascii="Times New Roman" w:hAnsi="Times New Roman" w:cs="Times New Roman"/>
          <w:sz w:val="16"/>
          <w:szCs w:val="16"/>
          <w:lang w:bidi="x-none"/>
        </w:rPr>
        <w:t xml:space="preserve">– </w:t>
      </w:r>
      <w:r w:rsidRPr="009970EE">
        <w:rPr>
          <w:rFonts w:ascii="Times New Roman" w:hAnsi="Times New Roman" w:cs="Times New Roman"/>
          <w:sz w:val="16"/>
          <w:szCs w:val="16"/>
          <w:lang w:bidi="x-none"/>
        </w:rPr>
        <w:tab/>
        <w:t>Personen, die bei der Vorbereitung, Herstellung oder Verbreitung von Druckwerken, Rundfunksendungen, Filmberichten oder der Unterrichtung oder Meinungsbildung dienenden Informations- und Kommunikationsdiensten berufsmäßig mitwirken oder mitgewirkt haben, § 53 I 1 Nr. 5 StPO.</w:t>
      </w:r>
    </w:p>
    <w:p w14:paraId="587609E8" w14:textId="118EFB6B" w:rsidR="009C4D6C" w:rsidRPr="009970EE" w:rsidRDefault="009C4D6C" w:rsidP="00A24DB9">
      <w:pPr>
        <w:tabs>
          <w:tab w:val="left" w:pos="567"/>
          <w:tab w:val="left" w:pos="851"/>
          <w:tab w:val="left" w:pos="1116"/>
          <w:tab w:val="left" w:pos="1692"/>
          <w:tab w:val="left" w:pos="2240"/>
          <w:tab w:val="left" w:pos="2800"/>
          <w:tab w:val="left" w:pos="3360"/>
          <w:tab w:val="left" w:pos="3920"/>
          <w:tab w:val="left" w:pos="4480"/>
          <w:tab w:val="left" w:pos="5040"/>
          <w:tab w:val="left" w:pos="5600"/>
          <w:tab w:val="left" w:pos="6160"/>
          <w:tab w:val="left" w:pos="6720"/>
        </w:tabs>
        <w:ind w:left="284" w:hanging="284"/>
        <w:jc w:val="both"/>
        <w:rPr>
          <w:rFonts w:ascii="Times New Roman" w:hAnsi="Times New Roman"/>
          <w:spacing w:val="-2"/>
          <w:sz w:val="16"/>
          <w:szCs w:val="16"/>
        </w:rPr>
      </w:pPr>
      <w:r w:rsidRPr="009970EE">
        <w:rPr>
          <w:rFonts w:ascii="Times New Roman" w:hAnsi="Times New Roman" w:cs="Times New Roman"/>
          <w:sz w:val="16"/>
          <w:szCs w:val="16"/>
          <w:lang w:bidi="x-none"/>
        </w:rPr>
        <w:t xml:space="preserve">– </w:t>
      </w:r>
      <w:r w:rsidRPr="009970EE">
        <w:rPr>
          <w:rFonts w:ascii="Times New Roman" w:hAnsi="Times New Roman" w:cs="Times New Roman"/>
          <w:sz w:val="16"/>
          <w:szCs w:val="16"/>
          <w:lang w:bidi="x-none"/>
        </w:rPr>
        <w:tab/>
        <w:t>Den in §</w:t>
      </w:r>
      <w:r w:rsidR="00D239BF">
        <w:rPr>
          <w:rFonts w:ascii="Times New Roman" w:hAnsi="Times New Roman" w:cs="Times New Roman"/>
          <w:sz w:val="16"/>
          <w:szCs w:val="16"/>
          <w:lang w:bidi="x-none"/>
        </w:rPr>
        <w:t> </w:t>
      </w:r>
      <w:r w:rsidRPr="009970EE">
        <w:rPr>
          <w:rFonts w:ascii="Times New Roman" w:hAnsi="Times New Roman" w:cs="Times New Roman"/>
          <w:sz w:val="16"/>
          <w:szCs w:val="16"/>
          <w:lang w:bidi="x-none"/>
        </w:rPr>
        <w:t xml:space="preserve">53 </w:t>
      </w:r>
      <w:r w:rsidR="000D40F4" w:rsidRPr="009970EE">
        <w:rPr>
          <w:rFonts w:ascii="Times New Roman" w:hAnsi="Times New Roman" w:cs="Times New Roman"/>
          <w:sz w:val="16"/>
          <w:szCs w:val="16"/>
          <w:lang w:bidi="x-none"/>
        </w:rPr>
        <w:t xml:space="preserve">I 1 </w:t>
      </w:r>
      <w:r w:rsidRPr="009970EE">
        <w:rPr>
          <w:rFonts w:ascii="Times New Roman" w:hAnsi="Times New Roman" w:cs="Times New Roman"/>
          <w:sz w:val="16"/>
          <w:szCs w:val="16"/>
          <w:lang w:bidi="x-none"/>
        </w:rPr>
        <w:t>Nr.</w:t>
      </w:r>
      <w:r w:rsidR="00D239BF">
        <w:rPr>
          <w:rFonts w:ascii="Times New Roman" w:hAnsi="Times New Roman" w:cs="Times New Roman"/>
          <w:sz w:val="16"/>
          <w:szCs w:val="16"/>
          <w:lang w:bidi="x-none"/>
        </w:rPr>
        <w:t> </w:t>
      </w:r>
      <w:r w:rsidR="000D40F4" w:rsidRPr="009970EE">
        <w:rPr>
          <w:rFonts w:ascii="Times New Roman" w:hAnsi="Times New Roman" w:cs="Times New Roman"/>
          <w:sz w:val="16"/>
          <w:szCs w:val="16"/>
          <w:lang w:bidi="x-none"/>
        </w:rPr>
        <w:t>1</w:t>
      </w:r>
      <w:r w:rsidR="00D239BF">
        <w:rPr>
          <w:rFonts w:ascii="Times New Roman" w:hAnsi="Times New Roman" w:cs="Times New Roman"/>
          <w:sz w:val="16"/>
          <w:szCs w:val="16"/>
          <w:lang w:bidi="x-none"/>
        </w:rPr>
        <w:t xml:space="preserve"> bis </w:t>
      </w:r>
      <w:r w:rsidR="000D40F4" w:rsidRPr="009970EE">
        <w:rPr>
          <w:rFonts w:ascii="Times New Roman" w:hAnsi="Times New Roman" w:cs="Times New Roman"/>
          <w:sz w:val="16"/>
          <w:szCs w:val="16"/>
          <w:lang w:bidi="x-none"/>
        </w:rPr>
        <w:t xml:space="preserve">4 </w:t>
      </w:r>
      <w:r w:rsidR="00D239BF">
        <w:rPr>
          <w:rFonts w:ascii="Times New Roman" w:hAnsi="Times New Roman" w:cs="Times New Roman"/>
          <w:sz w:val="16"/>
          <w:szCs w:val="16"/>
          <w:lang w:bidi="x-none"/>
        </w:rPr>
        <w:t xml:space="preserve">StPO </w:t>
      </w:r>
      <w:r w:rsidR="000D40F4" w:rsidRPr="009970EE">
        <w:rPr>
          <w:rFonts w:ascii="Times New Roman" w:hAnsi="Times New Roman" w:cs="Times New Roman"/>
          <w:sz w:val="16"/>
          <w:szCs w:val="16"/>
          <w:lang w:bidi="x-none"/>
        </w:rPr>
        <w:t xml:space="preserve">Genannten </w:t>
      </w:r>
      <w:r w:rsidRPr="009970EE">
        <w:rPr>
          <w:rFonts w:ascii="Times New Roman" w:hAnsi="Times New Roman" w:cs="Times New Roman"/>
          <w:sz w:val="16"/>
          <w:szCs w:val="16"/>
          <w:lang w:bidi="x-none"/>
        </w:rPr>
        <w:t xml:space="preserve">stehen </w:t>
      </w:r>
      <w:r w:rsidR="000D40F4" w:rsidRPr="009970EE">
        <w:rPr>
          <w:rFonts w:ascii="Times New Roman" w:hAnsi="Times New Roman" w:cs="Times New Roman"/>
          <w:sz w:val="16"/>
          <w:szCs w:val="16"/>
          <w:lang w:bidi="x-none"/>
        </w:rPr>
        <w:t>die Personen gleich, die im Rahmen eines Vertragsverhältnisses, einer berufsvorbereitenden Tätigkeit oder einer sonstigen Hilfstätigkeit an deren beruflicher Tätigkeit mitwirken</w:t>
      </w:r>
      <w:r w:rsidR="00D64099">
        <w:rPr>
          <w:rFonts w:ascii="Times New Roman" w:hAnsi="Times New Roman" w:cs="Times New Roman"/>
          <w:sz w:val="16"/>
          <w:szCs w:val="16"/>
          <w:lang w:bidi="x-none"/>
        </w:rPr>
        <w:t>, §</w:t>
      </w:r>
      <w:r w:rsidR="005F450C">
        <w:rPr>
          <w:rFonts w:ascii="Times New Roman" w:hAnsi="Times New Roman" w:cs="Times New Roman"/>
          <w:sz w:val="16"/>
          <w:szCs w:val="16"/>
          <w:lang w:bidi="x-none"/>
        </w:rPr>
        <w:t> </w:t>
      </w:r>
      <w:r w:rsidR="00D64099">
        <w:rPr>
          <w:rFonts w:ascii="Times New Roman" w:hAnsi="Times New Roman" w:cs="Times New Roman"/>
          <w:sz w:val="16"/>
          <w:szCs w:val="16"/>
          <w:lang w:bidi="x-none"/>
        </w:rPr>
        <w:t>53a</w:t>
      </w:r>
      <w:r w:rsidR="005F450C">
        <w:rPr>
          <w:rFonts w:ascii="Times New Roman" w:hAnsi="Times New Roman" w:cs="Times New Roman"/>
          <w:sz w:val="16"/>
          <w:szCs w:val="16"/>
          <w:lang w:bidi="x-none"/>
        </w:rPr>
        <w:t> </w:t>
      </w:r>
      <w:r w:rsidR="00D64099">
        <w:rPr>
          <w:rFonts w:ascii="Times New Roman" w:hAnsi="Times New Roman" w:cs="Times New Roman"/>
          <w:sz w:val="16"/>
          <w:szCs w:val="16"/>
          <w:lang w:bidi="x-none"/>
        </w:rPr>
        <w:t>I</w:t>
      </w:r>
      <w:r w:rsidR="005F450C">
        <w:rPr>
          <w:rFonts w:ascii="Times New Roman" w:hAnsi="Times New Roman" w:cs="Times New Roman"/>
          <w:sz w:val="16"/>
          <w:szCs w:val="16"/>
          <w:lang w:bidi="x-none"/>
        </w:rPr>
        <w:t> </w:t>
      </w:r>
      <w:r w:rsidR="00D239BF">
        <w:rPr>
          <w:rFonts w:ascii="Times New Roman" w:hAnsi="Times New Roman" w:cs="Times New Roman"/>
          <w:sz w:val="16"/>
          <w:szCs w:val="16"/>
          <w:lang w:bidi="x-none"/>
        </w:rPr>
        <w:t xml:space="preserve">1 </w:t>
      </w:r>
      <w:r w:rsidR="00D64099">
        <w:rPr>
          <w:rFonts w:ascii="Times New Roman" w:hAnsi="Times New Roman" w:cs="Times New Roman"/>
          <w:sz w:val="16"/>
          <w:szCs w:val="16"/>
          <w:lang w:bidi="x-none"/>
        </w:rPr>
        <w:t>StPO</w:t>
      </w:r>
      <w:r w:rsidR="000D40F4" w:rsidRPr="009970EE">
        <w:rPr>
          <w:rFonts w:ascii="Times New Roman" w:hAnsi="Times New Roman" w:cs="Times New Roman"/>
          <w:sz w:val="16"/>
          <w:szCs w:val="16"/>
          <w:lang w:bidi="x-none"/>
        </w:rPr>
        <w:t xml:space="preserve">. </w:t>
      </w:r>
      <w:r w:rsidRPr="009970EE">
        <w:rPr>
          <w:rFonts w:ascii="Times New Roman" w:hAnsi="Times New Roman" w:cs="Times New Roman"/>
          <w:sz w:val="16"/>
          <w:szCs w:val="16"/>
          <w:lang w:bidi="x-none"/>
        </w:rPr>
        <w:t xml:space="preserve">Über die Ausübung des Rechts </w:t>
      </w:r>
      <w:r w:rsidR="000D40F4" w:rsidRPr="009970EE">
        <w:rPr>
          <w:rFonts w:ascii="Times New Roman" w:hAnsi="Times New Roman" w:cs="Times New Roman"/>
          <w:sz w:val="16"/>
          <w:szCs w:val="16"/>
          <w:lang w:bidi="x-none"/>
        </w:rPr>
        <w:t>dieser Personen</w:t>
      </w:r>
      <w:r w:rsidRPr="009970EE">
        <w:rPr>
          <w:rFonts w:ascii="Times New Roman" w:hAnsi="Times New Roman" w:cs="Times New Roman"/>
          <w:sz w:val="16"/>
          <w:szCs w:val="16"/>
          <w:lang w:bidi="x-none"/>
        </w:rPr>
        <w:t xml:space="preserve">, das Zeugnis zu verweigern, </w:t>
      </w:r>
      <w:r w:rsidR="000D40F4" w:rsidRPr="009970EE">
        <w:rPr>
          <w:rFonts w:ascii="Times New Roman" w:hAnsi="Times New Roman" w:cs="Times New Roman"/>
          <w:sz w:val="16"/>
          <w:szCs w:val="16"/>
          <w:lang w:bidi="x-none"/>
        </w:rPr>
        <w:t>entscheiden die Berufsgeheimnisträger, es sei denn, dass diese Entscheidung in absehbarer Zeit nicht herbeigeführt werden kann.</w:t>
      </w:r>
    </w:p>
    <w:p w14:paraId="4366E4EB" w14:textId="355003B3" w:rsidR="009C4D6C" w:rsidRPr="009970EE" w:rsidRDefault="009C4D6C" w:rsidP="00A24DB9">
      <w:pPr>
        <w:widowControl/>
        <w:tabs>
          <w:tab w:val="left" w:pos="-720"/>
          <w:tab w:val="left" w:pos="1116"/>
          <w:tab w:val="left" w:pos="1404"/>
          <w:tab w:val="left" w:pos="1692"/>
          <w:tab w:val="left" w:pos="1980"/>
          <w:tab w:val="left" w:pos="2268"/>
          <w:tab w:val="left" w:pos="2880"/>
        </w:tabs>
        <w:jc w:val="both"/>
        <w:rPr>
          <w:rFonts w:ascii="Times New Roman" w:hAnsi="Times New Roman"/>
          <w:spacing w:val="-2"/>
          <w:sz w:val="16"/>
          <w:szCs w:val="16"/>
        </w:rPr>
      </w:pPr>
      <w:r w:rsidRPr="009970EE">
        <w:rPr>
          <w:rFonts w:ascii="Times New Roman" w:hAnsi="Times New Roman"/>
          <w:spacing w:val="-2"/>
          <w:sz w:val="16"/>
          <w:szCs w:val="16"/>
        </w:rPr>
        <w:t>Fraglich ist, ob di</w:t>
      </w:r>
      <w:r w:rsidR="006B45A3">
        <w:rPr>
          <w:rFonts w:ascii="Times New Roman" w:hAnsi="Times New Roman"/>
          <w:spacing w:val="-2"/>
          <w:sz w:val="16"/>
          <w:szCs w:val="16"/>
        </w:rPr>
        <w:t>e</w:t>
      </w:r>
      <w:r w:rsidRPr="009970EE">
        <w:rPr>
          <w:rFonts w:ascii="Times New Roman" w:hAnsi="Times New Roman"/>
          <w:spacing w:val="-2"/>
          <w:sz w:val="16"/>
          <w:szCs w:val="16"/>
        </w:rPr>
        <w:t xml:space="preserve"> Aufzählung abschließend ist. </w:t>
      </w:r>
      <w:r w:rsidR="001374FD">
        <w:rPr>
          <w:rFonts w:ascii="Times New Roman" w:hAnsi="Times New Roman"/>
          <w:spacing w:val="-2"/>
          <w:sz w:val="16"/>
          <w:szCs w:val="16"/>
        </w:rPr>
        <w:t xml:space="preserve">Eine </w:t>
      </w:r>
      <w:proofErr w:type="spellStart"/>
      <w:r w:rsidR="001374FD">
        <w:rPr>
          <w:rFonts w:ascii="Times New Roman" w:hAnsi="Times New Roman"/>
          <w:spacing w:val="-2"/>
          <w:sz w:val="16"/>
          <w:szCs w:val="16"/>
        </w:rPr>
        <w:t>t.v.A</w:t>
      </w:r>
      <w:proofErr w:type="spellEnd"/>
      <w:r w:rsidR="001374FD">
        <w:rPr>
          <w:rFonts w:ascii="Times New Roman" w:hAnsi="Times New Roman"/>
          <w:spacing w:val="-2"/>
          <w:sz w:val="16"/>
          <w:szCs w:val="16"/>
        </w:rPr>
        <w:t>.</w:t>
      </w:r>
      <w:r w:rsidRPr="009970EE">
        <w:rPr>
          <w:rFonts w:ascii="Times New Roman" w:hAnsi="Times New Roman"/>
          <w:spacing w:val="-2"/>
          <w:sz w:val="16"/>
          <w:szCs w:val="16"/>
        </w:rPr>
        <w:t xml:space="preserve"> </w:t>
      </w:r>
      <w:r w:rsidR="00BD1CCB">
        <w:rPr>
          <w:rFonts w:ascii="Times New Roman" w:hAnsi="Times New Roman"/>
          <w:spacing w:val="-2"/>
          <w:sz w:val="16"/>
          <w:szCs w:val="16"/>
        </w:rPr>
        <w:t>hat</w:t>
      </w:r>
      <w:r w:rsidRPr="009970EE">
        <w:rPr>
          <w:rFonts w:ascii="Times New Roman" w:hAnsi="Times New Roman"/>
          <w:spacing w:val="-2"/>
          <w:sz w:val="16"/>
          <w:szCs w:val="16"/>
        </w:rPr>
        <w:t xml:space="preserve"> </w:t>
      </w:r>
      <w:r w:rsidR="001374FD">
        <w:rPr>
          <w:rFonts w:ascii="Times New Roman" w:hAnsi="Times New Roman"/>
          <w:spacing w:val="-2"/>
          <w:sz w:val="16"/>
          <w:szCs w:val="16"/>
        </w:rPr>
        <w:t>ein</w:t>
      </w:r>
      <w:r w:rsidRPr="009970EE">
        <w:rPr>
          <w:rFonts w:ascii="Times New Roman" w:hAnsi="Times New Roman"/>
          <w:spacing w:val="-2"/>
          <w:sz w:val="16"/>
          <w:szCs w:val="16"/>
        </w:rPr>
        <w:t xml:space="preserve"> Zeugnisverweigerungsrecht </w:t>
      </w:r>
      <w:r w:rsidR="006B45A3">
        <w:rPr>
          <w:rFonts w:ascii="Times New Roman" w:hAnsi="Times New Roman"/>
          <w:spacing w:val="-2"/>
          <w:sz w:val="16"/>
          <w:szCs w:val="16"/>
        </w:rPr>
        <w:t xml:space="preserve">auch </w:t>
      </w:r>
      <w:r w:rsidRPr="009970EE">
        <w:rPr>
          <w:rFonts w:ascii="Times New Roman" w:hAnsi="Times New Roman"/>
          <w:spacing w:val="-2"/>
          <w:sz w:val="16"/>
          <w:szCs w:val="16"/>
        </w:rPr>
        <w:t>für eine Psychologin in einer Beratungsstelle für sex</w:t>
      </w:r>
      <w:r w:rsidR="00D239BF">
        <w:rPr>
          <w:rFonts w:ascii="Times New Roman" w:hAnsi="Times New Roman"/>
          <w:spacing w:val="-2"/>
          <w:sz w:val="16"/>
          <w:szCs w:val="16"/>
        </w:rPr>
        <w:t>uellen</w:t>
      </w:r>
      <w:r w:rsidRPr="009970EE">
        <w:rPr>
          <w:rFonts w:ascii="Times New Roman" w:hAnsi="Times New Roman"/>
          <w:spacing w:val="-2"/>
          <w:sz w:val="16"/>
          <w:szCs w:val="16"/>
        </w:rPr>
        <w:t xml:space="preserve"> Missbrauch </w:t>
      </w:r>
      <w:r w:rsidR="00703074" w:rsidRPr="009970EE">
        <w:rPr>
          <w:rFonts w:ascii="Times New Roman" w:hAnsi="Times New Roman"/>
          <w:spacing w:val="-2"/>
          <w:sz w:val="16"/>
          <w:szCs w:val="16"/>
        </w:rPr>
        <w:t>an</w:t>
      </w:r>
      <w:r w:rsidR="00703074">
        <w:rPr>
          <w:rFonts w:ascii="Times New Roman" w:hAnsi="Times New Roman"/>
          <w:spacing w:val="-2"/>
          <w:sz w:val="16"/>
          <w:szCs w:val="16"/>
        </w:rPr>
        <w:t xml:space="preserve">genommen </w:t>
      </w:r>
      <w:r w:rsidRPr="009970EE">
        <w:rPr>
          <w:rFonts w:ascii="Times New Roman" w:hAnsi="Times New Roman"/>
          <w:spacing w:val="-2"/>
          <w:sz w:val="16"/>
          <w:szCs w:val="16"/>
        </w:rPr>
        <w:t xml:space="preserve">(LG Freiburg NJW 1997, 813), </w:t>
      </w:r>
      <w:r w:rsidR="00BD1CCB">
        <w:rPr>
          <w:rFonts w:ascii="Times New Roman" w:hAnsi="Times New Roman"/>
          <w:spacing w:val="-2"/>
          <w:sz w:val="16"/>
          <w:szCs w:val="16"/>
        </w:rPr>
        <w:t xml:space="preserve">eine </w:t>
      </w:r>
      <w:proofErr w:type="spellStart"/>
      <w:r w:rsidR="00BD1CCB">
        <w:rPr>
          <w:rFonts w:ascii="Times New Roman" w:hAnsi="Times New Roman"/>
          <w:spacing w:val="-2"/>
          <w:sz w:val="16"/>
          <w:szCs w:val="16"/>
        </w:rPr>
        <w:t>a.A</w:t>
      </w:r>
      <w:proofErr w:type="spellEnd"/>
      <w:r w:rsidR="00BD1CCB">
        <w:rPr>
          <w:rFonts w:ascii="Times New Roman" w:hAnsi="Times New Roman"/>
          <w:spacing w:val="-2"/>
          <w:sz w:val="16"/>
          <w:szCs w:val="16"/>
        </w:rPr>
        <w:t>.</w:t>
      </w:r>
      <w:r w:rsidRPr="009970EE">
        <w:rPr>
          <w:rFonts w:ascii="Times New Roman" w:hAnsi="Times New Roman"/>
          <w:spacing w:val="-2"/>
          <w:sz w:val="16"/>
          <w:szCs w:val="16"/>
        </w:rPr>
        <w:t xml:space="preserve"> </w:t>
      </w:r>
      <w:r w:rsidR="00703074">
        <w:rPr>
          <w:rFonts w:ascii="Times New Roman" w:hAnsi="Times New Roman"/>
          <w:spacing w:val="-2"/>
          <w:sz w:val="16"/>
          <w:szCs w:val="16"/>
        </w:rPr>
        <w:t>hat es hingegen</w:t>
      </w:r>
      <w:r w:rsidR="00BD1CCB">
        <w:rPr>
          <w:rFonts w:ascii="Times New Roman" w:hAnsi="Times New Roman"/>
          <w:spacing w:val="-2"/>
          <w:sz w:val="16"/>
          <w:szCs w:val="16"/>
        </w:rPr>
        <w:t xml:space="preserve"> </w:t>
      </w:r>
      <w:r w:rsidRPr="009970EE">
        <w:rPr>
          <w:rFonts w:ascii="Times New Roman" w:hAnsi="Times New Roman"/>
          <w:spacing w:val="-2"/>
          <w:sz w:val="16"/>
          <w:szCs w:val="16"/>
        </w:rPr>
        <w:t xml:space="preserve">für Mitarbeiter einer „Babyklappe“ </w:t>
      </w:r>
      <w:r w:rsidR="00703074">
        <w:rPr>
          <w:rFonts w:ascii="Times New Roman" w:hAnsi="Times New Roman"/>
          <w:spacing w:val="-2"/>
          <w:sz w:val="16"/>
          <w:szCs w:val="16"/>
        </w:rPr>
        <w:t xml:space="preserve">abgelehnt </w:t>
      </w:r>
      <w:r w:rsidRPr="009970EE">
        <w:rPr>
          <w:rFonts w:ascii="Times New Roman" w:hAnsi="Times New Roman"/>
          <w:spacing w:val="-2"/>
          <w:sz w:val="16"/>
          <w:szCs w:val="16"/>
        </w:rPr>
        <w:t>(LG Köln JR 2002, 171).</w:t>
      </w:r>
    </w:p>
    <w:p w14:paraId="5D68EAD4" w14:textId="77777777" w:rsidR="009C4D6C" w:rsidRPr="009970EE" w:rsidRDefault="009C4D6C" w:rsidP="00A24DB9">
      <w:pPr>
        <w:widowControl/>
        <w:tabs>
          <w:tab w:val="left" w:pos="-720"/>
          <w:tab w:val="left" w:pos="288"/>
          <w:tab w:val="left" w:pos="567"/>
          <w:tab w:val="left" w:pos="864"/>
          <w:tab w:val="left" w:pos="1116"/>
          <w:tab w:val="left" w:pos="1404"/>
          <w:tab w:val="left" w:pos="1692"/>
          <w:tab w:val="left" w:pos="1980"/>
          <w:tab w:val="left" w:pos="2268"/>
          <w:tab w:val="left" w:pos="2880"/>
        </w:tabs>
        <w:ind w:left="284" w:hanging="284"/>
        <w:jc w:val="both"/>
        <w:outlineLvl w:val="0"/>
        <w:rPr>
          <w:rFonts w:ascii="Times New Roman" w:hAnsi="Times New Roman"/>
          <w:spacing w:val="-2"/>
          <w:sz w:val="16"/>
          <w:szCs w:val="16"/>
        </w:rPr>
      </w:pPr>
      <w:r w:rsidRPr="009970EE">
        <w:rPr>
          <w:rFonts w:ascii="Times New Roman" w:hAnsi="Times New Roman"/>
          <w:spacing w:val="-2"/>
          <w:sz w:val="16"/>
          <w:szCs w:val="16"/>
          <w:u w:val="single"/>
        </w:rPr>
        <w:t xml:space="preserve">3. </w:t>
      </w:r>
      <w:r w:rsidRPr="009970EE">
        <w:rPr>
          <w:rFonts w:ascii="Times New Roman" w:hAnsi="Times New Roman"/>
          <w:spacing w:val="-2"/>
          <w:sz w:val="16"/>
          <w:szCs w:val="16"/>
          <w:u w:val="single"/>
        </w:rPr>
        <w:tab/>
        <w:t>Umfang</w:t>
      </w:r>
      <w:r w:rsidRPr="009970EE">
        <w:rPr>
          <w:rFonts w:ascii="Times New Roman" w:hAnsi="Times New Roman"/>
          <w:spacing w:val="-2"/>
          <w:sz w:val="16"/>
          <w:szCs w:val="16"/>
        </w:rPr>
        <w:t xml:space="preserve">: Das Zeugnisverweigerungsrecht nach den §§ 52 ff. StPO gewährt </w:t>
      </w:r>
      <w:proofErr w:type="spellStart"/>
      <w:r w:rsidRPr="009970EE">
        <w:rPr>
          <w:rFonts w:ascii="Times New Roman" w:hAnsi="Times New Roman"/>
          <w:spacing w:val="-2"/>
          <w:sz w:val="16"/>
          <w:szCs w:val="16"/>
        </w:rPr>
        <w:t>grds</w:t>
      </w:r>
      <w:proofErr w:type="spellEnd"/>
      <w:r w:rsidRPr="009970EE">
        <w:rPr>
          <w:rFonts w:ascii="Times New Roman" w:hAnsi="Times New Roman"/>
          <w:spacing w:val="-2"/>
          <w:sz w:val="16"/>
          <w:szCs w:val="16"/>
        </w:rPr>
        <w:t>. ein umfassendes Schweigerecht hinsichtlich der gesamten historischen Tat.</w:t>
      </w:r>
    </w:p>
    <w:p w14:paraId="1D05B098" w14:textId="77777777" w:rsidR="009C4D6C" w:rsidRPr="009970EE" w:rsidRDefault="009C4D6C" w:rsidP="00A24DB9">
      <w:pPr>
        <w:widowControl/>
        <w:tabs>
          <w:tab w:val="left" w:pos="-720"/>
          <w:tab w:val="left" w:pos="288"/>
          <w:tab w:val="left" w:pos="567"/>
          <w:tab w:val="left" w:pos="864"/>
          <w:tab w:val="left" w:pos="1116"/>
          <w:tab w:val="left" w:pos="1404"/>
          <w:tab w:val="left" w:pos="1692"/>
          <w:tab w:val="left" w:pos="1980"/>
          <w:tab w:val="left" w:pos="2268"/>
          <w:tab w:val="left" w:pos="2880"/>
        </w:tabs>
        <w:ind w:hanging="567"/>
        <w:jc w:val="both"/>
        <w:rPr>
          <w:rFonts w:ascii="Times New Roman" w:hAnsi="Times New Roman"/>
          <w:spacing w:val="-2"/>
          <w:sz w:val="16"/>
          <w:szCs w:val="16"/>
        </w:rPr>
      </w:pPr>
      <w:r w:rsidRPr="009970EE">
        <w:rPr>
          <w:rFonts w:ascii="Times New Roman" w:hAnsi="Times New Roman"/>
          <w:b/>
          <w:spacing w:val="-2"/>
          <w:sz w:val="16"/>
          <w:szCs w:val="16"/>
        </w:rPr>
        <w:tab/>
      </w:r>
      <w:r w:rsidRPr="009970EE">
        <w:rPr>
          <w:rFonts w:ascii="Times New Roman" w:hAnsi="Times New Roman"/>
          <w:spacing w:val="-2"/>
          <w:sz w:val="16"/>
          <w:szCs w:val="16"/>
          <w:u w:val="single"/>
        </w:rPr>
        <w:t>Beachte ferner</w:t>
      </w:r>
      <w:r w:rsidRPr="009970EE">
        <w:rPr>
          <w:rFonts w:ascii="Times New Roman" w:hAnsi="Times New Roman"/>
          <w:spacing w:val="-2"/>
          <w:sz w:val="16"/>
          <w:szCs w:val="16"/>
        </w:rPr>
        <w:t>: Über § 76 StPO gilt auch für Sachverständige ein Gutachtenverweigerungsrecht in den Fällen der §§ 52 ff. StPO.</w:t>
      </w:r>
    </w:p>
    <w:p w14:paraId="7E546812" w14:textId="06207939" w:rsidR="009C4D6C" w:rsidRPr="00654481" w:rsidRDefault="009C4D6C" w:rsidP="00654481">
      <w:pPr>
        <w:widowControl/>
        <w:tabs>
          <w:tab w:val="left" w:pos="-720"/>
          <w:tab w:val="left" w:pos="288"/>
          <w:tab w:val="left" w:pos="567"/>
          <w:tab w:val="left" w:pos="864"/>
          <w:tab w:val="left" w:pos="1116"/>
          <w:tab w:val="left" w:pos="1404"/>
          <w:tab w:val="left" w:pos="1692"/>
          <w:tab w:val="left" w:pos="1980"/>
          <w:tab w:val="left" w:pos="2268"/>
          <w:tab w:val="left" w:pos="2880"/>
        </w:tabs>
        <w:jc w:val="both"/>
        <w:rPr>
          <w:rFonts w:ascii="Times New Roman" w:hAnsi="Times New Roman" w:cs="Times New Roman"/>
          <w:sz w:val="16"/>
          <w:szCs w:val="16"/>
          <w:lang w:bidi="x-none"/>
        </w:rPr>
      </w:pPr>
      <w:r w:rsidRPr="009970EE">
        <w:rPr>
          <w:rFonts w:ascii="Times New Roman" w:hAnsi="Times New Roman"/>
          <w:b/>
          <w:spacing w:val="-2"/>
          <w:sz w:val="16"/>
          <w:szCs w:val="16"/>
        </w:rPr>
        <w:t>III. Aussageverweigerungsrechte:</w:t>
      </w:r>
      <w:r w:rsidR="00D239BF">
        <w:rPr>
          <w:rFonts w:ascii="Times New Roman" w:hAnsi="Times New Roman" w:cs="Times New Roman"/>
          <w:sz w:val="16"/>
          <w:szCs w:val="16"/>
          <w:lang w:bidi="x-none"/>
        </w:rPr>
        <w:t xml:space="preserve"> </w:t>
      </w:r>
      <w:r w:rsidRPr="009970EE">
        <w:rPr>
          <w:rFonts w:ascii="Times New Roman" w:hAnsi="Times New Roman" w:cs="Times New Roman"/>
          <w:sz w:val="16"/>
          <w:szCs w:val="16"/>
          <w:lang w:bidi="x-none"/>
        </w:rPr>
        <w:t>Gem</w:t>
      </w:r>
      <w:r w:rsidR="0023359A">
        <w:rPr>
          <w:rFonts w:ascii="Times New Roman" w:hAnsi="Times New Roman" w:cs="Times New Roman"/>
          <w:sz w:val="16"/>
          <w:szCs w:val="16"/>
          <w:lang w:bidi="x-none"/>
        </w:rPr>
        <w:t>.</w:t>
      </w:r>
      <w:r w:rsidRPr="009970EE">
        <w:rPr>
          <w:rFonts w:ascii="Times New Roman" w:hAnsi="Times New Roman" w:cs="Times New Roman"/>
          <w:sz w:val="16"/>
          <w:szCs w:val="16"/>
          <w:lang w:bidi="x-none"/>
        </w:rPr>
        <w:t xml:space="preserve"> § 55 StPO besteht ein Aussageverweigerungsrecht bzgl</w:t>
      </w:r>
      <w:r w:rsidRPr="009970EE">
        <w:rPr>
          <w:rFonts w:ascii="Times New Roman" w:hAnsi="Times New Roman"/>
          <w:spacing w:val="-2"/>
          <w:sz w:val="16"/>
          <w:szCs w:val="16"/>
        </w:rPr>
        <w:t xml:space="preserve">. solcher Fragen, deren Beantwortung den Zeugen selbst oder einen nahen Angehörigen </w:t>
      </w:r>
      <w:proofErr w:type="spellStart"/>
      <w:r w:rsidR="00D239BF">
        <w:rPr>
          <w:rFonts w:ascii="Times New Roman" w:hAnsi="Times New Roman"/>
          <w:spacing w:val="-2"/>
          <w:sz w:val="16"/>
          <w:szCs w:val="16"/>
        </w:rPr>
        <w:t>i.S.d</w:t>
      </w:r>
      <w:proofErr w:type="spellEnd"/>
      <w:r w:rsidR="00D239BF">
        <w:rPr>
          <w:rFonts w:ascii="Times New Roman" w:hAnsi="Times New Roman"/>
          <w:spacing w:val="-2"/>
          <w:sz w:val="16"/>
          <w:szCs w:val="16"/>
        </w:rPr>
        <w:t>.</w:t>
      </w:r>
      <w:r w:rsidRPr="009970EE">
        <w:rPr>
          <w:rFonts w:ascii="Times New Roman" w:hAnsi="Times New Roman"/>
          <w:spacing w:val="-2"/>
          <w:sz w:val="16"/>
          <w:szCs w:val="16"/>
        </w:rPr>
        <w:t xml:space="preserve"> § 52 StPO belasten würde. Der Unterschied zu § 52 StPO besteht darin, dass einerseits kein umfassendes Schweigerecht besteht, sondern nur bzgl. einzelner Fragen, und dass andererseits der Angehörige in dem betreffenden Verfahren (no</w:t>
      </w:r>
      <w:r w:rsidR="00C529A0" w:rsidRPr="009970EE">
        <w:rPr>
          <w:rFonts w:ascii="Times New Roman" w:hAnsi="Times New Roman"/>
          <w:spacing w:val="-2"/>
          <w:sz w:val="16"/>
          <w:szCs w:val="16"/>
        </w:rPr>
        <w:t>ch) nicht beschuldigt ist</w:t>
      </w:r>
      <w:r w:rsidRPr="009970EE">
        <w:rPr>
          <w:rFonts w:ascii="Times New Roman" w:hAnsi="Times New Roman"/>
          <w:spacing w:val="-2"/>
          <w:sz w:val="16"/>
          <w:szCs w:val="16"/>
        </w:rPr>
        <w:t>.</w:t>
      </w:r>
    </w:p>
    <w:p w14:paraId="072964DE" w14:textId="77777777" w:rsidR="00B90859" w:rsidRDefault="00B90859" w:rsidP="00B90859">
      <w:pPr>
        <w:widowControl/>
        <w:tabs>
          <w:tab w:val="left" w:pos="0"/>
          <w:tab w:val="left" w:pos="288"/>
          <w:tab w:val="left" w:pos="567"/>
          <w:tab w:val="left" w:pos="864"/>
          <w:tab w:val="left" w:pos="1116"/>
          <w:tab w:val="left" w:pos="1404"/>
          <w:tab w:val="left" w:pos="1692"/>
          <w:tab w:val="left" w:pos="1980"/>
          <w:tab w:val="left" w:pos="2268"/>
          <w:tab w:val="left" w:pos="2880"/>
        </w:tabs>
        <w:spacing w:line="216" w:lineRule="auto"/>
        <w:jc w:val="both"/>
        <w:rPr>
          <w:rFonts w:ascii="Times New Roman" w:hAnsi="Times New Roman"/>
          <w:b/>
          <w:spacing w:val="-2"/>
          <w:sz w:val="11"/>
          <w:szCs w:val="11"/>
        </w:rPr>
      </w:pPr>
    </w:p>
    <w:p w14:paraId="5A0F4288" w14:textId="70E84C67" w:rsidR="009C4D6C" w:rsidRPr="00B90859" w:rsidRDefault="00DE47F0" w:rsidP="00B90859">
      <w:pPr>
        <w:widowControl/>
        <w:tabs>
          <w:tab w:val="left" w:pos="288"/>
          <w:tab w:val="left" w:pos="567"/>
          <w:tab w:val="left" w:pos="864"/>
          <w:tab w:val="left" w:pos="993"/>
          <w:tab w:val="left" w:pos="1116"/>
          <w:tab w:val="left" w:pos="1404"/>
          <w:tab w:val="left" w:pos="1692"/>
          <w:tab w:val="left" w:pos="1980"/>
          <w:tab w:val="left" w:pos="2268"/>
          <w:tab w:val="left" w:pos="2880"/>
        </w:tabs>
        <w:ind w:left="567" w:hanging="567"/>
        <w:jc w:val="both"/>
        <w:rPr>
          <w:rFonts w:ascii="Times New Roman" w:hAnsi="Times New Roman"/>
          <w:spacing w:val="-2"/>
          <w:sz w:val="13"/>
          <w:szCs w:val="13"/>
        </w:rPr>
      </w:pPr>
      <w:r w:rsidRPr="00B90859">
        <w:rPr>
          <w:rFonts w:ascii="Times New Roman" w:hAnsi="Times New Roman"/>
          <w:b/>
          <w:spacing w:val="-2"/>
          <w:sz w:val="13"/>
          <w:szCs w:val="13"/>
        </w:rPr>
        <w:t>Literatur/Lehrbücher:</w:t>
      </w:r>
      <w:r w:rsidRPr="00B90859">
        <w:rPr>
          <w:rFonts w:ascii="Times New Roman" w:hAnsi="Times New Roman"/>
          <w:b/>
          <w:spacing w:val="-2"/>
          <w:sz w:val="13"/>
          <w:szCs w:val="13"/>
        </w:rPr>
        <w:tab/>
      </w:r>
      <w:r w:rsidR="00524D17" w:rsidRPr="00B90859">
        <w:rPr>
          <w:rFonts w:ascii="Times New Roman" w:hAnsi="Times New Roman"/>
          <w:i/>
          <w:spacing w:val="-2"/>
          <w:sz w:val="13"/>
          <w:szCs w:val="13"/>
        </w:rPr>
        <w:t>Heinrich/Reinbacher</w:t>
      </w:r>
      <w:r w:rsidR="00524D17" w:rsidRPr="00B90859">
        <w:rPr>
          <w:rFonts w:ascii="Times New Roman" w:hAnsi="Times New Roman"/>
          <w:spacing w:val="-2"/>
          <w:sz w:val="13"/>
          <w:szCs w:val="13"/>
        </w:rPr>
        <w:t>, Examinatorium Strafprozessrecht,</w:t>
      </w:r>
      <w:r w:rsidR="000A7884" w:rsidRPr="00B90859">
        <w:rPr>
          <w:rFonts w:ascii="Times New Roman" w:hAnsi="Times New Roman"/>
          <w:spacing w:val="-2"/>
          <w:sz w:val="13"/>
          <w:szCs w:val="13"/>
        </w:rPr>
        <w:t xml:space="preserve"> </w:t>
      </w:r>
      <w:r w:rsidR="00871625">
        <w:rPr>
          <w:rFonts w:ascii="Times New Roman" w:hAnsi="Times New Roman"/>
          <w:spacing w:val="-2"/>
          <w:sz w:val="13"/>
          <w:szCs w:val="13"/>
        </w:rPr>
        <w:t>4</w:t>
      </w:r>
      <w:r w:rsidR="000A7884" w:rsidRPr="00B90859">
        <w:rPr>
          <w:rFonts w:ascii="Times New Roman" w:hAnsi="Times New Roman"/>
          <w:spacing w:val="-2"/>
          <w:sz w:val="13"/>
          <w:szCs w:val="13"/>
        </w:rPr>
        <w:t>. Auflage 20</w:t>
      </w:r>
      <w:r w:rsidR="00B90859" w:rsidRPr="00B90859">
        <w:rPr>
          <w:rFonts w:ascii="Times New Roman" w:hAnsi="Times New Roman"/>
          <w:spacing w:val="-2"/>
          <w:sz w:val="13"/>
          <w:szCs w:val="13"/>
        </w:rPr>
        <w:t>2</w:t>
      </w:r>
      <w:r w:rsidR="00871625">
        <w:rPr>
          <w:rFonts w:ascii="Times New Roman" w:hAnsi="Times New Roman"/>
          <w:spacing w:val="-2"/>
          <w:sz w:val="13"/>
          <w:szCs w:val="13"/>
        </w:rPr>
        <w:t>3</w:t>
      </w:r>
      <w:r w:rsidR="000A7884" w:rsidRPr="00B90859">
        <w:rPr>
          <w:rFonts w:ascii="Times New Roman" w:hAnsi="Times New Roman"/>
          <w:spacing w:val="-2"/>
          <w:sz w:val="13"/>
          <w:szCs w:val="13"/>
        </w:rPr>
        <w:t>,</w:t>
      </w:r>
      <w:r w:rsidR="00524D17" w:rsidRPr="00B90859">
        <w:rPr>
          <w:rFonts w:ascii="Times New Roman" w:hAnsi="Times New Roman"/>
          <w:spacing w:val="-2"/>
          <w:sz w:val="13"/>
          <w:szCs w:val="13"/>
        </w:rPr>
        <w:t xml:space="preserve"> Problem</w:t>
      </w:r>
      <w:r w:rsidR="00D239BF">
        <w:rPr>
          <w:rFonts w:ascii="Times New Roman" w:hAnsi="Times New Roman"/>
          <w:spacing w:val="-2"/>
          <w:sz w:val="13"/>
          <w:szCs w:val="13"/>
        </w:rPr>
        <w:t> </w:t>
      </w:r>
      <w:r w:rsidR="00524D17" w:rsidRPr="00B90859">
        <w:rPr>
          <w:rFonts w:ascii="Times New Roman" w:hAnsi="Times New Roman"/>
          <w:spacing w:val="-2"/>
          <w:sz w:val="13"/>
          <w:szCs w:val="13"/>
        </w:rPr>
        <w:t>25.</w:t>
      </w:r>
    </w:p>
    <w:p w14:paraId="167849DA" w14:textId="77777777" w:rsidR="009C4D6C" w:rsidRPr="00B90859" w:rsidRDefault="00DE47F0" w:rsidP="00B90859">
      <w:pPr>
        <w:widowControl/>
        <w:tabs>
          <w:tab w:val="left" w:pos="-720"/>
          <w:tab w:val="left" w:pos="288"/>
          <w:tab w:val="left" w:pos="851"/>
          <w:tab w:val="left" w:pos="2268"/>
          <w:tab w:val="left" w:pos="2880"/>
        </w:tabs>
        <w:ind w:left="1418" w:hanging="1418"/>
        <w:jc w:val="both"/>
        <w:rPr>
          <w:rFonts w:ascii="Times New Roman" w:hAnsi="Times New Roman"/>
          <w:spacing w:val="-2"/>
          <w:sz w:val="13"/>
          <w:szCs w:val="13"/>
        </w:rPr>
      </w:pPr>
      <w:r w:rsidRPr="00B90859">
        <w:rPr>
          <w:rFonts w:ascii="Times New Roman" w:hAnsi="Times New Roman"/>
          <w:b/>
          <w:spacing w:val="-2"/>
          <w:sz w:val="13"/>
          <w:szCs w:val="13"/>
        </w:rPr>
        <w:t>Literatur/Aufsätze:</w:t>
      </w:r>
      <w:r w:rsidRPr="00B90859">
        <w:rPr>
          <w:rFonts w:ascii="Times New Roman" w:hAnsi="Times New Roman"/>
          <w:b/>
          <w:spacing w:val="-2"/>
          <w:sz w:val="13"/>
          <w:szCs w:val="13"/>
        </w:rPr>
        <w:tab/>
      </w:r>
      <w:r w:rsidR="00BE36BF" w:rsidRPr="00B90859">
        <w:rPr>
          <w:rFonts w:ascii="Times New Roman" w:hAnsi="Times New Roman"/>
          <w:i/>
          <w:spacing w:val="-2"/>
          <w:sz w:val="13"/>
          <w:szCs w:val="13"/>
        </w:rPr>
        <w:t>Bosch</w:t>
      </w:r>
      <w:r w:rsidR="00BE36BF" w:rsidRPr="00B90859">
        <w:rPr>
          <w:rFonts w:ascii="Times New Roman" w:hAnsi="Times New Roman"/>
          <w:spacing w:val="-2"/>
          <w:sz w:val="13"/>
          <w:szCs w:val="13"/>
        </w:rPr>
        <w:t xml:space="preserve">, Die strafprozessuale Regelung von Zeugnis- und Auskunftsverweigerungsrecht, JURA 2012, 33; </w:t>
      </w:r>
      <w:r w:rsidR="00BE36BF" w:rsidRPr="00B90859">
        <w:rPr>
          <w:rFonts w:ascii="Times New Roman" w:hAnsi="Times New Roman"/>
          <w:i/>
          <w:spacing w:val="-2"/>
          <w:sz w:val="13"/>
          <w:szCs w:val="13"/>
        </w:rPr>
        <w:t>Jäger</w:t>
      </w:r>
      <w:r w:rsidR="00BE36BF" w:rsidRPr="00B90859">
        <w:rPr>
          <w:rFonts w:ascii="Times New Roman" w:hAnsi="Times New Roman"/>
          <w:spacing w:val="-2"/>
          <w:sz w:val="13"/>
          <w:szCs w:val="13"/>
        </w:rPr>
        <w:t xml:space="preserve">, Das Zeugnisverweigerungsrecht des verschwundenen Zeugen, JA 2014, 712; </w:t>
      </w:r>
      <w:r w:rsidR="009C4D6C" w:rsidRPr="00B90859">
        <w:rPr>
          <w:rFonts w:ascii="Times New Roman" w:hAnsi="Times New Roman"/>
          <w:i/>
          <w:spacing w:val="-2"/>
          <w:sz w:val="13"/>
          <w:szCs w:val="13"/>
        </w:rPr>
        <w:t>Jahn</w:t>
      </w:r>
      <w:r w:rsidR="009C4D6C" w:rsidRPr="00B90859">
        <w:rPr>
          <w:rFonts w:ascii="Times New Roman" w:hAnsi="Times New Roman"/>
          <w:spacing w:val="-2"/>
          <w:sz w:val="13"/>
          <w:szCs w:val="13"/>
        </w:rPr>
        <w:t xml:space="preserve">, Auskunfts- und Zeugnisverweigerung contra Zeugenschutzprogramm, </w:t>
      </w:r>
      <w:proofErr w:type="spellStart"/>
      <w:r w:rsidR="009C4D6C" w:rsidRPr="00B90859">
        <w:rPr>
          <w:rFonts w:ascii="Times New Roman" w:hAnsi="Times New Roman"/>
          <w:spacing w:val="-2"/>
          <w:sz w:val="13"/>
          <w:szCs w:val="13"/>
        </w:rPr>
        <w:t>JuS</w:t>
      </w:r>
      <w:proofErr w:type="spellEnd"/>
      <w:r w:rsidR="009C4D6C" w:rsidRPr="00B90859">
        <w:rPr>
          <w:rFonts w:ascii="Times New Roman" w:hAnsi="Times New Roman"/>
          <w:spacing w:val="-2"/>
          <w:sz w:val="13"/>
          <w:szCs w:val="13"/>
        </w:rPr>
        <w:t xml:space="preserve"> 2006, 569; </w:t>
      </w:r>
      <w:proofErr w:type="spellStart"/>
      <w:r w:rsidR="008D5BA3" w:rsidRPr="00B90859">
        <w:rPr>
          <w:rFonts w:ascii="Times New Roman" w:hAnsi="Times New Roman"/>
          <w:i/>
          <w:spacing w:val="-2"/>
          <w:sz w:val="13"/>
          <w:szCs w:val="13"/>
        </w:rPr>
        <w:t>ders</w:t>
      </w:r>
      <w:proofErr w:type="spellEnd"/>
      <w:r w:rsidR="008D5BA3" w:rsidRPr="00B90859">
        <w:rPr>
          <w:rFonts w:ascii="Times New Roman" w:hAnsi="Times New Roman"/>
          <w:i/>
          <w:spacing w:val="-2"/>
          <w:sz w:val="13"/>
          <w:szCs w:val="13"/>
        </w:rPr>
        <w:t>.</w:t>
      </w:r>
      <w:r w:rsidR="008D5BA3" w:rsidRPr="00B90859">
        <w:rPr>
          <w:rFonts w:ascii="Times New Roman" w:hAnsi="Times New Roman"/>
          <w:spacing w:val="-2"/>
          <w:sz w:val="13"/>
          <w:szCs w:val="13"/>
        </w:rPr>
        <w:t xml:space="preserve">, Strafprozessrecht: Zeugnisverweigerungsrecht der Geistlichen, </w:t>
      </w:r>
      <w:proofErr w:type="spellStart"/>
      <w:r w:rsidR="008D5BA3" w:rsidRPr="00B90859">
        <w:rPr>
          <w:rFonts w:ascii="Times New Roman" w:hAnsi="Times New Roman"/>
          <w:spacing w:val="-2"/>
          <w:sz w:val="13"/>
          <w:szCs w:val="13"/>
        </w:rPr>
        <w:t>JuS</w:t>
      </w:r>
      <w:proofErr w:type="spellEnd"/>
      <w:r w:rsidR="008D5BA3" w:rsidRPr="00B90859">
        <w:rPr>
          <w:rFonts w:ascii="Times New Roman" w:hAnsi="Times New Roman"/>
          <w:spacing w:val="-2"/>
          <w:sz w:val="13"/>
          <w:szCs w:val="13"/>
        </w:rPr>
        <w:t xml:space="preserve"> 2010, 932; </w:t>
      </w:r>
      <w:r w:rsidR="009C4D6C" w:rsidRPr="00B90859">
        <w:rPr>
          <w:rFonts w:ascii="Times New Roman" w:hAnsi="Times New Roman"/>
          <w:i/>
          <w:spacing w:val="-2"/>
          <w:sz w:val="13"/>
          <w:szCs w:val="13"/>
        </w:rPr>
        <w:t>Kudlich/Roy</w:t>
      </w:r>
      <w:r w:rsidR="009C4D6C" w:rsidRPr="00B90859">
        <w:rPr>
          <w:rFonts w:ascii="Times New Roman" w:hAnsi="Times New Roman"/>
          <w:spacing w:val="-2"/>
          <w:sz w:val="13"/>
          <w:szCs w:val="13"/>
        </w:rPr>
        <w:t>, Die Zeugnisverweigerungsrechte der StPO, JA 2003, 565;</w:t>
      </w:r>
      <w:r w:rsidR="00193B93" w:rsidRPr="00B90859">
        <w:rPr>
          <w:rFonts w:ascii="Times New Roman" w:hAnsi="Times New Roman"/>
          <w:spacing w:val="-2"/>
          <w:sz w:val="13"/>
          <w:szCs w:val="13"/>
        </w:rPr>
        <w:t xml:space="preserve"> </w:t>
      </w:r>
      <w:r w:rsidR="00193B93" w:rsidRPr="00B90859">
        <w:rPr>
          <w:rFonts w:ascii="Times New Roman" w:hAnsi="Times New Roman"/>
          <w:i/>
          <w:spacing w:val="-2"/>
          <w:sz w:val="13"/>
          <w:szCs w:val="13"/>
        </w:rPr>
        <w:t>Moldenhauer/Wenske</w:t>
      </w:r>
      <w:r w:rsidR="00193B93" w:rsidRPr="00B90859">
        <w:rPr>
          <w:rFonts w:ascii="Times New Roman" w:hAnsi="Times New Roman"/>
          <w:spacing w:val="-2"/>
          <w:sz w:val="13"/>
          <w:szCs w:val="13"/>
        </w:rPr>
        <w:t>, Aktuelle Entwicklungen der Rechtsprechung zum Recht der Zeugnisverweigerung, JA 2017, 860</w:t>
      </w:r>
      <w:r w:rsidR="00AE24C3" w:rsidRPr="00B90859">
        <w:rPr>
          <w:rFonts w:ascii="Times New Roman" w:hAnsi="Times New Roman"/>
          <w:spacing w:val="-2"/>
          <w:sz w:val="13"/>
          <w:szCs w:val="13"/>
        </w:rPr>
        <w:t>.</w:t>
      </w:r>
    </w:p>
    <w:p w14:paraId="1FB5FFFF" w14:textId="2ABEBB9E" w:rsidR="00371CDB" w:rsidRPr="00B90859" w:rsidRDefault="00DE47F0" w:rsidP="00B90859">
      <w:pPr>
        <w:widowControl/>
        <w:tabs>
          <w:tab w:val="left" w:pos="-720"/>
          <w:tab w:val="left" w:pos="0"/>
          <w:tab w:val="left" w:pos="567"/>
          <w:tab w:val="left" w:pos="864"/>
          <w:tab w:val="left" w:pos="1404"/>
          <w:tab w:val="left" w:pos="2268"/>
          <w:tab w:val="left" w:pos="2880"/>
        </w:tabs>
        <w:ind w:left="1418" w:hanging="1418"/>
        <w:jc w:val="both"/>
        <w:rPr>
          <w:rFonts w:ascii="Times New Roman" w:hAnsi="Times New Roman"/>
          <w:bCs/>
          <w:spacing w:val="-2"/>
          <w:sz w:val="13"/>
          <w:szCs w:val="13"/>
        </w:rPr>
      </w:pPr>
      <w:r w:rsidRPr="00B90859">
        <w:rPr>
          <w:rFonts w:ascii="Times New Roman" w:hAnsi="Times New Roman"/>
          <w:b/>
          <w:spacing w:val="-2"/>
          <w:sz w:val="13"/>
          <w:szCs w:val="13"/>
        </w:rPr>
        <w:t xml:space="preserve">Rechtsprechung: </w:t>
      </w:r>
      <w:r w:rsidRPr="00B90859">
        <w:rPr>
          <w:rFonts w:ascii="Times New Roman" w:hAnsi="Times New Roman"/>
          <w:b/>
          <w:spacing w:val="-2"/>
          <w:sz w:val="13"/>
          <w:szCs w:val="13"/>
        </w:rPr>
        <w:tab/>
      </w:r>
      <w:r w:rsidR="00FC5823" w:rsidRPr="00B90859">
        <w:rPr>
          <w:rFonts w:ascii="Times New Roman" w:hAnsi="Times New Roman"/>
          <w:b/>
          <w:spacing w:val="-2"/>
          <w:sz w:val="13"/>
          <w:szCs w:val="13"/>
        </w:rPr>
        <w:tab/>
      </w:r>
      <w:r w:rsidR="00F55D56" w:rsidRPr="00B90859">
        <w:rPr>
          <w:rFonts w:ascii="Times New Roman" w:hAnsi="Times New Roman"/>
          <w:b/>
          <w:bCs/>
          <w:spacing w:val="-2"/>
          <w:sz w:val="13"/>
          <w:szCs w:val="13"/>
        </w:rPr>
        <w:t xml:space="preserve">BVerfG NStZ 1999, 255 – </w:t>
      </w:r>
      <w:proofErr w:type="spellStart"/>
      <w:r w:rsidR="00F55D56" w:rsidRPr="00B90859">
        <w:rPr>
          <w:rFonts w:ascii="Times New Roman" w:hAnsi="Times New Roman"/>
          <w:bCs/>
          <w:spacing w:val="-2"/>
          <w:sz w:val="13"/>
          <w:szCs w:val="13"/>
        </w:rPr>
        <w:t>Freundschaft</w:t>
      </w:r>
      <w:r w:rsidR="00854213">
        <w:rPr>
          <w:rFonts w:ascii="Times New Roman" w:hAnsi="Times New Roman"/>
          <w:bCs/>
          <w:spacing w:val="-2"/>
          <w:sz w:val="13"/>
          <w:szCs w:val="13"/>
        </w:rPr>
        <w:t>l</w:t>
      </w:r>
      <w:proofErr w:type="spellEnd"/>
      <w:r w:rsidR="00854213">
        <w:rPr>
          <w:rFonts w:ascii="Times New Roman" w:hAnsi="Times New Roman"/>
          <w:bCs/>
          <w:spacing w:val="-2"/>
          <w:sz w:val="13"/>
          <w:szCs w:val="13"/>
        </w:rPr>
        <w:t>.</w:t>
      </w:r>
      <w:r w:rsidR="00F55D56" w:rsidRPr="00B90859">
        <w:rPr>
          <w:rFonts w:ascii="Times New Roman" w:hAnsi="Times New Roman"/>
          <w:bCs/>
          <w:spacing w:val="-2"/>
          <w:sz w:val="13"/>
          <w:szCs w:val="13"/>
        </w:rPr>
        <w:t xml:space="preserve"> Beziehungen (keine Gleichstellung </w:t>
      </w:r>
      <w:r w:rsidR="00220DD1">
        <w:rPr>
          <w:rFonts w:ascii="Times New Roman" w:hAnsi="Times New Roman"/>
          <w:bCs/>
          <w:spacing w:val="-2"/>
          <w:sz w:val="13"/>
          <w:szCs w:val="13"/>
        </w:rPr>
        <w:t xml:space="preserve">von </w:t>
      </w:r>
      <w:r w:rsidR="00F55D56" w:rsidRPr="00B90859">
        <w:rPr>
          <w:rFonts w:ascii="Times New Roman" w:hAnsi="Times New Roman"/>
          <w:bCs/>
          <w:spacing w:val="-2"/>
          <w:sz w:val="13"/>
          <w:szCs w:val="13"/>
        </w:rPr>
        <w:t>Lebenspartne</w:t>
      </w:r>
      <w:r w:rsidR="00220DD1">
        <w:rPr>
          <w:rFonts w:ascii="Times New Roman" w:hAnsi="Times New Roman"/>
          <w:bCs/>
          <w:spacing w:val="-2"/>
          <w:sz w:val="13"/>
          <w:szCs w:val="13"/>
        </w:rPr>
        <w:t>rn</w:t>
      </w:r>
      <w:r w:rsidR="00F55D56" w:rsidRPr="00B90859">
        <w:rPr>
          <w:rFonts w:ascii="Times New Roman" w:hAnsi="Times New Roman"/>
          <w:bCs/>
          <w:spacing w:val="-2"/>
          <w:sz w:val="13"/>
          <w:szCs w:val="13"/>
        </w:rPr>
        <w:t xml:space="preserve">); </w:t>
      </w:r>
      <w:r w:rsidR="00F55D56" w:rsidRPr="00B90859">
        <w:rPr>
          <w:rFonts w:ascii="Times New Roman" w:hAnsi="Times New Roman"/>
          <w:b/>
          <w:bCs/>
          <w:spacing w:val="-2"/>
          <w:sz w:val="13"/>
          <w:szCs w:val="13"/>
        </w:rPr>
        <w:t xml:space="preserve">BGHSt 34, 138 – </w:t>
      </w:r>
      <w:r w:rsidR="00F55D56" w:rsidRPr="00B90859">
        <w:rPr>
          <w:rFonts w:ascii="Times New Roman" w:hAnsi="Times New Roman"/>
          <w:bCs/>
          <w:spacing w:val="-2"/>
          <w:sz w:val="13"/>
          <w:szCs w:val="13"/>
        </w:rPr>
        <w:t>Abgetrenntes Verfahren I (</w:t>
      </w:r>
      <w:r w:rsidR="00834C27" w:rsidRPr="00B90859">
        <w:rPr>
          <w:rFonts w:ascii="Times New Roman" w:hAnsi="Times New Roman"/>
          <w:bCs/>
          <w:spacing w:val="-2"/>
          <w:sz w:val="13"/>
          <w:szCs w:val="13"/>
        </w:rPr>
        <w:t xml:space="preserve">kein Erlöschen des </w:t>
      </w:r>
      <w:r w:rsidR="00F55D56" w:rsidRPr="00B90859">
        <w:rPr>
          <w:rFonts w:ascii="Times New Roman" w:hAnsi="Times New Roman"/>
          <w:bCs/>
          <w:spacing w:val="-2"/>
          <w:sz w:val="13"/>
          <w:szCs w:val="13"/>
        </w:rPr>
        <w:t>Zeugnisverweigerungsrecht</w:t>
      </w:r>
      <w:r w:rsidR="00834C27" w:rsidRPr="00B90859">
        <w:rPr>
          <w:rFonts w:ascii="Times New Roman" w:hAnsi="Times New Roman"/>
          <w:bCs/>
          <w:spacing w:val="-2"/>
          <w:sz w:val="13"/>
          <w:szCs w:val="13"/>
        </w:rPr>
        <w:t>s</w:t>
      </w:r>
      <w:r w:rsidR="00F55D56" w:rsidRPr="00B90859">
        <w:rPr>
          <w:rFonts w:ascii="Times New Roman" w:hAnsi="Times New Roman"/>
          <w:bCs/>
          <w:spacing w:val="-2"/>
          <w:sz w:val="13"/>
          <w:szCs w:val="13"/>
        </w:rPr>
        <w:t xml:space="preserve"> </w:t>
      </w:r>
      <w:r w:rsidR="00834C27" w:rsidRPr="00B90859">
        <w:rPr>
          <w:rFonts w:ascii="Times New Roman" w:hAnsi="Times New Roman"/>
          <w:bCs/>
          <w:spacing w:val="-2"/>
          <w:sz w:val="13"/>
          <w:szCs w:val="13"/>
        </w:rPr>
        <w:t>bei Abtrennung des</w:t>
      </w:r>
      <w:r w:rsidR="00F55D56" w:rsidRPr="00B90859">
        <w:rPr>
          <w:rFonts w:ascii="Times New Roman" w:hAnsi="Times New Roman"/>
          <w:bCs/>
          <w:spacing w:val="-2"/>
          <w:sz w:val="13"/>
          <w:szCs w:val="13"/>
        </w:rPr>
        <w:t xml:space="preserve"> Verfahren</w:t>
      </w:r>
      <w:r w:rsidR="00834C27" w:rsidRPr="00B90859">
        <w:rPr>
          <w:rFonts w:ascii="Times New Roman" w:hAnsi="Times New Roman"/>
          <w:bCs/>
          <w:spacing w:val="-2"/>
          <w:sz w:val="13"/>
          <w:szCs w:val="13"/>
        </w:rPr>
        <w:t>s</w:t>
      </w:r>
      <w:r w:rsidR="00F55D56" w:rsidRPr="00B90859">
        <w:rPr>
          <w:rFonts w:ascii="Times New Roman" w:hAnsi="Times New Roman"/>
          <w:bCs/>
          <w:spacing w:val="-2"/>
          <w:sz w:val="13"/>
          <w:szCs w:val="13"/>
        </w:rPr>
        <w:t xml:space="preserve">); </w:t>
      </w:r>
      <w:r w:rsidR="009C4D6C" w:rsidRPr="00B90859">
        <w:rPr>
          <w:rFonts w:ascii="Times New Roman" w:hAnsi="Times New Roman"/>
          <w:b/>
          <w:spacing w:val="-2"/>
          <w:sz w:val="13"/>
          <w:szCs w:val="13"/>
        </w:rPr>
        <w:t xml:space="preserve">BGHSt 38, 96 </w:t>
      </w:r>
      <w:r w:rsidR="009C4D6C" w:rsidRPr="00B90859">
        <w:rPr>
          <w:rFonts w:ascii="Times New Roman" w:hAnsi="Times New Roman"/>
          <w:spacing w:val="-2"/>
          <w:sz w:val="13"/>
          <w:szCs w:val="13"/>
        </w:rPr>
        <w:t xml:space="preserve">– Schwager (Erlöschen des Zeugnisverweigerungsrechts bei rechtskräftiger Verurteilung); </w:t>
      </w:r>
      <w:r w:rsidR="009C4D6C" w:rsidRPr="00B90859">
        <w:rPr>
          <w:rFonts w:ascii="Times New Roman" w:hAnsi="Times New Roman"/>
          <w:b/>
          <w:spacing w:val="-2"/>
          <w:sz w:val="13"/>
          <w:szCs w:val="13"/>
        </w:rPr>
        <w:t xml:space="preserve">BGHSt 45, 203 </w:t>
      </w:r>
      <w:r w:rsidR="009C4D6C" w:rsidRPr="00B90859">
        <w:rPr>
          <w:rFonts w:ascii="Times New Roman" w:hAnsi="Times New Roman"/>
          <w:spacing w:val="-2"/>
          <w:sz w:val="13"/>
          <w:szCs w:val="13"/>
        </w:rPr>
        <w:t>– Explorationsgespräch (Verwertbarkeit bei Gestattung durch Zeugen)</w:t>
      </w:r>
      <w:r w:rsidR="009C4D6C" w:rsidRPr="00B90859">
        <w:rPr>
          <w:rFonts w:ascii="Times New Roman" w:hAnsi="Times New Roman"/>
          <w:b/>
          <w:spacing w:val="-2"/>
          <w:sz w:val="13"/>
          <w:szCs w:val="13"/>
        </w:rPr>
        <w:t xml:space="preserve">; </w:t>
      </w:r>
      <w:r w:rsidR="00F43EC9" w:rsidRPr="00B90859">
        <w:rPr>
          <w:rFonts w:ascii="Times New Roman" w:hAnsi="Times New Roman"/>
          <w:b/>
          <w:spacing w:val="-2"/>
          <w:sz w:val="13"/>
          <w:szCs w:val="13"/>
        </w:rPr>
        <w:t xml:space="preserve">BGHSt 50, 318 </w:t>
      </w:r>
      <w:r w:rsidR="00F43EC9" w:rsidRPr="00B90859">
        <w:rPr>
          <w:rFonts w:ascii="Times New Roman" w:hAnsi="Times New Roman"/>
          <w:spacing w:val="-2"/>
          <w:sz w:val="13"/>
          <w:szCs w:val="13"/>
        </w:rPr>
        <w:t>– Auskunfts- und Zeugnisverweigerung (Zeugenschutzprogramm);</w:t>
      </w:r>
      <w:r w:rsidR="00F55D56" w:rsidRPr="00B90859">
        <w:rPr>
          <w:rFonts w:ascii="Arial" w:hAnsi="Arial" w:cs="Times New Roman"/>
          <w:b/>
          <w:bCs/>
          <w:color w:val="339966"/>
          <w:sz w:val="13"/>
          <w:szCs w:val="13"/>
        </w:rPr>
        <w:t xml:space="preserve"> </w:t>
      </w:r>
      <w:r w:rsidR="00F55D56" w:rsidRPr="00B90859">
        <w:rPr>
          <w:rFonts w:ascii="Times New Roman" w:hAnsi="Times New Roman"/>
          <w:b/>
          <w:bCs/>
          <w:spacing w:val="-2"/>
          <w:sz w:val="13"/>
          <w:szCs w:val="13"/>
        </w:rPr>
        <w:t xml:space="preserve">BGHSt 51, 140 </w:t>
      </w:r>
      <w:r w:rsidR="00F55D56" w:rsidRPr="00B90859">
        <w:rPr>
          <w:rFonts w:ascii="Times New Roman" w:hAnsi="Times New Roman"/>
          <w:bCs/>
          <w:spacing w:val="-2"/>
          <w:sz w:val="13"/>
          <w:szCs w:val="13"/>
        </w:rPr>
        <w:t>– Anstaltsseelsorger (Zeugnisverweigerungsrecht eines Laienseelsorgers);</w:t>
      </w:r>
      <w:r w:rsidR="00F43EC9" w:rsidRPr="00B90859">
        <w:rPr>
          <w:rFonts w:ascii="Times New Roman" w:hAnsi="Times New Roman"/>
          <w:spacing w:val="-2"/>
          <w:sz w:val="13"/>
          <w:szCs w:val="13"/>
        </w:rPr>
        <w:t xml:space="preserve"> </w:t>
      </w:r>
      <w:r w:rsidR="009C4D6C" w:rsidRPr="00B90859">
        <w:rPr>
          <w:rFonts w:ascii="Times New Roman" w:hAnsi="Times New Roman"/>
          <w:b/>
          <w:spacing w:val="-2"/>
          <w:sz w:val="13"/>
          <w:szCs w:val="13"/>
        </w:rPr>
        <w:t xml:space="preserve">BGHSt 54, 1 </w:t>
      </w:r>
      <w:r w:rsidR="009C4D6C" w:rsidRPr="00B90859">
        <w:rPr>
          <w:rFonts w:ascii="Times New Roman" w:hAnsi="Times New Roman"/>
          <w:spacing w:val="-2"/>
          <w:sz w:val="13"/>
          <w:szCs w:val="13"/>
        </w:rPr>
        <w:t>– abgetrenntes Verfahren</w:t>
      </w:r>
      <w:r w:rsidR="009C4D6C" w:rsidRPr="00B90859">
        <w:rPr>
          <w:rFonts w:ascii="Times New Roman" w:hAnsi="Times New Roman"/>
          <w:b/>
          <w:spacing w:val="-2"/>
          <w:sz w:val="13"/>
          <w:szCs w:val="13"/>
        </w:rPr>
        <w:t xml:space="preserve"> </w:t>
      </w:r>
      <w:r w:rsidR="009C4D6C" w:rsidRPr="00B90859">
        <w:rPr>
          <w:rFonts w:ascii="Times New Roman" w:hAnsi="Times New Roman"/>
          <w:spacing w:val="-2"/>
          <w:sz w:val="13"/>
          <w:szCs w:val="13"/>
        </w:rPr>
        <w:t>(Erlöschen des Zeugnisverweigerungsrechts bei Einstellung des Verfahrens);</w:t>
      </w:r>
      <w:r w:rsidR="009C4D6C" w:rsidRPr="00B90859">
        <w:rPr>
          <w:rFonts w:ascii="Times New Roman" w:hAnsi="Times New Roman"/>
          <w:b/>
          <w:spacing w:val="-2"/>
          <w:sz w:val="13"/>
          <w:szCs w:val="13"/>
        </w:rPr>
        <w:t xml:space="preserve"> </w:t>
      </w:r>
      <w:r w:rsidR="00B90859" w:rsidRPr="00B90859">
        <w:rPr>
          <w:rFonts w:ascii="Times New Roman" w:hAnsi="Times New Roman"/>
          <w:b/>
          <w:spacing w:val="-2"/>
          <w:sz w:val="13"/>
          <w:szCs w:val="13"/>
        </w:rPr>
        <w:t>BGH NStZ 2018, 362</w:t>
      </w:r>
      <w:r w:rsidR="00B90859" w:rsidRPr="00B90859">
        <w:rPr>
          <w:rFonts w:ascii="Times New Roman" w:hAnsi="Times New Roman"/>
          <w:spacing w:val="-2"/>
          <w:sz w:val="13"/>
          <w:szCs w:val="13"/>
        </w:rPr>
        <w:t xml:space="preserve"> – </w:t>
      </w:r>
      <w:proofErr w:type="spellStart"/>
      <w:r w:rsidR="00B90859" w:rsidRPr="00B90859">
        <w:rPr>
          <w:rFonts w:ascii="Times New Roman" w:hAnsi="Times New Roman"/>
          <w:spacing w:val="-2"/>
          <w:sz w:val="13"/>
          <w:szCs w:val="13"/>
        </w:rPr>
        <w:t>Ärztli</w:t>
      </w:r>
      <w:proofErr w:type="spellEnd"/>
      <w:r w:rsidR="00F32F14">
        <w:rPr>
          <w:rFonts w:ascii="Times New Roman" w:hAnsi="Times New Roman"/>
          <w:spacing w:val="-2"/>
          <w:sz w:val="13"/>
          <w:szCs w:val="13"/>
        </w:rPr>
        <w:t>.</w:t>
      </w:r>
      <w:r w:rsidR="00B90859" w:rsidRPr="00B90859">
        <w:rPr>
          <w:rFonts w:ascii="Times New Roman" w:hAnsi="Times New Roman"/>
          <w:spacing w:val="-2"/>
          <w:sz w:val="13"/>
          <w:szCs w:val="13"/>
        </w:rPr>
        <w:t xml:space="preserve"> Zeugnisverweigerungsrecht (Keine Unverwertbarkeit der unbefugten Aussage); </w:t>
      </w:r>
      <w:r w:rsidR="00B90859" w:rsidRPr="00B90859">
        <w:rPr>
          <w:rFonts w:ascii="Times New Roman" w:hAnsi="Times New Roman"/>
          <w:b/>
          <w:spacing w:val="-2"/>
          <w:sz w:val="13"/>
          <w:szCs w:val="13"/>
        </w:rPr>
        <w:t>BGH NStZ 2019, 537</w:t>
      </w:r>
      <w:r w:rsidR="00B90859" w:rsidRPr="00B90859">
        <w:rPr>
          <w:rFonts w:ascii="Times New Roman" w:hAnsi="Times New Roman"/>
          <w:spacing w:val="-2"/>
          <w:sz w:val="13"/>
          <w:szCs w:val="13"/>
        </w:rPr>
        <w:t xml:space="preserve"> – Einzugsbereich von § 55 StPO (keine Beschränkung des § 55 StPO auf inländische Strafverfahren); ); </w:t>
      </w:r>
      <w:r w:rsidR="005600C6" w:rsidRPr="00B90859">
        <w:rPr>
          <w:rFonts w:ascii="Times New Roman" w:hAnsi="Times New Roman"/>
          <w:b/>
          <w:spacing w:val="-2"/>
          <w:sz w:val="13"/>
          <w:szCs w:val="13"/>
        </w:rPr>
        <w:t>BGH StV 1998, 360</w:t>
      </w:r>
      <w:r w:rsidR="005600C6" w:rsidRPr="00B90859">
        <w:rPr>
          <w:rFonts w:ascii="Times New Roman" w:hAnsi="Times New Roman"/>
          <w:spacing w:val="-2"/>
          <w:sz w:val="13"/>
          <w:szCs w:val="13"/>
        </w:rPr>
        <w:t xml:space="preserve"> – Jugendamt (Zeugnisverweigerungsrecht des Angehörigen bei Inanspruchnahme der Hilfe des Jugendamtes und des Vormundschaftsrichters); </w:t>
      </w:r>
      <w:r w:rsidR="009C4D6C" w:rsidRPr="00B90859">
        <w:rPr>
          <w:rFonts w:ascii="Times New Roman" w:hAnsi="Times New Roman"/>
          <w:b/>
          <w:spacing w:val="-2"/>
          <w:sz w:val="13"/>
          <w:szCs w:val="13"/>
        </w:rPr>
        <w:t xml:space="preserve">BGH NJW 2005, 765 </w:t>
      </w:r>
      <w:r w:rsidR="009C4D6C" w:rsidRPr="00B90859">
        <w:rPr>
          <w:rFonts w:ascii="Times New Roman" w:hAnsi="Times New Roman"/>
          <w:spacing w:val="-2"/>
          <w:sz w:val="13"/>
          <w:szCs w:val="13"/>
        </w:rPr>
        <w:t>– Jugendgerichtshilfe</w:t>
      </w:r>
      <w:r w:rsidR="009C4D6C" w:rsidRPr="00B90859">
        <w:rPr>
          <w:rFonts w:ascii="Times New Roman" w:hAnsi="Times New Roman"/>
          <w:b/>
          <w:spacing w:val="-2"/>
          <w:sz w:val="13"/>
          <w:szCs w:val="13"/>
        </w:rPr>
        <w:t xml:space="preserve"> </w:t>
      </w:r>
      <w:r w:rsidR="009C4D6C" w:rsidRPr="00B90859">
        <w:rPr>
          <w:rFonts w:ascii="Times New Roman" w:hAnsi="Times New Roman"/>
          <w:spacing w:val="-2"/>
          <w:sz w:val="13"/>
          <w:szCs w:val="13"/>
        </w:rPr>
        <w:t xml:space="preserve">(Vernehmungsbegriff, Belehrungspflicht über Zeugnisverweigerungsrecht); </w:t>
      </w:r>
      <w:r w:rsidR="009C4D6C" w:rsidRPr="00B90859">
        <w:rPr>
          <w:rFonts w:ascii="Times New Roman" w:hAnsi="Times New Roman"/>
          <w:b/>
          <w:spacing w:val="-2"/>
          <w:sz w:val="13"/>
          <w:szCs w:val="13"/>
        </w:rPr>
        <w:t xml:space="preserve">BGH NJW 2007, 307 </w:t>
      </w:r>
      <w:r w:rsidR="009C4D6C" w:rsidRPr="00B90859">
        <w:rPr>
          <w:rFonts w:ascii="Times New Roman" w:hAnsi="Times New Roman"/>
          <w:spacing w:val="-2"/>
          <w:sz w:val="13"/>
          <w:szCs w:val="13"/>
        </w:rPr>
        <w:t xml:space="preserve">– Anstaltsseelsorger (Zeugnisverweigerungsrecht eines laienhaften Geistlichen); </w:t>
      </w:r>
      <w:r w:rsidR="007C1CB4" w:rsidRPr="00B90859">
        <w:rPr>
          <w:rFonts w:ascii="Times New Roman" w:hAnsi="Times New Roman"/>
          <w:b/>
          <w:spacing w:val="-2"/>
          <w:sz w:val="13"/>
          <w:szCs w:val="13"/>
        </w:rPr>
        <w:t>BGH NJW 2014, 1314</w:t>
      </w:r>
      <w:r w:rsidR="007C1CB4" w:rsidRPr="00B90859">
        <w:rPr>
          <w:rFonts w:ascii="Times New Roman" w:hAnsi="Times New Roman"/>
          <w:spacing w:val="-2"/>
          <w:sz w:val="13"/>
          <w:szCs w:val="13"/>
        </w:rPr>
        <w:t xml:space="preserve"> – Anbahnungsgespräch (berufsbezogenes Vertrauensverhältnis umfasst auch Anbahnungsverhältnis</w:t>
      </w:r>
      <w:r w:rsidR="007C1CB4" w:rsidRPr="00FD3B82">
        <w:rPr>
          <w:rFonts w:ascii="Times New Roman" w:hAnsi="Times New Roman" w:cs="Times New Roman"/>
          <w:spacing w:val="-2"/>
          <w:sz w:val="13"/>
          <w:szCs w:val="13"/>
        </w:rPr>
        <w:t>)</w:t>
      </w:r>
      <w:r w:rsidR="00FD3B82" w:rsidRPr="00FD3B82">
        <w:rPr>
          <w:rFonts w:ascii="Times New Roman" w:hAnsi="Times New Roman" w:cs="Times New Roman"/>
          <w:spacing w:val="-2"/>
          <w:sz w:val="13"/>
          <w:szCs w:val="13"/>
        </w:rPr>
        <w:t xml:space="preserve">; </w:t>
      </w:r>
      <w:r w:rsidR="00FD3B82" w:rsidRPr="009120C6">
        <w:rPr>
          <w:rFonts w:ascii="Times New Roman" w:hAnsi="Times New Roman" w:cs="Times New Roman"/>
          <w:b/>
          <w:sz w:val="13"/>
          <w:szCs w:val="13"/>
        </w:rPr>
        <w:t>BGH NStZ 2022, 426</w:t>
      </w:r>
      <w:r w:rsidR="00FD3B82" w:rsidRPr="009120C6">
        <w:rPr>
          <w:rFonts w:ascii="Times New Roman" w:hAnsi="Times New Roman" w:cs="Times New Roman"/>
          <w:sz w:val="13"/>
          <w:szCs w:val="13"/>
        </w:rPr>
        <w:t xml:space="preserve"> – </w:t>
      </w:r>
      <w:r w:rsidR="00D365ED">
        <w:rPr>
          <w:rFonts w:ascii="Times New Roman" w:hAnsi="Times New Roman" w:cs="Times New Roman"/>
          <w:sz w:val="13"/>
          <w:szCs w:val="13"/>
        </w:rPr>
        <w:t>Verschwiegenheitspflicht (</w:t>
      </w:r>
      <w:r w:rsidR="00FD3B82" w:rsidRPr="009120C6">
        <w:rPr>
          <w:rFonts w:ascii="Times New Roman" w:hAnsi="Times New Roman" w:cs="Times New Roman"/>
          <w:sz w:val="13"/>
          <w:szCs w:val="13"/>
        </w:rPr>
        <w:t xml:space="preserve">Entbindung </w:t>
      </w:r>
      <w:r w:rsidR="00D365ED">
        <w:rPr>
          <w:rFonts w:ascii="Times New Roman" w:hAnsi="Times New Roman" w:cs="Times New Roman"/>
          <w:sz w:val="13"/>
          <w:szCs w:val="13"/>
        </w:rPr>
        <w:t xml:space="preserve">bei </w:t>
      </w:r>
      <w:r w:rsidR="00FD3B82" w:rsidRPr="009120C6">
        <w:rPr>
          <w:rFonts w:ascii="Times New Roman" w:hAnsi="Times New Roman" w:cs="Times New Roman"/>
          <w:sz w:val="13"/>
          <w:szCs w:val="13"/>
        </w:rPr>
        <w:t>juristische</w:t>
      </w:r>
      <w:r w:rsidR="00D365ED">
        <w:rPr>
          <w:rFonts w:ascii="Times New Roman" w:hAnsi="Times New Roman" w:cs="Times New Roman"/>
          <w:sz w:val="13"/>
          <w:szCs w:val="13"/>
        </w:rPr>
        <w:t>n</w:t>
      </w:r>
      <w:r w:rsidR="00FD3B82" w:rsidRPr="009120C6">
        <w:rPr>
          <w:rFonts w:ascii="Times New Roman" w:hAnsi="Times New Roman" w:cs="Times New Roman"/>
          <w:sz w:val="13"/>
          <w:szCs w:val="13"/>
        </w:rPr>
        <w:t xml:space="preserve"> Personen</w:t>
      </w:r>
      <w:r w:rsidR="00D365ED">
        <w:rPr>
          <w:rFonts w:ascii="Times New Roman" w:hAnsi="Times New Roman" w:cs="Times New Roman"/>
          <w:sz w:val="13"/>
          <w:szCs w:val="13"/>
        </w:rPr>
        <w:t>)</w:t>
      </w:r>
      <w:r w:rsidR="00FD3B82" w:rsidRPr="009120C6">
        <w:rPr>
          <w:rFonts w:ascii="Times New Roman" w:hAnsi="Times New Roman" w:cs="Times New Roman"/>
          <w:sz w:val="13"/>
          <w:szCs w:val="13"/>
        </w:rPr>
        <w:t>;</w:t>
      </w:r>
      <w:r w:rsidR="00FD3B82" w:rsidRPr="009120C6">
        <w:rPr>
          <w:rFonts w:ascii="Times New Roman" w:hAnsi="Times New Roman" w:cs="Times New Roman"/>
          <w:b/>
          <w:spacing w:val="-2"/>
          <w:sz w:val="13"/>
          <w:szCs w:val="13"/>
        </w:rPr>
        <w:t xml:space="preserve"> OLG München NStZ 2021, 631</w:t>
      </w:r>
      <w:r w:rsidR="00FD3B82" w:rsidRPr="009120C6">
        <w:rPr>
          <w:rFonts w:ascii="Times New Roman" w:hAnsi="Times New Roman" w:cs="Times New Roman"/>
          <w:spacing w:val="-2"/>
          <w:sz w:val="13"/>
          <w:szCs w:val="13"/>
        </w:rPr>
        <w:t xml:space="preserve"> – Wissenschaftliche Publikationstätigkeit (kein Zeugnisverweigerungsrecht)</w:t>
      </w:r>
      <w:r w:rsidR="00DF623F">
        <w:rPr>
          <w:rFonts w:ascii="Times New Roman" w:hAnsi="Times New Roman" w:cs="Times New Roman"/>
          <w:bCs/>
          <w:spacing w:val="-2"/>
          <w:sz w:val="13"/>
          <w:szCs w:val="13"/>
        </w:rPr>
        <w:t xml:space="preserve">; </w:t>
      </w:r>
      <w:r w:rsidR="00DF623F" w:rsidRPr="00A00FA7">
        <w:rPr>
          <w:rFonts w:ascii="Times New Roman" w:hAnsi="Times New Roman" w:cs="Times New Roman"/>
          <w:b/>
          <w:spacing w:val="-2"/>
          <w:sz w:val="13"/>
          <w:szCs w:val="13"/>
        </w:rPr>
        <w:t>LG Nürnberg-Fürth BeckRS 2024, 9599</w:t>
      </w:r>
      <w:r w:rsidR="00DF623F">
        <w:rPr>
          <w:rFonts w:ascii="Times New Roman" w:hAnsi="Times New Roman" w:cs="Times New Roman"/>
          <w:bCs/>
          <w:spacing w:val="-2"/>
          <w:sz w:val="13"/>
          <w:szCs w:val="13"/>
        </w:rPr>
        <w:t xml:space="preserve"> – </w:t>
      </w:r>
      <w:r w:rsidR="00A00FA7">
        <w:rPr>
          <w:rFonts w:ascii="Times New Roman" w:hAnsi="Times New Roman" w:cs="Times New Roman"/>
          <w:bCs/>
          <w:spacing w:val="-2"/>
          <w:sz w:val="13"/>
          <w:szCs w:val="13"/>
        </w:rPr>
        <w:t>Steuerberater (</w:t>
      </w:r>
      <w:r w:rsidR="00DF623F">
        <w:rPr>
          <w:rFonts w:ascii="Times New Roman" w:hAnsi="Times New Roman" w:cs="Times New Roman"/>
          <w:bCs/>
          <w:spacing w:val="-2"/>
          <w:sz w:val="13"/>
          <w:szCs w:val="13"/>
        </w:rPr>
        <w:t>Entbindung eines Berufsgeheimnisträgers von der Schweigepflicht ist unteilbar</w:t>
      </w:r>
      <w:r w:rsidR="00A00FA7">
        <w:rPr>
          <w:rFonts w:ascii="Times New Roman" w:hAnsi="Times New Roman" w:cs="Times New Roman"/>
          <w:bCs/>
          <w:spacing w:val="-2"/>
          <w:sz w:val="13"/>
          <w:szCs w:val="13"/>
        </w:rPr>
        <w:t>)</w:t>
      </w:r>
      <w:r w:rsidR="00DF623F">
        <w:rPr>
          <w:rFonts w:ascii="Times New Roman" w:hAnsi="Times New Roman" w:cs="Times New Roman"/>
          <w:bCs/>
          <w:spacing w:val="-2"/>
          <w:sz w:val="13"/>
          <w:szCs w:val="13"/>
        </w:rPr>
        <w:t>.</w:t>
      </w:r>
    </w:p>
    <w:sectPr w:rsidR="00371CDB" w:rsidRPr="00B90859" w:rsidSect="00DE47F0">
      <w:pgSz w:w="11906" w:h="16838"/>
      <w:pgMar w:top="567" w:right="737" w:bottom="454" w:left="993" w:header="567" w:footer="289"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F22B5" w14:textId="77777777" w:rsidR="00B56849" w:rsidRDefault="00B56849">
      <w:r>
        <w:separator/>
      </w:r>
    </w:p>
  </w:endnote>
  <w:endnote w:type="continuationSeparator" w:id="0">
    <w:p w14:paraId="7F5231ED" w14:textId="77777777" w:rsidR="00B56849" w:rsidRDefault="00B56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3FAF7" w14:textId="77777777" w:rsidR="00B56849" w:rsidRDefault="00B56849">
      <w:r>
        <w:separator/>
      </w:r>
    </w:p>
  </w:footnote>
  <w:footnote w:type="continuationSeparator" w:id="0">
    <w:p w14:paraId="2AE728A1" w14:textId="77777777" w:rsidR="00B56849" w:rsidRDefault="00B568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53862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40BE0FD8"/>
    <w:lvl w:ilvl="0" w:tplc="1BB8C360">
      <w:numFmt w:val="none"/>
      <w:lvlText w:val=""/>
      <w:lvlJc w:val="left"/>
      <w:pPr>
        <w:tabs>
          <w:tab w:val="num" w:pos="360"/>
        </w:tabs>
      </w:pPr>
    </w:lvl>
    <w:lvl w:ilvl="1" w:tplc="D33C36BA">
      <w:numFmt w:val="decimal"/>
      <w:lvlText w:val=""/>
      <w:lvlJc w:val="left"/>
    </w:lvl>
    <w:lvl w:ilvl="2" w:tplc="DC100CA6">
      <w:numFmt w:val="decimal"/>
      <w:lvlText w:val=""/>
      <w:lvlJc w:val="left"/>
    </w:lvl>
    <w:lvl w:ilvl="3" w:tplc="AA7E1880">
      <w:numFmt w:val="decimal"/>
      <w:lvlText w:val=""/>
      <w:lvlJc w:val="left"/>
    </w:lvl>
    <w:lvl w:ilvl="4" w:tplc="325C8344">
      <w:numFmt w:val="decimal"/>
      <w:lvlText w:val=""/>
      <w:lvlJc w:val="left"/>
    </w:lvl>
    <w:lvl w:ilvl="5" w:tplc="6CD0E906">
      <w:numFmt w:val="decimal"/>
      <w:lvlText w:val=""/>
      <w:lvlJc w:val="left"/>
    </w:lvl>
    <w:lvl w:ilvl="6" w:tplc="478AEA0E">
      <w:numFmt w:val="decimal"/>
      <w:lvlText w:val=""/>
      <w:lvlJc w:val="left"/>
    </w:lvl>
    <w:lvl w:ilvl="7" w:tplc="B5B69048">
      <w:numFmt w:val="decimal"/>
      <w:lvlText w:val=""/>
      <w:lvlJc w:val="left"/>
    </w:lvl>
    <w:lvl w:ilvl="8" w:tplc="88D60100">
      <w:numFmt w:val="decimal"/>
      <w:lvlText w:val=""/>
      <w:lvlJc w:val="left"/>
    </w:lvl>
  </w:abstractNum>
  <w:abstractNum w:abstractNumId="2" w15:restartNumberingAfterBreak="0">
    <w:nsid w:val="26C51408"/>
    <w:multiLevelType w:val="hybridMultilevel"/>
    <w:tmpl w:val="F0E2BAAE"/>
    <w:lvl w:ilvl="0" w:tplc="6B46D31C">
      <w:start w:val="2"/>
      <w:numFmt w:val="decimal"/>
      <w:lvlText w:val="%1."/>
      <w:lvlJc w:val="left"/>
      <w:pPr>
        <w:tabs>
          <w:tab w:val="num" w:pos="920"/>
        </w:tabs>
        <w:ind w:left="920" w:hanging="360"/>
      </w:pPr>
      <w:rPr>
        <w:rFonts w:hint="default"/>
      </w:rPr>
    </w:lvl>
    <w:lvl w:ilvl="1" w:tplc="00190407" w:tentative="1">
      <w:start w:val="1"/>
      <w:numFmt w:val="lowerLetter"/>
      <w:lvlText w:val="%2."/>
      <w:lvlJc w:val="left"/>
      <w:pPr>
        <w:tabs>
          <w:tab w:val="num" w:pos="1640"/>
        </w:tabs>
        <w:ind w:left="1640" w:hanging="360"/>
      </w:pPr>
    </w:lvl>
    <w:lvl w:ilvl="2" w:tplc="001B0407" w:tentative="1">
      <w:start w:val="1"/>
      <w:numFmt w:val="lowerRoman"/>
      <w:lvlText w:val="%3."/>
      <w:lvlJc w:val="right"/>
      <w:pPr>
        <w:tabs>
          <w:tab w:val="num" w:pos="2360"/>
        </w:tabs>
        <w:ind w:left="2360" w:hanging="180"/>
      </w:pPr>
    </w:lvl>
    <w:lvl w:ilvl="3" w:tplc="000F0407" w:tentative="1">
      <w:start w:val="1"/>
      <w:numFmt w:val="decimal"/>
      <w:lvlText w:val="%4."/>
      <w:lvlJc w:val="left"/>
      <w:pPr>
        <w:tabs>
          <w:tab w:val="num" w:pos="3080"/>
        </w:tabs>
        <w:ind w:left="3080" w:hanging="360"/>
      </w:pPr>
    </w:lvl>
    <w:lvl w:ilvl="4" w:tplc="00190407" w:tentative="1">
      <w:start w:val="1"/>
      <w:numFmt w:val="lowerLetter"/>
      <w:lvlText w:val="%5."/>
      <w:lvlJc w:val="left"/>
      <w:pPr>
        <w:tabs>
          <w:tab w:val="num" w:pos="3800"/>
        </w:tabs>
        <w:ind w:left="3800" w:hanging="360"/>
      </w:pPr>
    </w:lvl>
    <w:lvl w:ilvl="5" w:tplc="001B0407" w:tentative="1">
      <w:start w:val="1"/>
      <w:numFmt w:val="lowerRoman"/>
      <w:lvlText w:val="%6."/>
      <w:lvlJc w:val="right"/>
      <w:pPr>
        <w:tabs>
          <w:tab w:val="num" w:pos="4520"/>
        </w:tabs>
        <w:ind w:left="4520" w:hanging="180"/>
      </w:pPr>
    </w:lvl>
    <w:lvl w:ilvl="6" w:tplc="000F0407" w:tentative="1">
      <w:start w:val="1"/>
      <w:numFmt w:val="decimal"/>
      <w:lvlText w:val="%7."/>
      <w:lvlJc w:val="left"/>
      <w:pPr>
        <w:tabs>
          <w:tab w:val="num" w:pos="5240"/>
        </w:tabs>
        <w:ind w:left="5240" w:hanging="360"/>
      </w:pPr>
    </w:lvl>
    <w:lvl w:ilvl="7" w:tplc="00190407" w:tentative="1">
      <w:start w:val="1"/>
      <w:numFmt w:val="lowerLetter"/>
      <w:lvlText w:val="%8."/>
      <w:lvlJc w:val="left"/>
      <w:pPr>
        <w:tabs>
          <w:tab w:val="num" w:pos="5960"/>
        </w:tabs>
        <w:ind w:left="5960" w:hanging="360"/>
      </w:pPr>
    </w:lvl>
    <w:lvl w:ilvl="8" w:tplc="001B0407" w:tentative="1">
      <w:start w:val="1"/>
      <w:numFmt w:val="lowerRoman"/>
      <w:lvlText w:val="%9."/>
      <w:lvlJc w:val="right"/>
      <w:pPr>
        <w:tabs>
          <w:tab w:val="num" w:pos="6680"/>
        </w:tabs>
        <w:ind w:left="6680" w:hanging="180"/>
      </w:pPr>
    </w:lvl>
  </w:abstractNum>
  <w:abstractNum w:abstractNumId="3" w15:restartNumberingAfterBreak="0">
    <w:nsid w:val="45953326"/>
    <w:multiLevelType w:val="hybridMultilevel"/>
    <w:tmpl w:val="F85C6CCC"/>
    <w:lvl w:ilvl="0" w:tplc="80A66170">
      <w:start w:val="2"/>
      <w:numFmt w:val="decimal"/>
      <w:lvlText w:val="%1"/>
      <w:lvlJc w:val="left"/>
      <w:pPr>
        <w:tabs>
          <w:tab w:val="num" w:pos="720"/>
        </w:tabs>
        <w:ind w:left="720" w:hanging="360"/>
      </w:pPr>
      <w:rPr>
        <w:rFonts w:hint="default"/>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4" w15:restartNumberingAfterBreak="0">
    <w:nsid w:val="534A0D46"/>
    <w:multiLevelType w:val="multilevel"/>
    <w:tmpl w:val="7B3C2B68"/>
    <w:lvl w:ilvl="0">
      <w:start w:val="1"/>
      <w:numFmt w:val="decimal"/>
      <w:lvlText w:val="%1."/>
      <w:lvlJc w:val="left"/>
      <w:pPr>
        <w:tabs>
          <w:tab w:val="num" w:pos="720"/>
        </w:tabs>
        <w:ind w:left="720" w:hanging="360"/>
      </w:pPr>
      <w:rPr>
        <w:rFonts w:hint="default"/>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6F79518A"/>
    <w:multiLevelType w:val="hybridMultilevel"/>
    <w:tmpl w:val="7B3C2B68"/>
    <w:lvl w:ilvl="0" w:tplc="CFC6C554">
      <w:start w:val="1"/>
      <w:numFmt w:val="decimal"/>
      <w:lvlText w:val="%1."/>
      <w:lvlJc w:val="left"/>
      <w:pPr>
        <w:tabs>
          <w:tab w:val="num" w:pos="720"/>
        </w:tabs>
        <w:ind w:left="720" w:hanging="360"/>
      </w:pPr>
      <w:rPr>
        <w:rFonts w:hint="default"/>
        <w:u w:val="single"/>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6" w15:restartNumberingAfterBreak="0">
    <w:nsid w:val="72A57741"/>
    <w:multiLevelType w:val="hybridMultilevel"/>
    <w:tmpl w:val="E2A4439A"/>
    <w:lvl w:ilvl="0" w:tplc="000F0407">
      <w:start w:val="2"/>
      <w:numFmt w:val="decimal"/>
      <w:lvlText w:val="%1."/>
      <w:lvlJc w:val="left"/>
      <w:pPr>
        <w:tabs>
          <w:tab w:val="num" w:pos="720"/>
        </w:tabs>
        <w:ind w:left="720" w:hanging="360"/>
      </w:pPr>
      <w:rPr>
        <w:rFonts w:hint="default"/>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7" w15:restartNumberingAfterBreak="0">
    <w:nsid w:val="72C70AC4"/>
    <w:multiLevelType w:val="hybridMultilevel"/>
    <w:tmpl w:val="590C8E1E"/>
    <w:lvl w:ilvl="0" w:tplc="B3E80FFC">
      <w:start w:val="2"/>
      <w:numFmt w:val="decimal"/>
      <w:lvlText w:val="%1."/>
      <w:lvlJc w:val="left"/>
      <w:pPr>
        <w:tabs>
          <w:tab w:val="num" w:pos="920"/>
        </w:tabs>
        <w:ind w:left="920" w:hanging="360"/>
      </w:pPr>
      <w:rPr>
        <w:rFonts w:hint="default"/>
      </w:rPr>
    </w:lvl>
    <w:lvl w:ilvl="1" w:tplc="00190407" w:tentative="1">
      <w:start w:val="1"/>
      <w:numFmt w:val="lowerLetter"/>
      <w:lvlText w:val="%2."/>
      <w:lvlJc w:val="left"/>
      <w:pPr>
        <w:tabs>
          <w:tab w:val="num" w:pos="1640"/>
        </w:tabs>
        <w:ind w:left="1640" w:hanging="360"/>
      </w:pPr>
    </w:lvl>
    <w:lvl w:ilvl="2" w:tplc="001B0407" w:tentative="1">
      <w:start w:val="1"/>
      <w:numFmt w:val="lowerRoman"/>
      <w:lvlText w:val="%3."/>
      <w:lvlJc w:val="right"/>
      <w:pPr>
        <w:tabs>
          <w:tab w:val="num" w:pos="2360"/>
        </w:tabs>
        <w:ind w:left="2360" w:hanging="180"/>
      </w:pPr>
    </w:lvl>
    <w:lvl w:ilvl="3" w:tplc="000F0407" w:tentative="1">
      <w:start w:val="1"/>
      <w:numFmt w:val="decimal"/>
      <w:lvlText w:val="%4."/>
      <w:lvlJc w:val="left"/>
      <w:pPr>
        <w:tabs>
          <w:tab w:val="num" w:pos="3080"/>
        </w:tabs>
        <w:ind w:left="3080" w:hanging="360"/>
      </w:pPr>
    </w:lvl>
    <w:lvl w:ilvl="4" w:tplc="00190407" w:tentative="1">
      <w:start w:val="1"/>
      <w:numFmt w:val="lowerLetter"/>
      <w:lvlText w:val="%5."/>
      <w:lvlJc w:val="left"/>
      <w:pPr>
        <w:tabs>
          <w:tab w:val="num" w:pos="3800"/>
        </w:tabs>
        <w:ind w:left="3800" w:hanging="360"/>
      </w:pPr>
    </w:lvl>
    <w:lvl w:ilvl="5" w:tplc="001B0407" w:tentative="1">
      <w:start w:val="1"/>
      <w:numFmt w:val="lowerRoman"/>
      <w:lvlText w:val="%6."/>
      <w:lvlJc w:val="right"/>
      <w:pPr>
        <w:tabs>
          <w:tab w:val="num" w:pos="4520"/>
        </w:tabs>
        <w:ind w:left="4520" w:hanging="180"/>
      </w:pPr>
    </w:lvl>
    <w:lvl w:ilvl="6" w:tplc="000F0407" w:tentative="1">
      <w:start w:val="1"/>
      <w:numFmt w:val="decimal"/>
      <w:lvlText w:val="%7."/>
      <w:lvlJc w:val="left"/>
      <w:pPr>
        <w:tabs>
          <w:tab w:val="num" w:pos="5240"/>
        </w:tabs>
        <w:ind w:left="5240" w:hanging="360"/>
      </w:pPr>
    </w:lvl>
    <w:lvl w:ilvl="7" w:tplc="00190407" w:tentative="1">
      <w:start w:val="1"/>
      <w:numFmt w:val="lowerLetter"/>
      <w:lvlText w:val="%8."/>
      <w:lvlJc w:val="left"/>
      <w:pPr>
        <w:tabs>
          <w:tab w:val="num" w:pos="5960"/>
        </w:tabs>
        <w:ind w:left="5960" w:hanging="360"/>
      </w:pPr>
    </w:lvl>
    <w:lvl w:ilvl="8" w:tplc="001B0407" w:tentative="1">
      <w:start w:val="1"/>
      <w:numFmt w:val="lowerRoman"/>
      <w:lvlText w:val="%9."/>
      <w:lvlJc w:val="right"/>
      <w:pPr>
        <w:tabs>
          <w:tab w:val="num" w:pos="6680"/>
        </w:tabs>
        <w:ind w:left="6680" w:hanging="180"/>
      </w:pPr>
    </w:lvl>
  </w:abstractNum>
  <w:num w:numId="1" w16cid:durableId="2075160223">
    <w:abstractNumId w:val="5"/>
  </w:num>
  <w:num w:numId="2" w16cid:durableId="1175804803">
    <w:abstractNumId w:val="4"/>
  </w:num>
  <w:num w:numId="3" w16cid:durableId="1748922603">
    <w:abstractNumId w:val="2"/>
  </w:num>
  <w:num w:numId="4" w16cid:durableId="1270233818">
    <w:abstractNumId w:val="7"/>
  </w:num>
  <w:num w:numId="5" w16cid:durableId="1801873178">
    <w:abstractNumId w:val="3"/>
  </w:num>
  <w:num w:numId="6" w16cid:durableId="1857428420">
    <w:abstractNumId w:val="6"/>
  </w:num>
  <w:num w:numId="7" w16cid:durableId="1822311789">
    <w:abstractNumId w:val="1"/>
  </w:num>
  <w:num w:numId="8" w16cid:durableId="1848710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activeWritingStyle w:appName="MSWord" w:lang="de-DE" w:vendorID="6" w:dllVersion="2" w:checkStyle="1"/>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430"/>
    <w:rsid w:val="00003C5F"/>
    <w:rsid w:val="0001703E"/>
    <w:rsid w:val="000233CA"/>
    <w:rsid w:val="0002563B"/>
    <w:rsid w:val="0002686B"/>
    <w:rsid w:val="0004300E"/>
    <w:rsid w:val="00080E6E"/>
    <w:rsid w:val="000900E3"/>
    <w:rsid w:val="00092AA8"/>
    <w:rsid w:val="0009327C"/>
    <w:rsid w:val="000A7884"/>
    <w:rsid w:val="000B40EE"/>
    <w:rsid w:val="000B631C"/>
    <w:rsid w:val="000D40F4"/>
    <w:rsid w:val="000D574D"/>
    <w:rsid w:val="000D618A"/>
    <w:rsid w:val="000E13F4"/>
    <w:rsid w:val="00105097"/>
    <w:rsid w:val="00133CA1"/>
    <w:rsid w:val="001374FD"/>
    <w:rsid w:val="00181AF5"/>
    <w:rsid w:val="00191B3C"/>
    <w:rsid w:val="00193B93"/>
    <w:rsid w:val="001952E2"/>
    <w:rsid w:val="001B2B23"/>
    <w:rsid w:val="001F5625"/>
    <w:rsid w:val="00220DD1"/>
    <w:rsid w:val="00225CD7"/>
    <w:rsid w:val="0023359A"/>
    <w:rsid w:val="00267DC8"/>
    <w:rsid w:val="00277589"/>
    <w:rsid w:val="00293A25"/>
    <w:rsid w:val="002A305F"/>
    <w:rsid w:val="002B39E7"/>
    <w:rsid w:val="002C0978"/>
    <w:rsid w:val="00340135"/>
    <w:rsid w:val="00371CDB"/>
    <w:rsid w:val="00373B70"/>
    <w:rsid w:val="00373B78"/>
    <w:rsid w:val="0038562E"/>
    <w:rsid w:val="003879E5"/>
    <w:rsid w:val="003916CC"/>
    <w:rsid w:val="003A358D"/>
    <w:rsid w:val="003A4FA7"/>
    <w:rsid w:val="003A5166"/>
    <w:rsid w:val="003A70D6"/>
    <w:rsid w:val="003B0ECF"/>
    <w:rsid w:val="0040357B"/>
    <w:rsid w:val="00420245"/>
    <w:rsid w:val="00440622"/>
    <w:rsid w:val="004812FD"/>
    <w:rsid w:val="00493F84"/>
    <w:rsid w:val="004A7CA2"/>
    <w:rsid w:val="004C50B8"/>
    <w:rsid w:val="0050502F"/>
    <w:rsid w:val="005173E5"/>
    <w:rsid w:val="00523497"/>
    <w:rsid w:val="00524D17"/>
    <w:rsid w:val="00555CFE"/>
    <w:rsid w:val="005600C6"/>
    <w:rsid w:val="00571E3E"/>
    <w:rsid w:val="00580430"/>
    <w:rsid w:val="00590F18"/>
    <w:rsid w:val="005A11BE"/>
    <w:rsid w:val="005A3407"/>
    <w:rsid w:val="005A60E3"/>
    <w:rsid w:val="005D1469"/>
    <w:rsid w:val="005F450C"/>
    <w:rsid w:val="006063ED"/>
    <w:rsid w:val="00633D39"/>
    <w:rsid w:val="00654481"/>
    <w:rsid w:val="006759F1"/>
    <w:rsid w:val="00683216"/>
    <w:rsid w:val="006B45A3"/>
    <w:rsid w:val="006C16E5"/>
    <w:rsid w:val="006C4DDD"/>
    <w:rsid w:val="006C534B"/>
    <w:rsid w:val="006C799F"/>
    <w:rsid w:val="006E102D"/>
    <w:rsid w:val="006E2F8B"/>
    <w:rsid w:val="00701B60"/>
    <w:rsid w:val="00703074"/>
    <w:rsid w:val="00705B19"/>
    <w:rsid w:val="00732D1A"/>
    <w:rsid w:val="00734EC7"/>
    <w:rsid w:val="00756AE9"/>
    <w:rsid w:val="007773B0"/>
    <w:rsid w:val="00784045"/>
    <w:rsid w:val="007A5BF1"/>
    <w:rsid w:val="007A683A"/>
    <w:rsid w:val="007B7B1B"/>
    <w:rsid w:val="007C1CB4"/>
    <w:rsid w:val="007C459D"/>
    <w:rsid w:val="007D75BF"/>
    <w:rsid w:val="00817887"/>
    <w:rsid w:val="00823640"/>
    <w:rsid w:val="00834C27"/>
    <w:rsid w:val="008365EE"/>
    <w:rsid w:val="00852363"/>
    <w:rsid w:val="00854213"/>
    <w:rsid w:val="00864F65"/>
    <w:rsid w:val="00871625"/>
    <w:rsid w:val="00872DDD"/>
    <w:rsid w:val="0087740E"/>
    <w:rsid w:val="00885511"/>
    <w:rsid w:val="008A4D97"/>
    <w:rsid w:val="008B33EE"/>
    <w:rsid w:val="008C345A"/>
    <w:rsid w:val="008D411C"/>
    <w:rsid w:val="008D5BA3"/>
    <w:rsid w:val="008D748D"/>
    <w:rsid w:val="008E2605"/>
    <w:rsid w:val="008E2E0B"/>
    <w:rsid w:val="008E3676"/>
    <w:rsid w:val="00901A96"/>
    <w:rsid w:val="00904D4A"/>
    <w:rsid w:val="00905C95"/>
    <w:rsid w:val="009120C6"/>
    <w:rsid w:val="00914424"/>
    <w:rsid w:val="00925299"/>
    <w:rsid w:val="009543C0"/>
    <w:rsid w:val="00956979"/>
    <w:rsid w:val="00960F3C"/>
    <w:rsid w:val="00965854"/>
    <w:rsid w:val="009840DE"/>
    <w:rsid w:val="009923CA"/>
    <w:rsid w:val="00994F9E"/>
    <w:rsid w:val="009970EE"/>
    <w:rsid w:val="009C4D6C"/>
    <w:rsid w:val="009E05D4"/>
    <w:rsid w:val="00A00FA7"/>
    <w:rsid w:val="00A03689"/>
    <w:rsid w:val="00A120C7"/>
    <w:rsid w:val="00A24DB9"/>
    <w:rsid w:val="00A40CA6"/>
    <w:rsid w:val="00A44421"/>
    <w:rsid w:val="00A62ADF"/>
    <w:rsid w:val="00A74785"/>
    <w:rsid w:val="00A83BB4"/>
    <w:rsid w:val="00AA1ADD"/>
    <w:rsid w:val="00AC2293"/>
    <w:rsid w:val="00AE24C3"/>
    <w:rsid w:val="00AF4896"/>
    <w:rsid w:val="00B31FCF"/>
    <w:rsid w:val="00B3584C"/>
    <w:rsid w:val="00B56849"/>
    <w:rsid w:val="00B66B65"/>
    <w:rsid w:val="00B710B2"/>
    <w:rsid w:val="00B90859"/>
    <w:rsid w:val="00B9203E"/>
    <w:rsid w:val="00BC7486"/>
    <w:rsid w:val="00BC74FB"/>
    <w:rsid w:val="00BD1CCB"/>
    <w:rsid w:val="00BE0548"/>
    <w:rsid w:val="00BE36BF"/>
    <w:rsid w:val="00BE4923"/>
    <w:rsid w:val="00BF6C33"/>
    <w:rsid w:val="00BF73F9"/>
    <w:rsid w:val="00C529A0"/>
    <w:rsid w:val="00C52FCD"/>
    <w:rsid w:val="00C676E7"/>
    <w:rsid w:val="00C7631E"/>
    <w:rsid w:val="00C9565F"/>
    <w:rsid w:val="00CB56D4"/>
    <w:rsid w:val="00CC3313"/>
    <w:rsid w:val="00CC6CCF"/>
    <w:rsid w:val="00CF4A5B"/>
    <w:rsid w:val="00D00B4D"/>
    <w:rsid w:val="00D14EF3"/>
    <w:rsid w:val="00D239BF"/>
    <w:rsid w:val="00D33088"/>
    <w:rsid w:val="00D332DE"/>
    <w:rsid w:val="00D365ED"/>
    <w:rsid w:val="00D54CD2"/>
    <w:rsid w:val="00D60BEE"/>
    <w:rsid w:val="00D62FCB"/>
    <w:rsid w:val="00D64099"/>
    <w:rsid w:val="00DE47F0"/>
    <w:rsid w:val="00DE7687"/>
    <w:rsid w:val="00DF623F"/>
    <w:rsid w:val="00E268F7"/>
    <w:rsid w:val="00E47D49"/>
    <w:rsid w:val="00E5074F"/>
    <w:rsid w:val="00E73451"/>
    <w:rsid w:val="00E73F6E"/>
    <w:rsid w:val="00E804D3"/>
    <w:rsid w:val="00EC2C40"/>
    <w:rsid w:val="00F31494"/>
    <w:rsid w:val="00F32F14"/>
    <w:rsid w:val="00F411E4"/>
    <w:rsid w:val="00F43EC9"/>
    <w:rsid w:val="00F55D56"/>
    <w:rsid w:val="00F63EC9"/>
    <w:rsid w:val="00F704BE"/>
    <w:rsid w:val="00FC5823"/>
    <w:rsid w:val="00FD3B82"/>
    <w:rsid w:val="00FD4F0B"/>
    <w:rsid w:val="00FE4CA3"/>
    <w:rsid w:val="00FF0A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B305137"/>
  <w15:chartTrackingRefBased/>
  <w15:docId w15:val="{7D2F994C-4FB4-4D9C-89FF-8265B54F0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B4E7E"/>
    <w:pPr>
      <w:widowControl w:val="0"/>
      <w:autoSpaceDE w:val="0"/>
      <w:autoSpaceDN w:val="0"/>
      <w:adjustRightInd w:val="0"/>
    </w:pPr>
    <w:rPr>
      <w:rFonts w:ascii="Dutch Roman 12pt" w:hAnsi="Dutch Roman 12pt" w:cs="Arial Narrow"/>
      <w:sz w:val="24"/>
      <w:szCs w:val="24"/>
    </w:rPr>
  </w:style>
  <w:style w:type="paragraph" w:styleId="berschrift1">
    <w:name w:val="heading 1"/>
    <w:basedOn w:val="Standard"/>
    <w:link w:val="berschrift1Zchn"/>
    <w:uiPriority w:val="9"/>
    <w:qFormat/>
    <w:rsid w:val="00371CDB"/>
    <w:pPr>
      <w:widowControl/>
      <w:autoSpaceDE/>
      <w:autoSpaceDN/>
      <w:adjustRightInd/>
      <w:spacing w:before="100" w:beforeAutospacing="1" w:after="100" w:afterAutospacing="1"/>
      <w:outlineLvl w:val="0"/>
    </w:pPr>
    <w:rPr>
      <w:rFonts w:ascii="Times New Roman" w:hAnsi="Times New Roman" w:cs="Times New Roman"/>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qFormat/>
    <w:rsid w:val="000B4E7E"/>
  </w:style>
  <w:style w:type="paragraph" w:styleId="Textkrper-Zeileneinzug">
    <w:name w:val="Body Text Indent"/>
    <w:basedOn w:val="Standard"/>
    <w:rsid w:val="00422976"/>
    <w:pPr>
      <w:autoSpaceDE/>
      <w:autoSpaceDN/>
      <w:adjustRightInd/>
      <w:ind w:left="336"/>
      <w:jc w:val="both"/>
    </w:pPr>
    <w:rPr>
      <w:rFonts w:ascii="Times New Roman" w:hAnsi="Times New Roman" w:cs="Times New Roman"/>
      <w:snapToGrid w:val="0"/>
      <w:spacing w:val="-2"/>
      <w:sz w:val="20"/>
      <w:szCs w:val="20"/>
    </w:rPr>
  </w:style>
  <w:style w:type="paragraph" w:styleId="Textkrper-Einzug2">
    <w:name w:val="Body Text Indent 2"/>
    <w:basedOn w:val="Standard"/>
    <w:rsid w:val="00422976"/>
    <w:pPr>
      <w:tabs>
        <w:tab w:val="left" w:pos="426"/>
      </w:tabs>
      <w:autoSpaceDE/>
      <w:autoSpaceDN/>
      <w:adjustRightInd/>
      <w:ind w:left="426"/>
      <w:jc w:val="both"/>
    </w:pPr>
    <w:rPr>
      <w:rFonts w:ascii="Times New Roman" w:hAnsi="Times New Roman" w:cs="Times New Roman"/>
      <w:snapToGrid w:val="0"/>
      <w:spacing w:val="-2"/>
      <w:sz w:val="20"/>
      <w:szCs w:val="20"/>
    </w:rPr>
  </w:style>
  <w:style w:type="paragraph" w:styleId="Sprechblasentext">
    <w:name w:val="Balloon Text"/>
    <w:basedOn w:val="Standard"/>
    <w:semiHidden/>
    <w:rsid w:val="00620C7C"/>
    <w:rPr>
      <w:rFonts w:ascii="Tahoma" w:hAnsi="Tahoma" w:cs="Tahoma"/>
      <w:sz w:val="16"/>
      <w:szCs w:val="16"/>
    </w:rPr>
  </w:style>
  <w:style w:type="character" w:customStyle="1" w:styleId="n">
    <w:name w:val="n"/>
    <w:rsid w:val="000D40F4"/>
  </w:style>
  <w:style w:type="character" w:customStyle="1" w:styleId="berschrift1Zchn">
    <w:name w:val="Überschrift 1 Zchn"/>
    <w:link w:val="berschrift1"/>
    <w:uiPriority w:val="9"/>
    <w:rsid w:val="00371CDB"/>
    <w:rPr>
      <w:b/>
      <w:bCs/>
      <w:kern w:val="36"/>
      <w:sz w:val="48"/>
      <w:szCs w:val="48"/>
    </w:rPr>
  </w:style>
  <w:style w:type="paragraph" w:customStyle="1" w:styleId="FarbigeSchattierung-Akzent11">
    <w:name w:val="Farbige Schattierung - Akzent 11"/>
    <w:hidden/>
    <w:uiPriority w:val="71"/>
    <w:rsid w:val="00A40CA6"/>
    <w:rPr>
      <w:rFonts w:ascii="Dutch Roman 12pt" w:hAnsi="Dutch Roman 12pt" w:cs="Arial Narrow"/>
      <w:sz w:val="24"/>
      <w:szCs w:val="24"/>
    </w:rPr>
  </w:style>
  <w:style w:type="character" w:styleId="Kommentarzeichen">
    <w:name w:val="annotation reference"/>
    <w:uiPriority w:val="99"/>
    <w:semiHidden/>
    <w:unhideWhenUsed/>
    <w:rsid w:val="00705B19"/>
    <w:rPr>
      <w:sz w:val="16"/>
      <w:szCs w:val="16"/>
    </w:rPr>
  </w:style>
  <w:style w:type="paragraph" w:styleId="Kommentartext">
    <w:name w:val="annotation text"/>
    <w:basedOn w:val="Standard"/>
    <w:link w:val="KommentartextZchn"/>
    <w:uiPriority w:val="99"/>
    <w:unhideWhenUsed/>
    <w:rsid w:val="00705B19"/>
    <w:rPr>
      <w:sz w:val="20"/>
      <w:szCs w:val="20"/>
    </w:rPr>
  </w:style>
  <w:style w:type="character" w:customStyle="1" w:styleId="KommentartextZchn">
    <w:name w:val="Kommentartext Zchn"/>
    <w:link w:val="Kommentartext"/>
    <w:uiPriority w:val="99"/>
    <w:rsid w:val="00705B19"/>
    <w:rPr>
      <w:rFonts w:ascii="Dutch Roman 12pt" w:hAnsi="Dutch Roman 12pt" w:cs="Arial Narrow"/>
    </w:rPr>
  </w:style>
  <w:style w:type="paragraph" w:styleId="Kommentarthema">
    <w:name w:val="annotation subject"/>
    <w:basedOn w:val="Kommentartext"/>
    <w:next w:val="Kommentartext"/>
    <w:link w:val="KommentarthemaZchn"/>
    <w:uiPriority w:val="99"/>
    <w:semiHidden/>
    <w:unhideWhenUsed/>
    <w:rsid w:val="00705B19"/>
    <w:rPr>
      <w:b/>
      <w:bCs/>
    </w:rPr>
  </w:style>
  <w:style w:type="character" w:customStyle="1" w:styleId="KommentarthemaZchn">
    <w:name w:val="Kommentarthema Zchn"/>
    <w:link w:val="Kommentarthema"/>
    <w:uiPriority w:val="99"/>
    <w:semiHidden/>
    <w:rsid w:val="00705B19"/>
    <w:rPr>
      <w:rFonts w:ascii="Dutch Roman 12pt" w:hAnsi="Dutch Roman 12pt" w:cs="Arial Narrow"/>
      <w:b/>
      <w:bCs/>
    </w:rPr>
  </w:style>
  <w:style w:type="paragraph" w:styleId="berarbeitung">
    <w:name w:val="Revision"/>
    <w:hidden/>
    <w:uiPriority w:val="71"/>
    <w:rsid w:val="00191B3C"/>
    <w:rPr>
      <w:rFonts w:ascii="Dutch Roman 12pt" w:hAnsi="Dutch Roman 12pt" w:cs="Arial Narrow"/>
      <w:sz w:val="24"/>
      <w:szCs w:val="24"/>
    </w:rPr>
  </w:style>
  <w:style w:type="paragraph" w:styleId="Listenabsatz">
    <w:name w:val="List Paragraph"/>
    <w:basedOn w:val="Standard"/>
    <w:uiPriority w:val="72"/>
    <w:qFormat/>
    <w:rsid w:val="00D239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11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D1B9A-4C5E-4F1D-BEE3-7258A4184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1412</Words>
  <Characters>8898</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Professor Dr</vt:lpstr>
    </vt:vector>
  </TitlesOfParts>
  <Company>Humboldt-Universität zu Berlin</Company>
  <LinksUpToDate>false</LinksUpToDate>
  <CharactersWithSpaces>10290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Dr</dc:title>
  <dc:subject/>
  <dc:creator>Juristische Fakultät</dc:creator>
  <cp:keywords/>
  <cp:lastModifiedBy>Judith Schult</cp:lastModifiedBy>
  <cp:revision>2</cp:revision>
  <cp:lastPrinted>2020-10-28T16:33:00Z</cp:lastPrinted>
  <dcterms:created xsi:type="dcterms:W3CDTF">2024-10-09T16:14:00Z</dcterms:created>
  <dcterms:modified xsi:type="dcterms:W3CDTF">2024-10-09T16:14:00Z</dcterms:modified>
</cp:coreProperties>
</file>