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8FEB7" w14:textId="4144A4A0" w:rsidR="00C14C0B" w:rsidRDefault="00C14C0B">
      <w:pPr>
        <w:tabs>
          <w:tab w:val="right" w:pos="10206"/>
        </w:tabs>
        <w:jc w:val="both"/>
        <w:rPr>
          <w:b/>
          <w:spacing w:val="-3"/>
        </w:rPr>
      </w:pPr>
      <w:r>
        <w:rPr>
          <w:b/>
          <w:spacing w:val="-3"/>
        </w:rPr>
        <w:t xml:space="preserve">Prof. Dr. </w:t>
      </w:r>
      <w:r w:rsidR="00261E03">
        <w:rPr>
          <w:b/>
          <w:spacing w:val="-3"/>
        </w:rPr>
        <w:t xml:space="preserve">Dr. h.c. </w:t>
      </w:r>
      <w:r>
        <w:rPr>
          <w:b/>
          <w:spacing w:val="-3"/>
        </w:rPr>
        <w:t>Bernd Heinrich/</w:t>
      </w:r>
      <w:r w:rsidR="00B65827">
        <w:rPr>
          <w:b/>
          <w:spacing w:val="-3"/>
        </w:rPr>
        <w:t>Pr</w:t>
      </w:r>
      <w:r w:rsidR="000F4E71">
        <w:rPr>
          <w:b/>
          <w:spacing w:val="-3"/>
        </w:rPr>
        <w:t>of</w:t>
      </w:r>
      <w:r w:rsidR="00B65827">
        <w:rPr>
          <w:b/>
          <w:spacing w:val="-3"/>
        </w:rPr>
        <w:t xml:space="preserve">. </w:t>
      </w:r>
      <w:r>
        <w:rPr>
          <w:b/>
          <w:spacing w:val="-3"/>
        </w:rPr>
        <w:t>Dr. Tobias Reinbacher</w:t>
      </w:r>
      <w:r>
        <w:rPr>
          <w:b/>
          <w:spacing w:val="-3"/>
        </w:rPr>
        <w:tab/>
        <w:t xml:space="preserve">Stand: 1. </w:t>
      </w:r>
      <w:r w:rsidR="00062684">
        <w:rPr>
          <w:b/>
          <w:spacing w:val="-3"/>
        </w:rPr>
        <w:t>Oktober</w:t>
      </w:r>
      <w:r w:rsidR="00C0461D">
        <w:rPr>
          <w:b/>
          <w:spacing w:val="-3"/>
        </w:rPr>
        <w:t xml:space="preserve"> 20</w:t>
      </w:r>
      <w:r w:rsidR="009A7078">
        <w:rPr>
          <w:b/>
          <w:spacing w:val="-3"/>
        </w:rPr>
        <w:t>2</w:t>
      </w:r>
      <w:r w:rsidR="005428E2">
        <w:rPr>
          <w:b/>
          <w:spacing w:val="-3"/>
        </w:rPr>
        <w:t>4</w:t>
      </w:r>
    </w:p>
    <w:p w14:paraId="02C06CC7" w14:textId="77777777" w:rsidR="00C14C0B" w:rsidRDefault="00C14C0B">
      <w:pPr>
        <w:tabs>
          <w:tab w:val="left" w:pos="-720"/>
        </w:tabs>
        <w:jc w:val="both"/>
        <w:rPr>
          <w:spacing w:val="-3"/>
        </w:rPr>
      </w:pPr>
    </w:p>
    <w:p w14:paraId="2B19CDE9" w14:textId="71EE5934" w:rsidR="00C14C0B" w:rsidRDefault="00C14C0B" w:rsidP="004D2A23">
      <w:pPr>
        <w:framePr w:w="9726" w:h="1462" w:hSpace="240" w:vSpace="120" w:wrap="auto" w:vAnchor="text" w:hAnchor="margin" w:x="241" w:y="127"/>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3"/>
        </w:rPr>
      </w:pPr>
      <w:r>
        <w:rPr>
          <w:b/>
          <w:spacing w:val="-3"/>
        </w:rPr>
        <w:t>Examinatorium Strafprozessrecht – Arbeitsblatt Nr.</w:t>
      </w:r>
      <w:r w:rsidR="005428E2">
        <w:rPr>
          <w:b/>
          <w:spacing w:val="-3"/>
        </w:rPr>
        <w:t> </w:t>
      </w:r>
      <w:r>
        <w:rPr>
          <w:b/>
          <w:spacing w:val="-3"/>
        </w:rPr>
        <w:t>26</w:t>
      </w:r>
    </w:p>
    <w:p w14:paraId="30AB09BE" w14:textId="1C6C64F2" w:rsidR="00C14C0B" w:rsidRDefault="00C14C0B">
      <w:pPr>
        <w:framePr w:w="9726" w:h="1462" w:hSpace="240" w:vSpace="120" w:wrap="auto" w:vAnchor="text" w:hAnchor="margin" w:x="241" w:y="127"/>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pPr>
      <w:r w:rsidRPr="00D32CF8">
        <w:rPr>
          <w:b/>
          <w:spacing w:val="-7"/>
          <w:sz w:val="52"/>
          <w:szCs w:val="52"/>
        </w:rPr>
        <w:t>Beweisverwertungsverbote I – Überblick</w:t>
      </w:r>
    </w:p>
    <w:p w14:paraId="099EFE8C" w14:textId="77777777" w:rsidR="002E0924" w:rsidRDefault="002E0924" w:rsidP="002E0924">
      <w:pPr>
        <w:pStyle w:val="Beschriftung"/>
        <w:framePr w:w="9726" w:h="1462" w:hSpace="240" w:vSpace="120" w:wrap="auto" w:vAnchor="text" w:hAnchor="margin" w:x="241" w:y="127"/>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left" w:pos="-720"/>
        </w:tabs>
        <w:spacing w:line="-1" w:lineRule="auto"/>
        <w:jc w:val="both"/>
        <w:rPr>
          <w:rFonts w:ascii="Times New Roman" w:hAnsi="Times New Roman"/>
          <w:vanish/>
          <w:spacing w:val="-7"/>
          <w:sz w:val="60"/>
        </w:rPr>
      </w:pPr>
      <w:r>
        <w:rPr>
          <w:rFonts w:ascii="Times New Roman" w:hAnsi="Times New Roman"/>
          <w:vanish/>
          <w:spacing w:val="-7"/>
          <w:sz w:val="60"/>
        </w:rPr>
        <w:fldChar w:fldCharType="begin"/>
      </w:r>
      <w:r>
        <w:rPr>
          <w:rFonts w:ascii="Times New Roman" w:hAnsi="Times New Roman"/>
          <w:vanish/>
          <w:spacing w:val="-7"/>
          <w:sz w:val="60"/>
        </w:rPr>
        <w:instrText>SEQ Text_Box  \* ARABIC</w:instrText>
      </w:r>
      <w:r>
        <w:rPr>
          <w:rFonts w:ascii="Times New Roman" w:hAnsi="Times New Roman"/>
          <w:vanish/>
          <w:spacing w:val="-7"/>
          <w:sz w:val="60"/>
        </w:rPr>
        <w:fldChar w:fldCharType="separate"/>
      </w:r>
      <w:r>
        <w:rPr>
          <w:rFonts w:ascii="Times New Roman" w:hAnsi="Times New Roman"/>
          <w:noProof/>
          <w:vanish/>
          <w:spacing w:val="-7"/>
          <w:sz w:val="60"/>
        </w:rPr>
        <w:t>1</w:t>
      </w:r>
      <w:r>
        <w:rPr>
          <w:rFonts w:ascii="Times New Roman" w:hAnsi="Times New Roman"/>
          <w:vanish/>
          <w:spacing w:val="-7"/>
          <w:sz w:val="60"/>
        </w:rPr>
        <w:fldChar w:fldCharType="end"/>
      </w:r>
    </w:p>
    <w:p w14:paraId="62F63D44" w14:textId="1860F6AC" w:rsidR="002E0924" w:rsidRPr="004D2A23" w:rsidRDefault="002E0924" w:rsidP="004D2A23">
      <w:pPr>
        <w:pStyle w:val="Beschriftung"/>
        <w:framePr w:w="9726" w:h="1462" w:hSpace="240" w:vSpace="120" w:wrap="auto" w:vAnchor="text" w:hAnchor="margin" w:x="241" w:y="127"/>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left" w:pos="-720"/>
        </w:tabs>
        <w:spacing w:line="-1" w:lineRule="auto"/>
        <w:jc w:val="both"/>
        <w:rPr>
          <w:rFonts w:ascii="Times New Roman" w:hAnsi="Times New Roman"/>
          <w:vanish/>
          <w:spacing w:val="-7"/>
          <w:sz w:val="60"/>
        </w:rPr>
      </w:pPr>
      <w:r>
        <w:rPr>
          <w:rFonts w:ascii="Times New Roman" w:hAnsi="Times New Roman"/>
          <w:vanish/>
          <w:spacing w:val="-7"/>
          <w:sz w:val="60"/>
        </w:rPr>
        <w:fldChar w:fldCharType="begin"/>
      </w:r>
      <w:r>
        <w:rPr>
          <w:rFonts w:ascii="Times New Roman" w:hAnsi="Times New Roman"/>
          <w:vanish/>
          <w:spacing w:val="-7"/>
          <w:sz w:val="60"/>
        </w:rPr>
        <w:instrText>SEQ Text_Box  \* ARABIC</w:instrText>
      </w:r>
      <w:r>
        <w:rPr>
          <w:rFonts w:ascii="Times New Roman" w:hAnsi="Times New Roman"/>
          <w:vanish/>
          <w:spacing w:val="-7"/>
          <w:sz w:val="60"/>
        </w:rPr>
        <w:fldChar w:fldCharType="separate"/>
      </w:r>
      <w:r>
        <w:rPr>
          <w:rFonts w:ascii="Times New Roman" w:hAnsi="Times New Roman"/>
          <w:noProof/>
          <w:vanish/>
          <w:spacing w:val="-7"/>
          <w:sz w:val="60"/>
        </w:rPr>
        <w:t>1</w:t>
      </w:r>
      <w:r>
        <w:rPr>
          <w:rFonts w:ascii="Times New Roman" w:hAnsi="Times New Roman"/>
          <w:vanish/>
          <w:spacing w:val="-7"/>
          <w:sz w:val="60"/>
        </w:rPr>
        <w:fldChar w:fldCharType="end"/>
      </w:r>
    </w:p>
    <w:p w14:paraId="577B53C3" w14:textId="77777777" w:rsidR="008205B4" w:rsidRDefault="008205B4" w:rsidP="009A7078">
      <w:pPr>
        <w:widowControl/>
        <w:tabs>
          <w:tab w:val="left" w:pos="-720"/>
          <w:tab w:val="left" w:pos="284"/>
          <w:tab w:val="left" w:pos="864"/>
          <w:tab w:val="left" w:pos="1116"/>
          <w:tab w:val="left" w:pos="1404"/>
          <w:tab w:val="left" w:pos="1692"/>
          <w:tab w:val="left" w:pos="1980"/>
          <w:tab w:val="left" w:pos="2268"/>
          <w:tab w:val="left" w:pos="2880"/>
        </w:tabs>
        <w:spacing w:line="170" w:lineRule="exact"/>
        <w:ind w:left="284" w:hanging="284"/>
        <w:jc w:val="both"/>
        <w:rPr>
          <w:rFonts w:ascii="Times New Roman" w:hAnsi="Times New Roman"/>
          <w:b/>
          <w:spacing w:val="-2"/>
          <w:sz w:val="16"/>
          <w:szCs w:val="16"/>
        </w:rPr>
      </w:pPr>
    </w:p>
    <w:p w14:paraId="2CA1897A" w14:textId="3558BBD8" w:rsidR="00C14C0B" w:rsidRPr="002C183C" w:rsidRDefault="00C14C0B" w:rsidP="001A58E6">
      <w:pPr>
        <w:widowControl/>
        <w:tabs>
          <w:tab w:val="left" w:pos="-720"/>
          <w:tab w:val="left" w:pos="284"/>
          <w:tab w:val="left" w:pos="864"/>
          <w:tab w:val="left" w:pos="1116"/>
          <w:tab w:val="left" w:pos="1404"/>
          <w:tab w:val="left" w:pos="1692"/>
          <w:tab w:val="left" w:pos="1980"/>
          <w:tab w:val="left" w:pos="2268"/>
          <w:tab w:val="left" w:pos="2880"/>
        </w:tabs>
        <w:spacing w:line="170" w:lineRule="exact"/>
        <w:ind w:left="284" w:hanging="284"/>
        <w:jc w:val="both"/>
        <w:rPr>
          <w:rFonts w:ascii="Times New Roman" w:hAnsi="Times New Roman"/>
          <w:spacing w:val="-2"/>
          <w:sz w:val="16"/>
          <w:szCs w:val="16"/>
        </w:rPr>
      </w:pPr>
      <w:r w:rsidRPr="002C183C">
        <w:rPr>
          <w:rFonts w:ascii="Times New Roman" w:hAnsi="Times New Roman"/>
          <w:b/>
          <w:spacing w:val="-2"/>
          <w:sz w:val="16"/>
          <w:szCs w:val="16"/>
        </w:rPr>
        <w:t xml:space="preserve">I. </w:t>
      </w:r>
      <w:r w:rsidRPr="00C56CD5">
        <w:rPr>
          <w:rFonts w:ascii="Times New Roman" w:hAnsi="Times New Roman"/>
          <w:b/>
          <w:spacing w:val="-2"/>
          <w:sz w:val="16"/>
          <w:szCs w:val="16"/>
        </w:rPr>
        <w:tab/>
        <w:t>Allgemeines:</w:t>
      </w:r>
      <w:r w:rsidRPr="00C56CD5">
        <w:rPr>
          <w:rFonts w:ascii="Times New Roman" w:hAnsi="Times New Roman"/>
          <w:spacing w:val="-2"/>
          <w:sz w:val="16"/>
          <w:szCs w:val="16"/>
        </w:rPr>
        <w:t xml:space="preserve"> Im Strafprozessrecht geht es – </w:t>
      </w:r>
      <w:r w:rsidR="00FB5A5B">
        <w:rPr>
          <w:rFonts w:ascii="Times New Roman" w:hAnsi="Times New Roman"/>
          <w:spacing w:val="-2"/>
          <w:sz w:val="16"/>
          <w:szCs w:val="16"/>
        </w:rPr>
        <w:t>insb.</w:t>
      </w:r>
      <w:r w:rsidR="00FB5A5B" w:rsidRPr="00C56CD5">
        <w:rPr>
          <w:rFonts w:ascii="Times New Roman" w:hAnsi="Times New Roman"/>
          <w:spacing w:val="-2"/>
          <w:sz w:val="16"/>
          <w:szCs w:val="16"/>
        </w:rPr>
        <w:t xml:space="preserve"> </w:t>
      </w:r>
      <w:r w:rsidRPr="00C56CD5">
        <w:rPr>
          <w:rFonts w:ascii="Times New Roman" w:hAnsi="Times New Roman"/>
          <w:spacing w:val="-2"/>
          <w:sz w:val="16"/>
          <w:szCs w:val="16"/>
        </w:rPr>
        <w:t>im Zusammenhang mit der Gewinnung von Beweisen – oftmals um schwerwiegende Eingriffe in Grundrechte des Betroffenen. Dessen Rechte kollidieren indes mit der Pflicht zur umfasse</w:t>
      </w:r>
      <w:r w:rsidRPr="002C183C">
        <w:rPr>
          <w:rFonts w:ascii="Times New Roman" w:hAnsi="Times New Roman"/>
          <w:spacing w:val="-2"/>
          <w:sz w:val="16"/>
          <w:szCs w:val="16"/>
        </w:rPr>
        <w:t>nden Sachverhaltsaufklärung auf Seiten der Ermittlungsbehörden. Der Konflikt ist nur teilweise im Gesetz gelöst. In der StPO sind an verschiedenen Stellen Regelungen über das Verfahren der Beweiserhebung normiert. War die Beweis</w:t>
      </w:r>
      <w:r w:rsidRPr="002C183C">
        <w:rPr>
          <w:rFonts w:ascii="Times New Roman" w:hAnsi="Times New Roman"/>
          <w:b/>
          <w:spacing w:val="-2"/>
          <w:sz w:val="16"/>
          <w:szCs w:val="16"/>
        </w:rPr>
        <w:t>erhebung</w:t>
      </w:r>
      <w:r w:rsidRPr="002C183C">
        <w:rPr>
          <w:rFonts w:ascii="Times New Roman" w:hAnsi="Times New Roman"/>
          <w:spacing w:val="-2"/>
          <w:sz w:val="16"/>
          <w:szCs w:val="16"/>
        </w:rPr>
        <w:t xml:space="preserve"> unzulässig, d.h. mit einem Verfahrensfehler behaftet (z.B. unterbliebene Belehrung), so bedeutet dies noch nicht, dass hieraus zwingend auch ein Beweis</w:t>
      </w:r>
      <w:r w:rsidRPr="002C183C">
        <w:rPr>
          <w:rFonts w:ascii="Times New Roman" w:hAnsi="Times New Roman"/>
          <w:b/>
          <w:spacing w:val="-2"/>
          <w:sz w:val="16"/>
          <w:szCs w:val="16"/>
        </w:rPr>
        <w:t>verwertungs</w:t>
      </w:r>
      <w:r w:rsidRPr="002C183C">
        <w:rPr>
          <w:rFonts w:ascii="Times New Roman" w:hAnsi="Times New Roman"/>
          <w:spacing w:val="-2"/>
          <w:sz w:val="16"/>
          <w:szCs w:val="16"/>
        </w:rPr>
        <w:t xml:space="preserve">verbot folgt. Andererseits kann aber auch die Beweiserhebung zulässig gewesen und dennoch ein selbstständiges Beweisverwertungsverbot anzunehmen sein. Beweisverwertungsverbote sind nur an wenigen Stellen in der StPO (oder anderen Gesetzen) explizit geregelt, z.B. in </w:t>
      </w:r>
      <w:r w:rsidRPr="00BF5E80">
        <w:rPr>
          <w:rFonts w:ascii="Times New Roman" w:hAnsi="Times New Roman"/>
          <w:b/>
          <w:spacing w:val="-2"/>
          <w:sz w:val="16"/>
          <w:szCs w:val="16"/>
        </w:rPr>
        <w:t>§ </w:t>
      </w:r>
      <w:r w:rsidR="00C0461D" w:rsidRPr="00BF5E80">
        <w:rPr>
          <w:rFonts w:ascii="Times New Roman" w:hAnsi="Times New Roman"/>
          <w:b/>
          <w:spacing w:val="-2"/>
          <w:sz w:val="16"/>
          <w:szCs w:val="16"/>
        </w:rPr>
        <w:t>100d II 1 </w:t>
      </w:r>
      <w:r w:rsidRPr="00BF5E80">
        <w:rPr>
          <w:rFonts w:ascii="Times New Roman" w:hAnsi="Times New Roman"/>
          <w:b/>
          <w:spacing w:val="-2"/>
          <w:sz w:val="16"/>
          <w:szCs w:val="16"/>
        </w:rPr>
        <w:t>StPO</w:t>
      </w:r>
      <w:r w:rsidRPr="002C183C">
        <w:rPr>
          <w:rFonts w:ascii="Times New Roman" w:hAnsi="Times New Roman"/>
          <w:spacing w:val="-2"/>
          <w:sz w:val="16"/>
          <w:szCs w:val="16"/>
        </w:rPr>
        <w:t xml:space="preserve"> hinsichtlich des Kernbereiches persönlicher Lebensgestaltung: </w:t>
      </w:r>
      <w:r w:rsidR="00C0461D">
        <w:rPr>
          <w:rFonts w:ascii="Times New Roman" w:hAnsi="Times New Roman"/>
          <w:spacing w:val="-2"/>
          <w:sz w:val="16"/>
          <w:szCs w:val="16"/>
        </w:rPr>
        <w:t>Erkenntnisse aus dem Kernbereich privater Lebensgestaltung, die durch eine Maßnahme nach den §§</w:t>
      </w:r>
      <w:r w:rsidR="00FB5A5B">
        <w:rPr>
          <w:rFonts w:ascii="Times New Roman" w:hAnsi="Times New Roman"/>
          <w:spacing w:val="-2"/>
          <w:sz w:val="16"/>
          <w:szCs w:val="16"/>
        </w:rPr>
        <w:t> </w:t>
      </w:r>
      <w:r w:rsidR="00C0461D">
        <w:rPr>
          <w:rFonts w:ascii="Times New Roman" w:hAnsi="Times New Roman"/>
          <w:spacing w:val="-2"/>
          <w:sz w:val="16"/>
          <w:szCs w:val="16"/>
        </w:rPr>
        <w:t xml:space="preserve">100a </w:t>
      </w:r>
      <w:r w:rsidR="00FB5A5B">
        <w:rPr>
          <w:rFonts w:ascii="Times New Roman" w:hAnsi="Times New Roman"/>
          <w:spacing w:val="-2"/>
          <w:sz w:val="16"/>
          <w:szCs w:val="16"/>
        </w:rPr>
        <w:t>-</w:t>
      </w:r>
      <w:r w:rsidR="00C0461D">
        <w:rPr>
          <w:rFonts w:ascii="Times New Roman" w:hAnsi="Times New Roman"/>
          <w:spacing w:val="-2"/>
          <w:sz w:val="16"/>
          <w:szCs w:val="16"/>
        </w:rPr>
        <w:t xml:space="preserve"> 100c StPO erlangt wurden, dürfen nicht verwertet werden. Aufzeichnungen über solche Erkenntnisse sind unverzüglich zu löschen, §</w:t>
      </w:r>
      <w:r w:rsidR="00FB5A5B">
        <w:rPr>
          <w:rFonts w:ascii="Times New Roman" w:hAnsi="Times New Roman"/>
          <w:spacing w:val="-2"/>
          <w:sz w:val="16"/>
          <w:szCs w:val="16"/>
        </w:rPr>
        <w:t> </w:t>
      </w:r>
      <w:r w:rsidR="00C0461D">
        <w:rPr>
          <w:rFonts w:ascii="Times New Roman" w:hAnsi="Times New Roman"/>
          <w:spacing w:val="-2"/>
          <w:sz w:val="16"/>
          <w:szCs w:val="16"/>
        </w:rPr>
        <w:t>100d II 2 StPO. Die Tatsache ihrer Erlangung und Löschung ist zu dokumentieren, §</w:t>
      </w:r>
      <w:r w:rsidR="00FB5A5B">
        <w:rPr>
          <w:rFonts w:ascii="Times New Roman" w:hAnsi="Times New Roman"/>
          <w:spacing w:val="-2"/>
          <w:sz w:val="16"/>
          <w:szCs w:val="16"/>
        </w:rPr>
        <w:t> </w:t>
      </w:r>
      <w:r w:rsidR="00C0461D">
        <w:rPr>
          <w:rFonts w:ascii="Times New Roman" w:hAnsi="Times New Roman"/>
          <w:spacing w:val="-2"/>
          <w:sz w:val="16"/>
          <w:szCs w:val="16"/>
        </w:rPr>
        <w:t xml:space="preserve">100d II 3 StPO </w:t>
      </w:r>
      <w:r w:rsidRPr="002C183C">
        <w:rPr>
          <w:rFonts w:ascii="Times New Roman" w:hAnsi="Times New Roman"/>
          <w:spacing w:val="-2"/>
          <w:sz w:val="16"/>
          <w:szCs w:val="16"/>
        </w:rPr>
        <w:t>(vgl. dazu Arbeitsblatt Nr.</w:t>
      </w:r>
      <w:r w:rsidR="00FB5A5B">
        <w:rPr>
          <w:rFonts w:ascii="Times New Roman" w:hAnsi="Times New Roman"/>
          <w:spacing w:val="-2"/>
          <w:sz w:val="16"/>
          <w:szCs w:val="16"/>
        </w:rPr>
        <w:t> </w:t>
      </w:r>
      <w:r w:rsidRPr="002C183C">
        <w:rPr>
          <w:rFonts w:ascii="Times New Roman" w:hAnsi="Times New Roman"/>
          <w:spacing w:val="-2"/>
          <w:sz w:val="16"/>
          <w:szCs w:val="16"/>
        </w:rPr>
        <w:t xml:space="preserve">20). In den Fällen, in </w:t>
      </w:r>
      <w:r w:rsidR="00FB5A5B">
        <w:rPr>
          <w:rFonts w:ascii="Times New Roman" w:hAnsi="Times New Roman"/>
          <w:spacing w:val="-2"/>
          <w:sz w:val="16"/>
          <w:szCs w:val="16"/>
        </w:rPr>
        <w:t>denen</w:t>
      </w:r>
      <w:r w:rsidR="00FB5A5B" w:rsidRPr="002C183C">
        <w:rPr>
          <w:rFonts w:ascii="Times New Roman" w:hAnsi="Times New Roman"/>
          <w:spacing w:val="-2"/>
          <w:sz w:val="16"/>
          <w:szCs w:val="16"/>
        </w:rPr>
        <w:t xml:space="preserve"> </w:t>
      </w:r>
      <w:r w:rsidRPr="002C183C">
        <w:rPr>
          <w:rFonts w:ascii="Times New Roman" w:hAnsi="Times New Roman"/>
          <w:spacing w:val="-2"/>
          <w:sz w:val="16"/>
          <w:szCs w:val="16"/>
        </w:rPr>
        <w:t xml:space="preserve">sich dem Gesetz keine ausdrückliche Regelung entnehmen lässt, bedarf die Frage, ob ein Beweiserhebungsverbot auch ein Beweisverwertungsverbot nach sich zieht oder ob ein selbstständiges Beweisverwertungsverbot vorliegt, einer </w:t>
      </w:r>
      <w:r w:rsidRPr="002C183C">
        <w:rPr>
          <w:rFonts w:ascii="Times New Roman" w:hAnsi="Times New Roman"/>
          <w:b/>
          <w:spacing w:val="-2"/>
          <w:sz w:val="16"/>
          <w:szCs w:val="16"/>
        </w:rPr>
        <w:t>Einzelfallentscheidung</w:t>
      </w:r>
      <w:r w:rsidRPr="002C183C">
        <w:rPr>
          <w:rFonts w:ascii="Times New Roman" w:hAnsi="Times New Roman"/>
          <w:spacing w:val="-2"/>
          <w:sz w:val="16"/>
          <w:szCs w:val="16"/>
        </w:rPr>
        <w:t xml:space="preserve">. Diesbezüglich wurden verschiedene Theorien entwickelt (vgl. hierzu noch unten IV.). Ist im Einzelfall ein Beweisverwertungsverbot ermittelt, so stellt sich weiterhin die Frage nach dessen Umfang, d.h. </w:t>
      </w:r>
      <w:r w:rsidR="00FB5A5B">
        <w:rPr>
          <w:rFonts w:ascii="Times New Roman" w:hAnsi="Times New Roman"/>
          <w:spacing w:val="-2"/>
          <w:sz w:val="16"/>
          <w:szCs w:val="16"/>
        </w:rPr>
        <w:t>insb.</w:t>
      </w:r>
      <w:r w:rsidR="00FB5A5B" w:rsidRPr="002C183C">
        <w:rPr>
          <w:rFonts w:ascii="Times New Roman" w:hAnsi="Times New Roman"/>
          <w:spacing w:val="-2"/>
          <w:sz w:val="16"/>
          <w:szCs w:val="16"/>
        </w:rPr>
        <w:t xml:space="preserve"> </w:t>
      </w:r>
      <w:r w:rsidRPr="002C183C">
        <w:rPr>
          <w:rFonts w:ascii="Times New Roman" w:hAnsi="Times New Roman"/>
          <w:spacing w:val="-2"/>
          <w:sz w:val="16"/>
          <w:szCs w:val="16"/>
        </w:rPr>
        <w:t>ob auch sich daran anschließende weitere Ermittlungen unverwertbar sind (sog. Fernwirkung; vgl. dazu Arbeitsblatt Nr.</w:t>
      </w:r>
      <w:r w:rsidR="00FB5A5B">
        <w:rPr>
          <w:rFonts w:ascii="Times New Roman" w:hAnsi="Times New Roman"/>
          <w:spacing w:val="-2"/>
          <w:sz w:val="16"/>
          <w:szCs w:val="16"/>
        </w:rPr>
        <w:t> </w:t>
      </w:r>
      <w:r w:rsidRPr="002C183C">
        <w:rPr>
          <w:rFonts w:ascii="Times New Roman" w:hAnsi="Times New Roman"/>
          <w:spacing w:val="-2"/>
          <w:sz w:val="16"/>
          <w:szCs w:val="16"/>
        </w:rPr>
        <w:t>32).</w:t>
      </w:r>
    </w:p>
    <w:p w14:paraId="4C23E3CA" w14:textId="282B2ECD" w:rsidR="00C14C0B" w:rsidRPr="002C183C" w:rsidRDefault="00C14C0B" w:rsidP="009A7078">
      <w:pPr>
        <w:widowControl/>
        <w:tabs>
          <w:tab w:val="left" w:pos="-720"/>
          <w:tab w:val="left" w:pos="288"/>
          <w:tab w:val="left" w:pos="567"/>
          <w:tab w:val="left" w:pos="864"/>
          <w:tab w:val="left" w:pos="1116"/>
          <w:tab w:val="left" w:pos="1404"/>
          <w:tab w:val="left" w:pos="1692"/>
          <w:tab w:val="left" w:pos="1980"/>
          <w:tab w:val="left" w:pos="2268"/>
          <w:tab w:val="left" w:pos="2880"/>
        </w:tabs>
        <w:spacing w:line="170" w:lineRule="exact"/>
        <w:ind w:left="567" w:hanging="567"/>
        <w:jc w:val="both"/>
        <w:rPr>
          <w:rFonts w:ascii="Times New Roman" w:hAnsi="Times New Roman"/>
          <w:spacing w:val="-2"/>
          <w:sz w:val="16"/>
          <w:szCs w:val="16"/>
        </w:rPr>
      </w:pPr>
      <w:r w:rsidRPr="002C183C">
        <w:rPr>
          <w:rFonts w:ascii="Times New Roman" w:hAnsi="Times New Roman"/>
          <w:b/>
          <w:spacing w:val="-2"/>
          <w:sz w:val="16"/>
          <w:szCs w:val="16"/>
        </w:rPr>
        <w:t xml:space="preserve">II. </w:t>
      </w:r>
      <w:r w:rsidRPr="002C183C">
        <w:rPr>
          <w:rFonts w:ascii="Times New Roman" w:hAnsi="Times New Roman"/>
          <w:b/>
          <w:spacing w:val="-2"/>
          <w:sz w:val="16"/>
          <w:szCs w:val="16"/>
        </w:rPr>
        <w:tab/>
        <w:t>Beweiserhebungsverbote:</w:t>
      </w:r>
    </w:p>
    <w:p w14:paraId="17E68764" w14:textId="1BAF4671" w:rsidR="0037302F" w:rsidRPr="002C183C" w:rsidRDefault="0037302F" w:rsidP="009A7078">
      <w:pPr>
        <w:widowControl/>
        <w:tabs>
          <w:tab w:val="left" w:pos="-720"/>
          <w:tab w:val="left" w:pos="288"/>
          <w:tab w:val="left" w:pos="567"/>
          <w:tab w:val="left" w:pos="864"/>
          <w:tab w:val="left" w:pos="1116"/>
          <w:tab w:val="left" w:pos="1404"/>
          <w:tab w:val="left" w:pos="1692"/>
          <w:tab w:val="left" w:pos="1980"/>
          <w:tab w:val="left" w:pos="2268"/>
          <w:tab w:val="left" w:pos="2880"/>
        </w:tabs>
        <w:spacing w:line="170" w:lineRule="exact"/>
        <w:ind w:left="567" w:hanging="567"/>
        <w:jc w:val="both"/>
        <w:rPr>
          <w:rFonts w:ascii="Times New Roman" w:hAnsi="Times New Roman"/>
          <w:spacing w:val="-2"/>
          <w:sz w:val="16"/>
          <w:szCs w:val="16"/>
        </w:rPr>
      </w:pPr>
      <w:r w:rsidRPr="002C183C">
        <w:rPr>
          <w:rFonts w:ascii="Times New Roman" w:hAnsi="Times New Roman"/>
          <w:b/>
          <w:spacing w:val="-2"/>
          <w:sz w:val="16"/>
          <w:szCs w:val="16"/>
        </w:rPr>
        <w:tab/>
      </w:r>
      <w:r w:rsidRPr="002C183C">
        <w:rPr>
          <w:rFonts w:ascii="Times New Roman" w:hAnsi="Times New Roman"/>
          <w:spacing w:val="-2"/>
          <w:sz w:val="16"/>
          <w:szCs w:val="16"/>
          <w:u w:val="single"/>
        </w:rPr>
        <w:t>1.</w:t>
      </w:r>
      <w:r w:rsidRPr="002C183C">
        <w:rPr>
          <w:rFonts w:ascii="Times New Roman" w:hAnsi="Times New Roman"/>
          <w:spacing w:val="-2"/>
          <w:sz w:val="16"/>
          <w:szCs w:val="16"/>
          <w:u w:val="single"/>
        </w:rPr>
        <w:tab/>
      </w:r>
      <w:r w:rsidR="004D7086">
        <w:rPr>
          <w:rFonts w:ascii="Times New Roman" w:hAnsi="Times New Roman"/>
          <w:spacing w:val="-2"/>
          <w:sz w:val="16"/>
          <w:szCs w:val="16"/>
          <w:u w:val="single"/>
        </w:rPr>
        <w:t>Beweisthemenverbote</w:t>
      </w:r>
      <w:r w:rsidRPr="002C183C">
        <w:rPr>
          <w:rFonts w:ascii="Times New Roman" w:hAnsi="Times New Roman"/>
          <w:spacing w:val="-2"/>
          <w:sz w:val="16"/>
          <w:szCs w:val="16"/>
        </w:rPr>
        <w:t xml:space="preserve">: Über manche </w:t>
      </w:r>
      <w:r w:rsidR="00061BAF">
        <w:rPr>
          <w:rFonts w:ascii="Times New Roman" w:hAnsi="Times New Roman"/>
          <w:spacing w:val="-2"/>
          <w:sz w:val="16"/>
          <w:szCs w:val="16"/>
        </w:rPr>
        <w:t>Beweisi</w:t>
      </w:r>
      <w:r w:rsidRPr="002C183C">
        <w:rPr>
          <w:rFonts w:ascii="Times New Roman" w:hAnsi="Times New Roman"/>
          <w:spacing w:val="-2"/>
          <w:sz w:val="16"/>
          <w:szCs w:val="16"/>
        </w:rPr>
        <w:t>nhalte dürfen keine Beweise erhoben werden. Dazu zählt z.B. der Kernbereich der persönlichen L</w:t>
      </w:r>
      <w:r w:rsidR="00E15144" w:rsidRPr="002C183C">
        <w:rPr>
          <w:rFonts w:ascii="Times New Roman" w:hAnsi="Times New Roman"/>
          <w:spacing w:val="-2"/>
          <w:sz w:val="16"/>
          <w:szCs w:val="16"/>
        </w:rPr>
        <w:t xml:space="preserve">ebensgestaltung. </w:t>
      </w:r>
      <w:r w:rsidRPr="002C183C">
        <w:rPr>
          <w:rFonts w:ascii="Times New Roman" w:hAnsi="Times New Roman"/>
          <w:spacing w:val="-2"/>
          <w:sz w:val="16"/>
          <w:szCs w:val="16"/>
        </w:rPr>
        <w:t>§</w:t>
      </w:r>
      <w:r w:rsidR="00E57DDD">
        <w:rPr>
          <w:rFonts w:ascii="Times New Roman" w:hAnsi="Times New Roman"/>
          <w:spacing w:val="-2"/>
          <w:sz w:val="16"/>
          <w:szCs w:val="16"/>
        </w:rPr>
        <w:t> </w:t>
      </w:r>
      <w:r w:rsidR="00F43578" w:rsidRPr="002C183C">
        <w:rPr>
          <w:rFonts w:ascii="Times New Roman" w:hAnsi="Times New Roman"/>
          <w:spacing w:val="-2"/>
          <w:sz w:val="16"/>
          <w:szCs w:val="16"/>
        </w:rPr>
        <w:t>100</w:t>
      </w:r>
      <w:r w:rsidR="00F43578">
        <w:rPr>
          <w:rFonts w:ascii="Times New Roman" w:hAnsi="Times New Roman"/>
          <w:spacing w:val="-2"/>
          <w:sz w:val="16"/>
          <w:szCs w:val="16"/>
        </w:rPr>
        <w:t>d</w:t>
      </w:r>
      <w:r w:rsidR="00F43578" w:rsidRPr="002C183C">
        <w:rPr>
          <w:rFonts w:ascii="Times New Roman" w:hAnsi="Times New Roman"/>
          <w:spacing w:val="-2"/>
          <w:sz w:val="16"/>
          <w:szCs w:val="16"/>
        </w:rPr>
        <w:t xml:space="preserve"> </w:t>
      </w:r>
      <w:r w:rsidR="00F43578">
        <w:rPr>
          <w:rFonts w:ascii="Times New Roman" w:hAnsi="Times New Roman"/>
          <w:spacing w:val="-2"/>
          <w:sz w:val="16"/>
          <w:szCs w:val="16"/>
        </w:rPr>
        <w:t>I</w:t>
      </w:r>
      <w:r w:rsidR="009A7078">
        <w:rPr>
          <w:rFonts w:ascii="Times New Roman" w:hAnsi="Times New Roman"/>
          <w:spacing w:val="-2"/>
          <w:sz w:val="16"/>
          <w:szCs w:val="16"/>
        </w:rPr>
        <w:t xml:space="preserve">V </w:t>
      </w:r>
      <w:r w:rsidRPr="002C183C">
        <w:rPr>
          <w:rFonts w:ascii="Times New Roman" w:hAnsi="Times New Roman"/>
          <w:spacing w:val="-2"/>
          <w:sz w:val="16"/>
          <w:szCs w:val="16"/>
        </w:rPr>
        <w:t>1 StPO</w:t>
      </w:r>
      <w:r w:rsidR="00E15144" w:rsidRPr="002C183C">
        <w:rPr>
          <w:rFonts w:ascii="Times New Roman" w:hAnsi="Times New Roman"/>
          <w:spacing w:val="-2"/>
          <w:sz w:val="16"/>
          <w:szCs w:val="16"/>
        </w:rPr>
        <w:t xml:space="preserve"> stellt klar, dass die Aufzeichnung eines Gesprächs</w:t>
      </w:r>
      <w:r w:rsidRPr="002C183C">
        <w:rPr>
          <w:rFonts w:ascii="Times New Roman" w:hAnsi="Times New Roman"/>
          <w:spacing w:val="-2"/>
          <w:sz w:val="16"/>
          <w:szCs w:val="16"/>
        </w:rPr>
        <w:t xml:space="preserve"> in diesem Fall </w:t>
      </w:r>
      <w:r w:rsidR="00E15144" w:rsidRPr="002C183C">
        <w:rPr>
          <w:rFonts w:ascii="Times New Roman" w:hAnsi="Times New Roman"/>
          <w:spacing w:val="-2"/>
          <w:sz w:val="16"/>
          <w:szCs w:val="16"/>
        </w:rPr>
        <w:t>unterbleiben muss.</w:t>
      </w:r>
    </w:p>
    <w:p w14:paraId="01E4B3FD" w14:textId="39A70C6C" w:rsidR="00C14C0B" w:rsidRPr="002C183C" w:rsidRDefault="0037302F" w:rsidP="009A7078">
      <w:pPr>
        <w:tabs>
          <w:tab w:val="left" w:pos="567"/>
          <w:tab w:val="left" w:pos="1116"/>
          <w:tab w:val="left" w:pos="1692"/>
          <w:tab w:val="left" w:pos="2240"/>
          <w:tab w:val="left" w:pos="2800"/>
          <w:tab w:val="left" w:pos="3360"/>
          <w:tab w:val="left" w:pos="3920"/>
          <w:tab w:val="left" w:pos="4480"/>
          <w:tab w:val="left" w:pos="5040"/>
          <w:tab w:val="left" w:pos="5600"/>
          <w:tab w:val="left" w:pos="6160"/>
          <w:tab w:val="left" w:pos="6720"/>
        </w:tabs>
        <w:spacing w:line="170" w:lineRule="exact"/>
        <w:ind w:left="567" w:hanging="283"/>
        <w:jc w:val="both"/>
        <w:rPr>
          <w:rFonts w:ascii="Times New Roman" w:hAnsi="Times New Roman"/>
          <w:spacing w:val="-2"/>
          <w:sz w:val="16"/>
          <w:szCs w:val="16"/>
        </w:rPr>
      </w:pPr>
      <w:r w:rsidRPr="002C183C">
        <w:rPr>
          <w:rFonts w:ascii="Times New Roman" w:hAnsi="Times New Roman"/>
          <w:spacing w:val="-2"/>
          <w:sz w:val="16"/>
          <w:szCs w:val="16"/>
          <w:u w:val="single"/>
        </w:rPr>
        <w:t>2</w:t>
      </w:r>
      <w:r w:rsidR="00C14C0B" w:rsidRPr="002C183C">
        <w:rPr>
          <w:rFonts w:ascii="Times New Roman" w:hAnsi="Times New Roman"/>
          <w:spacing w:val="-2"/>
          <w:sz w:val="16"/>
          <w:szCs w:val="16"/>
          <w:u w:val="single"/>
        </w:rPr>
        <w:t xml:space="preserve">. </w:t>
      </w:r>
      <w:r w:rsidR="00C14C0B" w:rsidRPr="002C183C">
        <w:rPr>
          <w:rFonts w:ascii="Times New Roman" w:hAnsi="Times New Roman"/>
          <w:spacing w:val="-2"/>
          <w:sz w:val="16"/>
          <w:szCs w:val="16"/>
          <w:u w:val="single"/>
        </w:rPr>
        <w:tab/>
      </w:r>
      <w:r w:rsidR="004D7086">
        <w:rPr>
          <w:rFonts w:ascii="Times New Roman" w:hAnsi="Times New Roman"/>
          <w:spacing w:val="-2"/>
          <w:sz w:val="16"/>
          <w:szCs w:val="16"/>
          <w:u w:val="single"/>
        </w:rPr>
        <w:t>Beweismethodenverbote</w:t>
      </w:r>
      <w:r w:rsidR="00C14C0B" w:rsidRPr="002C183C">
        <w:rPr>
          <w:rFonts w:ascii="Times New Roman" w:hAnsi="Times New Roman"/>
          <w:spacing w:val="-2"/>
          <w:sz w:val="16"/>
          <w:szCs w:val="16"/>
        </w:rPr>
        <w:t xml:space="preserve">: Als wichtigste Kategorie der Beweiserhebungsverbote sind die in § 136a I, II StPO genannten </w:t>
      </w:r>
      <w:r w:rsidR="00C14C0B" w:rsidRPr="002C183C">
        <w:rPr>
          <w:rFonts w:ascii="Times New Roman" w:hAnsi="Times New Roman"/>
          <w:b/>
          <w:spacing w:val="-2"/>
          <w:sz w:val="16"/>
          <w:szCs w:val="16"/>
        </w:rPr>
        <w:t>verbotenen Vernehmungsmethoden</w:t>
      </w:r>
      <w:r w:rsidR="00C14C0B" w:rsidRPr="002C183C">
        <w:rPr>
          <w:rFonts w:ascii="Times New Roman" w:hAnsi="Times New Roman"/>
          <w:spacing w:val="-2"/>
          <w:sz w:val="16"/>
          <w:szCs w:val="16"/>
        </w:rPr>
        <w:t xml:space="preserve"> zu nennen (vgl. dazu Arbeitsblatt Nr.</w:t>
      </w:r>
      <w:r w:rsidR="00E57DDD">
        <w:rPr>
          <w:rFonts w:ascii="Times New Roman" w:hAnsi="Times New Roman"/>
          <w:spacing w:val="-2"/>
          <w:sz w:val="16"/>
          <w:szCs w:val="16"/>
        </w:rPr>
        <w:t> </w:t>
      </w:r>
      <w:r w:rsidR="00C14C0B" w:rsidRPr="002C183C">
        <w:rPr>
          <w:rFonts w:ascii="Times New Roman" w:hAnsi="Times New Roman"/>
          <w:spacing w:val="-2"/>
          <w:sz w:val="16"/>
          <w:szCs w:val="16"/>
        </w:rPr>
        <w:t xml:space="preserve">24). Hiernach </w:t>
      </w:r>
      <w:r w:rsidR="00B7565F">
        <w:rPr>
          <w:rFonts w:ascii="Times New Roman" w:hAnsi="Times New Roman"/>
          <w:spacing w:val="-2"/>
          <w:sz w:val="16"/>
          <w:szCs w:val="16"/>
        </w:rPr>
        <w:t>dürfen</w:t>
      </w:r>
      <w:r w:rsidR="00C14C0B" w:rsidRPr="002C183C">
        <w:rPr>
          <w:rFonts w:ascii="Times New Roman" w:hAnsi="Times New Roman"/>
          <w:spacing w:val="-2"/>
          <w:sz w:val="16"/>
          <w:szCs w:val="16"/>
        </w:rPr>
        <w:t xml:space="preserve"> </w:t>
      </w:r>
      <w:r w:rsidR="00C14C0B" w:rsidRPr="002C183C">
        <w:rPr>
          <w:rFonts w:ascii="Times New Roman" w:hAnsi="Times New Roman" w:cs="Times New Roman"/>
          <w:sz w:val="16"/>
          <w:szCs w:val="16"/>
          <w:lang w:bidi="x-none"/>
        </w:rPr>
        <w:t>die Freiheit der Willensentschließung und der Willensbetätigung des Beschuldigten nicht durch Misshandlung, Ermüdung, körperlichen Eingriff, Verabreichung von Mitteln, Quälerei, Täuschung oder Hypnose beeinträchtigt werden.</w:t>
      </w:r>
      <w:r w:rsidR="00C14C0B" w:rsidRPr="002C183C">
        <w:rPr>
          <w:rFonts w:ascii="Times New Roman" w:hAnsi="Times New Roman"/>
          <w:spacing w:val="-2"/>
          <w:sz w:val="16"/>
          <w:szCs w:val="16"/>
        </w:rPr>
        <w:t xml:space="preserve"> Das Verbot der Folter ist zwar z.B. im Zusammenhang mit dem sog. „Daschner-Fall“ oder mit der drohenden Gefahr von Terroranschlägen, verstärkt in die Diskussion geraten. Es folgt aber zwingend aus der Menschenwürde</w:t>
      </w:r>
      <w:r w:rsidRPr="002C183C">
        <w:rPr>
          <w:rFonts w:ascii="Times New Roman" w:hAnsi="Times New Roman"/>
          <w:spacing w:val="-2"/>
          <w:sz w:val="16"/>
          <w:szCs w:val="16"/>
        </w:rPr>
        <w:t xml:space="preserve"> (Art. 1 I GG).</w:t>
      </w:r>
    </w:p>
    <w:p w14:paraId="3DD9AE47" w14:textId="6C9D2BDA" w:rsidR="00C14C0B" w:rsidRPr="002C183C" w:rsidRDefault="0037302F" w:rsidP="009A7078">
      <w:pPr>
        <w:tabs>
          <w:tab w:val="left" w:pos="567"/>
          <w:tab w:val="left" w:pos="1692"/>
          <w:tab w:val="left" w:pos="2240"/>
          <w:tab w:val="left" w:pos="2800"/>
          <w:tab w:val="left" w:pos="3360"/>
          <w:tab w:val="left" w:pos="3920"/>
          <w:tab w:val="left" w:pos="4480"/>
          <w:tab w:val="left" w:pos="5040"/>
          <w:tab w:val="left" w:pos="5600"/>
          <w:tab w:val="left" w:pos="6160"/>
          <w:tab w:val="left" w:pos="6720"/>
        </w:tabs>
        <w:spacing w:line="170" w:lineRule="exact"/>
        <w:ind w:left="567" w:hanging="283"/>
        <w:jc w:val="both"/>
        <w:rPr>
          <w:rFonts w:ascii="Times New Roman" w:hAnsi="Times New Roman"/>
          <w:b/>
          <w:spacing w:val="-2"/>
          <w:sz w:val="16"/>
          <w:szCs w:val="16"/>
        </w:rPr>
      </w:pPr>
      <w:r w:rsidRPr="002C183C">
        <w:rPr>
          <w:rFonts w:ascii="Times New Roman" w:hAnsi="Times New Roman"/>
          <w:spacing w:val="-2"/>
          <w:sz w:val="16"/>
          <w:szCs w:val="16"/>
          <w:u w:val="single"/>
        </w:rPr>
        <w:t>3</w:t>
      </w:r>
      <w:r w:rsidR="00C14C0B" w:rsidRPr="002C183C">
        <w:rPr>
          <w:rFonts w:ascii="Times New Roman" w:hAnsi="Times New Roman"/>
          <w:spacing w:val="-2"/>
          <w:sz w:val="16"/>
          <w:szCs w:val="16"/>
          <w:u w:val="single"/>
        </w:rPr>
        <w:t xml:space="preserve">. </w:t>
      </w:r>
      <w:r w:rsidR="00C14C0B" w:rsidRPr="002C183C">
        <w:rPr>
          <w:rFonts w:ascii="Times New Roman" w:hAnsi="Times New Roman"/>
          <w:spacing w:val="-2"/>
          <w:sz w:val="16"/>
          <w:szCs w:val="16"/>
          <w:u w:val="single"/>
        </w:rPr>
        <w:tab/>
      </w:r>
      <w:r w:rsidR="004D7086">
        <w:rPr>
          <w:rFonts w:ascii="Times New Roman" w:hAnsi="Times New Roman"/>
          <w:spacing w:val="-2"/>
          <w:sz w:val="16"/>
          <w:szCs w:val="16"/>
          <w:u w:val="single"/>
        </w:rPr>
        <w:t>Beweismittelverbote</w:t>
      </w:r>
      <w:r w:rsidR="00C14C0B" w:rsidRPr="002C183C">
        <w:rPr>
          <w:rFonts w:ascii="Times New Roman" w:hAnsi="Times New Roman"/>
          <w:spacing w:val="-2"/>
          <w:sz w:val="16"/>
          <w:szCs w:val="16"/>
        </w:rPr>
        <w:t xml:space="preserve">: </w:t>
      </w:r>
      <w:r w:rsidR="00E15144" w:rsidRPr="002C183C">
        <w:rPr>
          <w:rFonts w:ascii="Times New Roman" w:hAnsi="Times New Roman"/>
          <w:spacing w:val="-2"/>
          <w:sz w:val="16"/>
          <w:szCs w:val="16"/>
        </w:rPr>
        <w:t>Schließlich ist noch die Gruppe der unzulässigen Beweismittel anzuführen</w:t>
      </w:r>
      <w:r w:rsidR="00C14C0B" w:rsidRPr="002C183C">
        <w:rPr>
          <w:rFonts w:ascii="Times New Roman" w:hAnsi="Times New Roman"/>
          <w:spacing w:val="-2"/>
          <w:sz w:val="16"/>
          <w:szCs w:val="16"/>
        </w:rPr>
        <w:t>.</w:t>
      </w:r>
      <w:r w:rsidR="00E15144" w:rsidRPr="002C183C">
        <w:rPr>
          <w:rFonts w:ascii="Times New Roman" w:hAnsi="Times New Roman"/>
          <w:spacing w:val="-2"/>
          <w:sz w:val="16"/>
          <w:szCs w:val="16"/>
        </w:rPr>
        <w:t xml:space="preserve"> </w:t>
      </w:r>
      <w:r w:rsidR="00C14C0B" w:rsidRPr="002C183C">
        <w:rPr>
          <w:rFonts w:ascii="Times New Roman" w:hAnsi="Times New Roman"/>
          <w:spacing w:val="-2"/>
          <w:sz w:val="16"/>
          <w:szCs w:val="16"/>
        </w:rPr>
        <w:t xml:space="preserve">Hier können insbesondere die in den §§ 52 ff. StPO aufgeführten </w:t>
      </w:r>
      <w:r w:rsidR="00C14C0B" w:rsidRPr="002C183C">
        <w:rPr>
          <w:rFonts w:ascii="Times New Roman" w:hAnsi="Times New Roman"/>
          <w:b/>
          <w:spacing w:val="-2"/>
          <w:sz w:val="16"/>
          <w:szCs w:val="16"/>
        </w:rPr>
        <w:t>Zeugnisverweigerungsrechte</w:t>
      </w:r>
      <w:r w:rsidR="00C14C0B" w:rsidRPr="002C183C">
        <w:rPr>
          <w:rFonts w:ascii="Times New Roman" w:hAnsi="Times New Roman"/>
          <w:spacing w:val="-2"/>
          <w:sz w:val="16"/>
          <w:szCs w:val="16"/>
        </w:rPr>
        <w:t xml:space="preserve"> genannt werden: Verweigert der dazu Berechtigte das Zeugnis oder die Aussage, so ist dieses Beweismittel für den Strafprozess ausgeschlossen, der Zeuge darf also nicht zur Aussage gezwungen werden. Davon zu trennen ist die Frage, ob die Aussage eines Zeugnisverweigerungsberechtigten, der zuvor nicht über sein Recht zu schweigen </w:t>
      </w:r>
      <w:r w:rsidR="00C14C0B" w:rsidRPr="002C183C">
        <w:rPr>
          <w:rFonts w:ascii="Times New Roman" w:hAnsi="Times New Roman"/>
          <w:b/>
          <w:spacing w:val="-2"/>
          <w:sz w:val="16"/>
          <w:szCs w:val="16"/>
        </w:rPr>
        <w:t>belehrt</w:t>
      </w:r>
      <w:r w:rsidR="00C14C0B" w:rsidRPr="002C183C">
        <w:rPr>
          <w:rFonts w:ascii="Times New Roman" w:hAnsi="Times New Roman"/>
          <w:spacing w:val="-2"/>
          <w:sz w:val="16"/>
          <w:szCs w:val="16"/>
        </w:rPr>
        <w:t xml:space="preserve"> wurde, verwertet werden darf (s. dazu Arbeitsblatt Nr.</w:t>
      </w:r>
      <w:r w:rsidR="00E57DDD">
        <w:rPr>
          <w:rFonts w:ascii="Times New Roman" w:hAnsi="Times New Roman"/>
          <w:spacing w:val="-2"/>
          <w:sz w:val="16"/>
          <w:szCs w:val="16"/>
        </w:rPr>
        <w:t> </w:t>
      </w:r>
      <w:r w:rsidR="00C14C0B" w:rsidRPr="002C183C">
        <w:rPr>
          <w:rFonts w:ascii="Times New Roman" w:hAnsi="Times New Roman"/>
          <w:spacing w:val="-2"/>
          <w:sz w:val="16"/>
          <w:szCs w:val="16"/>
        </w:rPr>
        <w:t xml:space="preserve">28). Ferner kann ein Beweismittel wegen Verstoßes gegen den Unmittelbarkeitsgrundsatz unzulässig sein; so gilt etwa der Vorrang des Personalbeweises vor dem </w:t>
      </w:r>
      <w:proofErr w:type="spellStart"/>
      <w:r w:rsidR="00C14C0B" w:rsidRPr="002C183C">
        <w:rPr>
          <w:rFonts w:ascii="Times New Roman" w:hAnsi="Times New Roman"/>
          <w:spacing w:val="-2"/>
          <w:sz w:val="16"/>
          <w:szCs w:val="16"/>
        </w:rPr>
        <w:t>Urkundsbeweis</w:t>
      </w:r>
      <w:proofErr w:type="spellEnd"/>
      <w:r w:rsidR="00C14C0B" w:rsidRPr="002C183C">
        <w:rPr>
          <w:rFonts w:ascii="Times New Roman" w:hAnsi="Times New Roman"/>
          <w:spacing w:val="-2"/>
          <w:sz w:val="16"/>
          <w:szCs w:val="16"/>
        </w:rPr>
        <w:t xml:space="preserve"> (vgl. dazu Arbeitsblatt Nr. 38).</w:t>
      </w:r>
    </w:p>
    <w:p w14:paraId="62FFAA91" w14:textId="4CD7BAEF" w:rsidR="00C14C0B" w:rsidRPr="002C183C" w:rsidRDefault="00C14C0B" w:rsidP="009A7078">
      <w:pPr>
        <w:widowControl/>
        <w:tabs>
          <w:tab w:val="left" w:pos="-720"/>
          <w:tab w:val="left" w:pos="288"/>
          <w:tab w:val="left" w:pos="567"/>
          <w:tab w:val="left" w:pos="864"/>
          <w:tab w:val="left" w:pos="1116"/>
          <w:tab w:val="left" w:pos="1404"/>
          <w:tab w:val="left" w:pos="1692"/>
          <w:tab w:val="left" w:pos="1980"/>
          <w:tab w:val="left" w:pos="2268"/>
          <w:tab w:val="left" w:pos="2880"/>
        </w:tabs>
        <w:spacing w:line="170" w:lineRule="exact"/>
        <w:ind w:left="567" w:hanging="567"/>
        <w:jc w:val="both"/>
        <w:rPr>
          <w:rFonts w:ascii="Times New Roman" w:hAnsi="Times New Roman" w:cs="Times New Roman"/>
          <w:sz w:val="16"/>
          <w:szCs w:val="16"/>
          <w:lang w:bidi="x-none"/>
        </w:rPr>
      </w:pPr>
      <w:r w:rsidRPr="002C183C">
        <w:rPr>
          <w:rFonts w:ascii="Times New Roman" w:hAnsi="Times New Roman"/>
          <w:b/>
          <w:spacing w:val="-2"/>
          <w:sz w:val="16"/>
          <w:szCs w:val="16"/>
        </w:rPr>
        <w:t>III. Gesetzliche Beweisverwertungsverbote:</w:t>
      </w:r>
    </w:p>
    <w:p w14:paraId="053F662E" w14:textId="04306F28" w:rsidR="00C14C0B" w:rsidRPr="002C183C" w:rsidRDefault="00C14C0B" w:rsidP="009A7078">
      <w:pPr>
        <w:tabs>
          <w:tab w:val="left" w:pos="288"/>
          <w:tab w:val="left" w:pos="1116"/>
          <w:tab w:val="left" w:pos="1692"/>
          <w:tab w:val="left" w:pos="2240"/>
          <w:tab w:val="left" w:pos="2800"/>
          <w:tab w:val="left" w:pos="3360"/>
          <w:tab w:val="left" w:pos="3920"/>
          <w:tab w:val="left" w:pos="4480"/>
          <w:tab w:val="left" w:pos="5040"/>
          <w:tab w:val="left" w:pos="5600"/>
          <w:tab w:val="left" w:pos="6160"/>
          <w:tab w:val="left" w:pos="6720"/>
        </w:tabs>
        <w:spacing w:line="170" w:lineRule="exact"/>
        <w:ind w:left="284"/>
        <w:jc w:val="both"/>
        <w:rPr>
          <w:rFonts w:ascii="Times New Roman" w:hAnsi="Times New Roman"/>
          <w:b/>
          <w:spacing w:val="-2"/>
          <w:sz w:val="16"/>
          <w:szCs w:val="16"/>
        </w:rPr>
      </w:pPr>
      <w:r w:rsidRPr="002C183C">
        <w:rPr>
          <w:rFonts w:ascii="Times New Roman" w:hAnsi="Times New Roman" w:cs="Times New Roman"/>
          <w:sz w:val="16"/>
          <w:szCs w:val="16"/>
          <w:lang w:bidi="x-none"/>
        </w:rPr>
        <w:t xml:space="preserve">In der StPO sind nur wenige Beweisverwertungsverbote explizit aufgeführt. Dazu gehört v.a. das aus einer unzulässigen </w:t>
      </w:r>
      <w:r w:rsidRPr="002C183C">
        <w:rPr>
          <w:rFonts w:ascii="Times New Roman" w:hAnsi="Times New Roman" w:cs="Times New Roman"/>
          <w:b/>
          <w:sz w:val="16"/>
          <w:szCs w:val="16"/>
          <w:lang w:bidi="x-none"/>
        </w:rPr>
        <w:t>Vernehmungsmethode</w:t>
      </w:r>
      <w:r w:rsidRPr="002C183C">
        <w:rPr>
          <w:rFonts w:ascii="Times New Roman" w:hAnsi="Times New Roman" w:cs="Times New Roman"/>
          <w:sz w:val="16"/>
          <w:szCs w:val="16"/>
          <w:lang w:bidi="x-none"/>
        </w:rPr>
        <w:t xml:space="preserve"> folgende Verwertungsverbot</w:t>
      </w:r>
      <w:r w:rsidR="00FD7230">
        <w:rPr>
          <w:rFonts w:ascii="Times New Roman" w:hAnsi="Times New Roman" w:cs="Times New Roman"/>
          <w:sz w:val="16"/>
          <w:szCs w:val="16"/>
          <w:lang w:bidi="x-none"/>
        </w:rPr>
        <w:t xml:space="preserve"> nach </w:t>
      </w:r>
      <w:r w:rsidR="00FD7230" w:rsidRPr="002C183C">
        <w:rPr>
          <w:rFonts w:ascii="Times New Roman" w:hAnsi="Times New Roman" w:cs="Times New Roman"/>
          <w:sz w:val="16"/>
          <w:szCs w:val="16"/>
          <w:lang w:bidi="x-none"/>
        </w:rPr>
        <w:t>§ 136a III 2 StPO</w:t>
      </w:r>
      <w:r w:rsidRPr="002C183C">
        <w:rPr>
          <w:rFonts w:ascii="Times New Roman" w:hAnsi="Times New Roman" w:cs="Times New Roman"/>
          <w:sz w:val="16"/>
          <w:szCs w:val="16"/>
          <w:lang w:bidi="x-none"/>
        </w:rPr>
        <w:t xml:space="preserve">. Nach dieser Vorschrift dürfen Aussagen, die unter Verletzung dieses Verbots zustande gekommen sind, auch dann nicht verwertet werden, wenn der Beschuldigte der Verwertung zustimmt. Im Übrigen knüpft die StPO an eine rechtswidrige Beweisgewinnung keine ausdrücklichen Folgen. Ferner </w:t>
      </w:r>
      <w:proofErr w:type="gramStart"/>
      <w:r w:rsidRPr="002C183C">
        <w:rPr>
          <w:rFonts w:ascii="Times New Roman" w:hAnsi="Times New Roman" w:cs="Times New Roman"/>
          <w:sz w:val="16"/>
          <w:szCs w:val="16"/>
          <w:lang w:bidi="x-none"/>
        </w:rPr>
        <w:t>können</w:t>
      </w:r>
      <w:proofErr w:type="gramEnd"/>
      <w:r w:rsidRPr="002C183C">
        <w:rPr>
          <w:rFonts w:ascii="Times New Roman" w:hAnsi="Times New Roman" w:cs="Times New Roman"/>
          <w:sz w:val="16"/>
          <w:szCs w:val="16"/>
          <w:lang w:bidi="x-none"/>
        </w:rPr>
        <w:t xml:space="preserve"> als explizite Verwertungsverbote u.a. genannt werden: § 81a III </w:t>
      </w:r>
      <w:r w:rsidR="00FD7230">
        <w:rPr>
          <w:rFonts w:ascii="Times New Roman" w:hAnsi="Times New Roman" w:cs="Times New Roman"/>
          <w:sz w:val="16"/>
          <w:szCs w:val="16"/>
          <w:lang w:bidi="x-none"/>
        </w:rPr>
        <w:t>HS.</w:t>
      </w:r>
      <w:r w:rsidR="00E57DDD">
        <w:rPr>
          <w:rFonts w:ascii="Times New Roman" w:hAnsi="Times New Roman" w:cs="Times New Roman"/>
          <w:sz w:val="16"/>
          <w:szCs w:val="16"/>
          <w:lang w:bidi="x-none"/>
        </w:rPr>
        <w:t> </w:t>
      </w:r>
      <w:r w:rsidR="00FD7230">
        <w:rPr>
          <w:rFonts w:ascii="Times New Roman" w:hAnsi="Times New Roman" w:cs="Times New Roman"/>
          <w:sz w:val="16"/>
          <w:szCs w:val="16"/>
          <w:lang w:bidi="x-none"/>
        </w:rPr>
        <w:t xml:space="preserve">1 </w:t>
      </w:r>
      <w:r w:rsidR="00417F66">
        <w:rPr>
          <w:rFonts w:ascii="Times New Roman" w:hAnsi="Times New Roman" w:cs="Times New Roman"/>
          <w:sz w:val="16"/>
          <w:szCs w:val="16"/>
          <w:lang w:bidi="x-none"/>
        </w:rPr>
        <w:t xml:space="preserve">StPO </w:t>
      </w:r>
      <w:r w:rsidRPr="002C183C">
        <w:rPr>
          <w:rFonts w:ascii="Times New Roman" w:hAnsi="Times New Roman" w:cs="Times New Roman"/>
          <w:sz w:val="16"/>
          <w:szCs w:val="16"/>
          <w:lang w:bidi="x-none"/>
        </w:rPr>
        <w:t>(Verwertung von Blutproben nur für Zwecke des der Entnahme zugrunde liegenden oder eines anderen anhängigen Strafverfahrens),</w:t>
      </w:r>
      <w:r w:rsidR="00417F66">
        <w:rPr>
          <w:rFonts w:ascii="Times New Roman" w:hAnsi="Times New Roman" w:cs="Times New Roman"/>
          <w:sz w:val="16"/>
          <w:szCs w:val="16"/>
          <w:lang w:bidi="x-none"/>
        </w:rPr>
        <w:t xml:space="preserve"> §</w:t>
      </w:r>
      <w:r w:rsidR="00776FEE">
        <w:rPr>
          <w:rFonts w:ascii="Times New Roman" w:hAnsi="Times New Roman" w:cs="Times New Roman"/>
          <w:sz w:val="16"/>
          <w:szCs w:val="16"/>
          <w:lang w:bidi="x-none"/>
        </w:rPr>
        <w:t> </w:t>
      </w:r>
      <w:r w:rsidRPr="002C183C">
        <w:rPr>
          <w:rFonts w:ascii="Times New Roman" w:hAnsi="Times New Roman" w:cs="Times New Roman"/>
          <w:sz w:val="16"/>
          <w:szCs w:val="16"/>
          <w:lang w:bidi="x-none"/>
        </w:rPr>
        <w:t xml:space="preserve">81c III 5 </w:t>
      </w:r>
      <w:r w:rsidR="00417F66">
        <w:rPr>
          <w:rFonts w:ascii="Times New Roman" w:hAnsi="Times New Roman" w:cs="Times New Roman"/>
          <w:sz w:val="16"/>
          <w:szCs w:val="16"/>
          <w:lang w:bidi="x-none"/>
        </w:rPr>
        <w:t xml:space="preserve">StPO </w:t>
      </w:r>
      <w:r w:rsidRPr="002C183C">
        <w:rPr>
          <w:rFonts w:ascii="Times New Roman" w:hAnsi="Times New Roman" w:cs="Times New Roman"/>
          <w:sz w:val="16"/>
          <w:szCs w:val="16"/>
          <w:lang w:bidi="x-none"/>
        </w:rPr>
        <w:t xml:space="preserve">(Verwertung der Blutproben von Minderjährigen nur mit Einwilligung des </w:t>
      </w:r>
      <w:r w:rsidR="00417F66">
        <w:rPr>
          <w:rFonts w:ascii="Times New Roman" w:hAnsi="Times New Roman" w:cs="Times New Roman"/>
          <w:sz w:val="16"/>
          <w:szCs w:val="16"/>
          <w:lang w:bidi="x-none"/>
        </w:rPr>
        <w:t xml:space="preserve">gesetzlichen </w:t>
      </w:r>
      <w:r w:rsidRPr="002C183C">
        <w:rPr>
          <w:rFonts w:ascii="Times New Roman" w:hAnsi="Times New Roman" w:cs="Times New Roman"/>
          <w:sz w:val="16"/>
          <w:szCs w:val="16"/>
          <w:lang w:bidi="x-none"/>
        </w:rPr>
        <w:t xml:space="preserve">Vertreters), </w:t>
      </w:r>
      <w:r w:rsidR="00776FEE">
        <w:rPr>
          <w:rFonts w:ascii="Times New Roman" w:hAnsi="Times New Roman" w:cs="Times New Roman"/>
          <w:sz w:val="16"/>
          <w:szCs w:val="16"/>
          <w:lang w:bidi="x-none"/>
        </w:rPr>
        <w:t>§ </w:t>
      </w:r>
      <w:r w:rsidR="00417F66" w:rsidRPr="002C183C">
        <w:rPr>
          <w:rFonts w:ascii="Times New Roman" w:hAnsi="Times New Roman" w:cs="Times New Roman"/>
          <w:sz w:val="16"/>
          <w:szCs w:val="16"/>
          <w:lang w:bidi="x-none"/>
        </w:rPr>
        <w:t>100</w:t>
      </w:r>
      <w:r w:rsidR="00417F66">
        <w:rPr>
          <w:rFonts w:ascii="Times New Roman" w:hAnsi="Times New Roman" w:cs="Times New Roman"/>
          <w:sz w:val="16"/>
          <w:szCs w:val="16"/>
          <w:lang w:bidi="x-none"/>
        </w:rPr>
        <w:t>d</w:t>
      </w:r>
      <w:r w:rsidR="00417F66" w:rsidRPr="002C183C">
        <w:rPr>
          <w:rFonts w:ascii="Times New Roman" w:hAnsi="Times New Roman" w:cs="Times New Roman"/>
          <w:sz w:val="16"/>
          <w:szCs w:val="16"/>
          <w:lang w:bidi="x-none"/>
        </w:rPr>
        <w:t> </w:t>
      </w:r>
      <w:r w:rsidR="00417F66">
        <w:rPr>
          <w:rFonts w:ascii="Times New Roman" w:hAnsi="Times New Roman" w:cs="Times New Roman"/>
          <w:sz w:val="16"/>
          <w:szCs w:val="16"/>
          <w:lang w:bidi="x-none"/>
        </w:rPr>
        <w:t>II 1</w:t>
      </w:r>
      <w:r w:rsidRPr="002C183C">
        <w:rPr>
          <w:rFonts w:ascii="Times New Roman" w:hAnsi="Times New Roman" w:cs="Times New Roman"/>
          <w:sz w:val="16"/>
          <w:szCs w:val="16"/>
          <w:lang w:bidi="x-none"/>
        </w:rPr>
        <w:t> (</w:t>
      </w:r>
      <w:r w:rsidR="00417F66">
        <w:rPr>
          <w:rFonts w:ascii="Times New Roman" w:hAnsi="Times New Roman" w:cs="Times New Roman"/>
          <w:sz w:val="16"/>
          <w:szCs w:val="16"/>
          <w:lang w:bidi="x-none"/>
        </w:rPr>
        <w:t>Erkenntnisse</w:t>
      </w:r>
      <w:r w:rsidR="00417F66" w:rsidRPr="002C183C">
        <w:rPr>
          <w:rFonts w:ascii="Times New Roman" w:hAnsi="Times New Roman" w:cs="Times New Roman"/>
          <w:sz w:val="16"/>
          <w:szCs w:val="16"/>
          <w:lang w:bidi="x-none"/>
        </w:rPr>
        <w:t xml:space="preserve"> </w:t>
      </w:r>
      <w:r w:rsidRPr="002C183C">
        <w:rPr>
          <w:rFonts w:ascii="Times New Roman" w:hAnsi="Times New Roman" w:cs="Times New Roman"/>
          <w:sz w:val="16"/>
          <w:szCs w:val="16"/>
          <w:lang w:bidi="x-none"/>
        </w:rPr>
        <w:t>aus de</w:t>
      </w:r>
      <w:r w:rsidR="000A0067">
        <w:rPr>
          <w:rFonts w:ascii="Times New Roman" w:hAnsi="Times New Roman" w:cs="Times New Roman"/>
          <w:sz w:val="16"/>
          <w:szCs w:val="16"/>
          <w:lang w:bidi="x-none"/>
        </w:rPr>
        <w:t>r</w:t>
      </w:r>
      <w:r w:rsidRPr="002C183C">
        <w:rPr>
          <w:rFonts w:ascii="Times New Roman" w:hAnsi="Times New Roman" w:cs="Times New Roman"/>
          <w:sz w:val="16"/>
          <w:szCs w:val="16"/>
          <w:lang w:bidi="x-none"/>
        </w:rPr>
        <w:t xml:space="preserve"> Intim</w:t>
      </w:r>
      <w:r w:rsidR="000A0067">
        <w:rPr>
          <w:rFonts w:ascii="Times New Roman" w:hAnsi="Times New Roman" w:cs="Times New Roman"/>
          <w:sz w:val="16"/>
          <w:szCs w:val="16"/>
          <w:lang w:bidi="x-none"/>
        </w:rPr>
        <w:t>sphäre</w:t>
      </w:r>
      <w:r w:rsidRPr="002C183C">
        <w:rPr>
          <w:rFonts w:ascii="Times New Roman" w:hAnsi="Times New Roman" w:cs="Times New Roman"/>
          <w:sz w:val="16"/>
          <w:szCs w:val="16"/>
          <w:lang w:bidi="x-none"/>
        </w:rPr>
        <w:t xml:space="preserve"> des Abgehörten), </w:t>
      </w:r>
      <w:r w:rsidR="00BF5E80">
        <w:rPr>
          <w:rFonts w:ascii="Times New Roman" w:hAnsi="Times New Roman" w:cs="Times New Roman"/>
          <w:sz w:val="16"/>
          <w:szCs w:val="16"/>
          <w:lang w:bidi="x-none"/>
        </w:rPr>
        <w:t xml:space="preserve">§ </w:t>
      </w:r>
      <w:r w:rsidR="00417F66" w:rsidRPr="002C183C">
        <w:rPr>
          <w:rFonts w:ascii="Times New Roman" w:hAnsi="Times New Roman" w:cs="Times New Roman"/>
          <w:sz w:val="16"/>
          <w:szCs w:val="16"/>
          <w:lang w:bidi="x-none"/>
        </w:rPr>
        <w:t>100</w:t>
      </w:r>
      <w:r w:rsidR="00417F66">
        <w:rPr>
          <w:rFonts w:ascii="Times New Roman" w:hAnsi="Times New Roman" w:cs="Times New Roman"/>
          <w:sz w:val="16"/>
          <w:szCs w:val="16"/>
          <w:lang w:bidi="x-none"/>
        </w:rPr>
        <w:t>e</w:t>
      </w:r>
      <w:r w:rsidR="00417F66" w:rsidRPr="002C183C">
        <w:rPr>
          <w:rFonts w:ascii="Times New Roman" w:hAnsi="Times New Roman" w:cs="Times New Roman"/>
          <w:sz w:val="16"/>
          <w:szCs w:val="16"/>
          <w:lang w:bidi="x-none"/>
        </w:rPr>
        <w:t> </w:t>
      </w:r>
      <w:r w:rsidRPr="002C183C">
        <w:rPr>
          <w:rFonts w:ascii="Times New Roman" w:hAnsi="Times New Roman" w:cs="Times New Roman"/>
          <w:sz w:val="16"/>
          <w:szCs w:val="16"/>
          <w:lang w:bidi="x-none"/>
        </w:rPr>
        <w:t>V</w:t>
      </w:r>
      <w:r w:rsidR="00417F66">
        <w:rPr>
          <w:rFonts w:ascii="Times New Roman" w:hAnsi="Times New Roman" w:cs="Times New Roman"/>
          <w:sz w:val="16"/>
          <w:szCs w:val="16"/>
          <w:lang w:bidi="x-none"/>
        </w:rPr>
        <w:t>I</w:t>
      </w:r>
      <w:r w:rsidRPr="002C183C">
        <w:rPr>
          <w:rFonts w:ascii="Times New Roman" w:hAnsi="Times New Roman" w:cs="Times New Roman"/>
          <w:sz w:val="16"/>
          <w:szCs w:val="16"/>
          <w:lang w:bidi="x-none"/>
        </w:rPr>
        <w:t xml:space="preserve"> Nr. 1 </w:t>
      </w:r>
      <w:r w:rsidR="00417F66">
        <w:rPr>
          <w:rFonts w:ascii="Times New Roman" w:hAnsi="Times New Roman" w:cs="Times New Roman"/>
          <w:sz w:val="16"/>
          <w:szCs w:val="16"/>
          <w:lang w:bidi="x-none"/>
        </w:rPr>
        <w:t xml:space="preserve">StPO </w:t>
      </w:r>
      <w:r w:rsidRPr="002C183C">
        <w:rPr>
          <w:rFonts w:ascii="Times New Roman" w:hAnsi="Times New Roman" w:cs="Times New Roman"/>
          <w:sz w:val="16"/>
          <w:szCs w:val="16"/>
          <w:lang w:bidi="x-none"/>
        </w:rPr>
        <w:t>(Zufallsfunde</w:t>
      </w:r>
      <w:r w:rsidR="00417F66">
        <w:rPr>
          <w:rFonts w:ascii="Times New Roman" w:hAnsi="Times New Roman" w:cs="Times New Roman"/>
          <w:sz w:val="16"/>
          <w:szCs w:val="16"/>
          <w:lang w:bidi="x-none"/>
        </w:rPr>
        <w:t xml:space="preserve"> </w:t>
      </w:r>
      <w:r w:rsidRPr="002C183C">
        <w:rPr>
          <w:rFonts w:ascii="Times New Roman" w:hAnsi="Times New Roman" w:cs="Times New Roman"/>
          <w:sz w:val="16"/>
          <w:szCs w:val="16"/>
          <w:lang w:bidi="x-none"/>
        </w:rPr>
        <w:t>dürfen ohne Einwilligung der insoweit überwachten Personen nur zur Aufklärung einer Straftat, auf Grund derer Maßnahme</w:t>
      </w:r>
      <w:r w:rsidR="00417F66">
        <w:rPr>
          <w:rFonts w:ascii="Times New Roman" w:hAnsi="Times New Roman" w:cs="Times New Roman"/>
          <w:sz w:val="16"/>
          <w:szCs w:val="16"/>
          <w:lang w:bidi="x-none"/>
        </w:rPr>
        <w:t>n</w:t>
      </w:r>
      <w:r w:rsidRPr="002C183C">
        <w:rPr>
          <w:rFonts w:ascii="Times New Roman" w:hAnsi="Times New Roman" w:cs="Times New Roman"/>
          <w:sz w:val="16"/>
          <w:szCs w:val="16"/>
          <w:lang w:bidi="x-none"/>
        </w:rPr>
        <w:t xml:space="preserve"> nach § </w:t>
      </w:r>
      <w:r w:rsidR="00417F66" w:rsidRPr="002C183C">
        <w:rPr>
          <w:rFonts w:ascii="Times New Roman" w:hAnsi="Times New Roman" w:cs="Times New Roman"/>
          <w:sz w:val="16"/>
          <w:szCs w:val="16"/>
          <w:lang w:bidi="x-none"/>
        </w:rPr>
        <w:t>100</w:t>
      </w:r>
      <w:r w:rsidR="00417F66">
        <w:rPr>
          <w:rFonts w:ascii="Times New Roman" w:hAnsi="Times New Roman" w:cs="Times New Roman"/>
          <w:sz w:val="16"/>
          <w:szCs w:val="16"/>
          <w:lang w:bidi="x-none"/>
        </w:rPr>
        <w:t>b StPO oder § 100c StPO</w:t>
      </w:r>
      <w:r w:rsidR="00417F66" w:rsidRPr="002C183C">
        <w:rPr>
          <w:rFonts w:ascii="Times New Roman" w:hAnsi="Times New Roman" w:cs="Times New Roman"/>
          <w:sz w:val="16"/>
          <w:szCs w:val="16"/>
          <w:lang w:bidi="x-none"/>
        </w:rPr>
        <w:t xml:space="preserve"> </w:t>
      </w:r>
      <w:r w:rsidRPr="002C183C">
        <w:rPr>
          <w:rFonts w:ascii="Times New Roman" w:hAnsi="Times New Roman" w:cs="Times New Roman"/>
          <w:sz w:val="16"/>
          <w:szCs w:val="16"/>
          <w:lang w:bidi="x-none"/>
        </w:rPr>
        <w:t>angeordnet werden könnte</w:t>
      </w:r>
      <w:r w:rsidR="00417F66">
        <w:rPr>
          <w:rFonts w:ascii="Times New Roman" w:hAnsi="Times New Roman" w:cs="Times New Roman"/>
          <w:sz w:val="16"/>
          <w:szCs w:val="16"/>
          <w:lang w:bidi="x-none"/>
        </w:rPr>
        <w:t>n</w:t>
      </w:r>
      <w:r w:rsidRPr="002C183C">
        <w:rPr>
          <w:rFonts w:ascii="Times New Roman" w:hAnsi="Times New Roman" w:cs="Times New Roman"/>
          <w:sz w:val="16"/>
          <w:szCs w:val="16"/>
          <w:lang w:bidi="x-none"/>
        </w:rPr>
        <w:t xml:space="preserve">, oder zur Ermittlung des Aufenthalts der einer solchen Straftat beschuldigten Person verwendet werden), </w:t>
      </w:r>
      <w:r w:rsidR="00BF5E80">
        <w:rPr>
          <w:rFonts w:ascii="Times New Roman" w:hAnsi="Times New Roman" w:cs="Times New Roman"/>
          <w:sz w:val="16"/>
          <w:szCs w:val="16"/>
          <w:lang w:bidi="x-none"/>
        </w:rPr>
        <w:t xml:space="preserve">§ </w:t>
      </w:r>
      <w:r w:rsidRPr="002C183C">
        <w:rPr>
          <w:rFonts w:ascii="Times New Roman" w:hAnsi="Times New Roman" w:cs="Times New Roman"/>
          <w:sz w:val="16"/>
          <w:szCs w:val="16"/>
          <w:lang w:bidi="x-none"/>
        </w:rPr>
        <w:t>108 II</w:t>
      </w:r>
      <w:r w:rsidR="000A0067">
        <w:rPr>
          <w:rFonts w:ascii="Times New Roman" w:hAnsi="Times New Roman" w:cs="Times New Roman"/>
          <w:sz w:val="16"/>
          <w:szCs w:val="16"/>
          <w:lang w:bidi="x-none"/>
        </w:rPr>
        <w:t xml:space="preserve"> StPO</w:t>
      </w:r>
      <w:r w:rsidRPr="002C183C">
        <w:rPr>
          <w:rFonts w:ascii="Times New Roman" w:hAnsi="Times New Roman" w:cs="Times New Roman"/>
          <w:sz w:val="16"/>
          <w:szCs w:val="16"/>
          <w:lang w:bidi="x-none"/>
        </w:rPr>
        <w:t> (Zufallsfunde in Bezug auf Schwangerschaftsabbruch bei Ärzten)</w:t>
      </w:r>
      <w:r w:rsidR="009A7078">
        <w:rPr>
          <w:rFonts w:ascii="Times New Roman" w:hAnsi="Times New Roman" w:cs="Times New Roman"/>
          <w:sz w:val="16"/>
          <w:szCs w:val="16"/>
          <w:lang w:bidi="x-none"/>
        </w:rPr>
        <w:t xml:space="preserve">, </w:t>
      </w:r>
      <w:r w:rsidR="009A7078" w:rsidRPr="009A7078">
        <w:rPr>
          <w:rFonts w:ascii="Times New Roman" w:hAnsi="Times New Roman" w:cs="Times New Roman"/>
          <w:sz w:val="16"/>
          <w:szCs w:val="16"/>
          <w:lang w:bidi="x-none"/>
        </w:rPr>
        <w:t xml:space="preserve">§§ 161 </w:t>
      </w:r>
      <w:r w:rsidR="009A7078">
        <w:rPr>
          <w:rFonts w:ascii="Times New Roman" w:hAnsi="Times New Roman" w:cs="Times New Roman"/>
          <w:sz w:val="16"/>
          <w:szCs w:val="16"/>
          <w:lang w:bidi="x-none"/>
        </w:rPr>
        <w:t>III</w:t>
      </w:r>
      <w:r w:rsidR="009A7078" w:rsidRPr="009A7078">
        <w:rPr>
          <w:rFonts w:ascii="Times New Roman" w:hAnsi="Times New Roman" w:cs="Times New Roman"/>
          <w:sz w:val="16"/>
          <w:szCs w:val="16"/>
          <w:lang w:bidi="x-none"/>
        </w:rPr>
        <w:t xml:space="preserve">, 479 </w:t>
      </w:r>
      <w:r w:rsidR="009A7078">
        <w:rPr>
          <w:rFonts w:ascii="Times New Roman" w:hAnsi="Times New Roman" w:cs="Times New Roman"/>
          <w:sz w:val="16"/>
          <w:szCs w:val="16"/>
          <w:lang w:bidi="x-none"/>
        </w:rPr>
        <w:t>II 1</w:t>
      </w:r>
      <w:r w:rsidR="009A7078" w:rsidRPr="009A7078">
        <w:rPr>
          <w:rFonts w:ascii="Times New Roman" w:hAnsi="Times New Roman" w:cs="Times New Roman"/>
          <w:sz w:val="16"/>
          <w:szCs w:val="16"/>
          <w:lang w:bidi="x-none"/>
        </w:rPr>
        <w:t xml:space="preserve"> StPO </w:t>
      </w:r>
      <w:r w:rsidR="009A7078">
        <w:rPr>
          <w:rFonts w:ascii="Times New Roman" w:hAnsi="Times New Roman" w:cs="Times New Roman"/>
          <w:sz w:val="16"/>
          <w:szCs w:val="16"/>
          <w:lang w:bidi="x-none"/>
        </w:rPr>
        <w:t>(</w:t>
      </w:r>
      <w:r w:rsidR="009A7078" w:rsidRPr="009A7078">
        <w:rPr>
          <w:rFonts w:ascii="Times New Roman" w:hAnsi="Times New Roman" w:cs="Times New Roman"/>
          <w:sz w:val="16"/>
          <w:szCs w:val="16"/>
          <w:lang w:bidi="x-none"/>
        </w:rPr>
        <w:t>Zufallsfunde dürfen nur unter den dort genannten Vorausse</w:t>
      </w:r>
      <w:r w:rsidR="009A7078">
        <w:rPr>
          <w:rFonts w:ascii="Times New Roman" w:hAnsi="Times New Roman" w:cs="Times New Roman"/>
          <w:sz w:val="16"/>
          <w:szCs w:val="16"/>
          <w:lang w:bidi="x-none"/>
        </w:rPr>
        <w:t xml:space="preserve">tzungen verwertet werden, </w:t>
      </w:r>
      <w:r w:rsidR="00776FEE">
        <w:rPr>
          <w:rFonts w:ascii="Times New Roman" w:hAnsi="Times New Roman" w:cs="Times New Roman"/>
          <w:sz w:val="16"/>
          <w:szCs w:val="16"/>
          <w:lang w:bidi="x-none"/>
        </w:rPr>
        <w:t>insb.</w:t>
      </w:r>
      <w:r w:rsidR="00776FEE" w:rsidRPr="009A7078">
        <w:rPr>
          <w:rFonts w:ascii="Times New Roman" w:hAnsi="Times New Roman" w:cs="Times New Roman"/>
          <w:sz w:val="16"/>
          <w:szCs w:val="16"/>
          <w:lang w:bidi="x-none"/>
        </w:rPr>
        <w:t xml:space="preserve"> </w:t>
      </w:r>
      <w:r w:rsidR="009A7078" w:rsidRPr="009A7078">
        <w:rPr>
          <w:rFonts w:ascii="Times New Roman" w:hAnsi="Times New Roman" w:cs="Times New Roman"/>
          <w:sz w:val="16"/>
          <w:szCs w:val="16"/>
          <w:lang w:bidi="x-none"/>
        </w:rPr>
        <w:t>nur zur Aufklärung solcher Straftaten, zu deren Aufk</w:t>
      </w:r>
      <w:r w:rsidR="009A7078">
        <w:rPr>
          <w:rFonts w:ascii="Times New Roman" w:hAnsi="Times New Roman" w:cs="Times New Roman"/>
          <w:sz w:val="16"/>
          <w:szCs w:val="16"/>
          <w:lang w:bidi="x-none"/>
        </w:rPr>
        <w:t>lärung eine solche Maßnahme hät</w:t>
      </w:r>
      <w:r w:rsidR="009A7078" w:rsidRPr="009A7078">
        <w:rPr>
          <w:rFonts w:ascii="Times New Roman" w:hAnsi="Times New Roman" w:cs="Times New Roman"/>
          <w:sz w:val="16"/>
          <w:szCs w:val="16"/>
          <w:lang w:bidi="x-none"/>
        </w:rPr>
        <w:t xml:space="preserve">te angeordnet werden dürfen). </w:t>
      </w:r>
      <w:r w:rsidRPr="002C183C">
        <w:rPr>
          <w:rFonts w:ascii="Times New Roman" w:hAnsi="Times New Roman" w:cs="Times New Roman"/>
          <w:sz w:val="16"/>
          <w:szCs w:val="16"/>
          <w:lang w:bidi="x-none"/>
        </w:rPr>
        <w:t xml:space="preserve">Außerhalb der StPO </w:t>
      </w:r>
      <w:r w:rsidR="007831DC">
        <w:rPr>
          <w:rFonts w:ascii="Times New Roman" w:hAnsi="Times New Roman" w:cs="Times New Roman"/>
          <w:sz w:val="16"/>
          <w:szCs w:val="16"/>
          <w:lang w:bidi="x-none"/>
        </w:rPr>
        <w:t>z.B.</w:t>
      </w:r>
      <w:r w:rsidRPr="002C183C">
        <w:rPr>
          <w:rFonts w:ascii="Times New Roman" w:hAnsi="Times New Roman" w:cs="Times New Roman"/>
          <w:sz w:val="16"/>
          <w:szCs w:val="16"/>
          <w:lang w:bidi="x-none"/>
        </w:rPr>
        <w:t xml:space="preserve"> § 51 BZRG</w:t>
      </w:r>
      <w:r w:rsidR="007831DC">
        <w:rPr>
          <w:rFonts w:ascii="Times New Roman" w:hAnsi="Times New Roman" w:cs="Times New Roman"/>
          <w:sz w:val="16"/>
          <w:szCs w:val="16"/>
          <w:lang w:bidi="x-none"/>
        </w:rPr>
        <w:t>:</w:t>
      </w:r>
      <w:r w:rsidRPr="002C183C">
        <w:rPr>
          <w:rFonts w:ascii="Times New Roman" w:hAnsi="Times New Roman" w:cs="Times New Roman"/>
          <w:sz w:val="16"/>
          <w:szCs w:val="16"/>
          <w:lang w:bidi="x-none"/>
        </w:rPr>
        <w:t xml:space="preserve"> getilgte Vorstrafen </w:t>
      </w:r>
      <w:r w:rsidR="007831DC" w:rsidRPr="002C183C">
        <w:rPr>
          <w:rFonts w:ascii="Times New Roman" w:hAnsi="Times New Roman" w:cs="Times New Roman"/>
          <w:sz w:val="16"/>
          <w:szCs w:val="16"/>
          <w:lang w:bidi="x-none"/>
        </w:rPr>
        <w:t xml:space="preserve">dürfen </w:t>
      </w:r>
      <w:r w:rsidRPr="002C183C">
        <w:rPr>
          <w:rFonts w:ascii="Times New Roman" w:hAnsi="Times New Roman" w:cs="Times New Roman"/>
          <w:sz w:val="16"/>
          <w:szCs w:val="16"/>
          <w:lang w:bidi="x-none"/>
        </w:rPr>
        <w:t>nicht mehr verwertet werden.</w:t>
      </w:r>
    </w:p>
    <w:p w14:paraId="6C3F9C98" w14:textId="77777777" w:rsidR="00C14C0B" w:rsidRPr="002C183C" w:rsidRDefault="00C14C0B" w:rsidP="009A7078">
      <w:pPr>
        <w:widowControl/>
        <w:tabs>
          <w:tab w:val="left" w:pos="-720"/>
          <w:tab w:val="left" w:pos="288"/>
          <w:tab w:val="left" w:pos="567"/>
          <w:tab w:val="left" w:pos="864"/>
          <w:tab w:val="left" w:pos="1116"/>
          <w:tab w:val="left" w:pos="1404"/>
          <w:tab w:val="left" w:pos="1692"/>
          <w:tab w:val="left" w:pos="1980"/>
          <w:tab w:val="left" w:pos="2268"/>
          <w:tab w:val="left" w:pos="2880"/>
        </w:tabs>
        <w:spacing w:line="170" w:lineRule="exact"/>
        <w:jc w:val="both"/>
        <w:rPr>
          <w:rFonts w:ascii="Times New Roman" w:hAnsi="Times New Roman"/>
          <w:b/>
          <w:spacing w:val="-2"/>
          <w:sz w:val="16"/>
          <w:szCs w:val="16"/>
        </w:rPr>
      </w:pPr>
      <w:r w:rsidRPr="002C183C">
        <w:rPr>
          <w:rFonts w:ascii="Times New Roman" w:hAnsi="Times New Roman"/>
          <w:b/>
          <w:spacing w:val="-2"/>
          <w:sz w:val="16"/>
          <w:szCs w:val="16"/>
        </w:rPr>
        <w:t>IV. Ungeschriebene Beweisverwertungsverbote:</w:t>
      </w:r>
    </w:p>
    <w:p w14:paraId="5F6761A9" w14:textId="1410A113" w:rsidR="00C14C0B" w:rsidRPr="002C183C" w:rsidRDefault="00C14C0B" w:rsidP="00F7443A">
      <w:pPr>
        <w:widowControl/>
        <w:tabs>
          <w:tab w:val="left" w:pos="-720"/>
          <w:tab w:val="left" w:pos="284"/>
          <w:tab w:val="left" w:pos="864"/>
          <w:tab w:val="left" w:pos="1116"/>
          <w:tab w:val="left" w:pos="1404"/>
          <w:tab w:val="left" w:pos="1692"/>
          <w:tab w:val="left" w:pos="1980"/>
          <w:tab w:val="left" w:pos="2268"/>
          <w:tab w:val="left" w:pos="2880"/>
        </w:tabs>
        <w:spacing w:line="170" w:lineRule="exact"/>
        <w:ind w:left="284"/>
        <w:jc w:val="both"/>
        <w:rPr>
          <w:rFonts w:ascii="Times New Roman" w:hAnsi="Times New Roman"/>
          <w:spacing w:val="-2"/>
          <w:sz w:val="16"/>
          <w:szCs w:val="16"/>
        </w:rPr>
      </w:pPr>
      <w:r w:rsidRPr="002C183C">
        <w:rPr>
          <w:rFonts w:ascii="Times New Roman" w:hAnsi="Times New Roman"/>
          <w:spacing w:val="-2"/>
          <w:sz w:val="16"/>
          <w:szCs w:val="16"/>
        </w:rPr>
        <w:t xml:space="preserve">Wie bereits oben beschrieben, ist es nicht notwendig, dass </w:t>
      </w:r>
      <w:r w:rsidR="00E314BF">
        <w:rPr>
          <w:rFonts w:ascii="Times New Roman" w:hAnsi="Times New Roman"/>
          <w:spacing w:val="-2"/>
          <w:sz w:val="16"/>
          <w:szCs w:val="16"/>
        </w:rPr>
        <w:t xml:space="preserve">sich </w:t>
      </w:r>
      <w:r w:rsidRPr="002C183C">
        <w:rPr>
          <w:rFonts w:ascii="Times New Roman" w:hAnsi="Times New Roman"/>
          <w:spacing w:val="-2"/>
          <w:sz w:val="16"/>
          <w:szCs w:val="16"/>
        </w:rPr>
        <w:t xml:space="preserve">ein Verwertungsverbot direkt aus dem Gesetzestext ergibt. Das Vorliegen eines Beweisverwertungsverbots ist in diesen Fällen Frage einer </w:t>
      </w:r>
      <w:r w:rsidRPr="002C183C">
        <w:rPr>
          <w:rFonts w:ascii="Times New Roman" w:hAnsi="Times New Roman"/>
          <w:b/>
          <w:spacing w:val="-2"/>
          <w:sz w:val="16"/>
          <w:szCs w:val="16"/>
        </w:rPr>
        <w:t>Einzelfallbetrachtung</w:t>
      </w:r>
      <w:r w:rsidRPr="002C183C">
        <w:rPr>
          <w:rFonts w:ascii="Times New Roman" w:hAnsi="Times New Roman"/>
          <w:spacing w:val="-2"/>
          <w:sz w:val="16"/>
          <w:szCs w:val="16"/>
        </w:rPr>
        <w:t xml:space="preserve">. Hierzu wurden verschiedene Kriterien entwickelt. </w:t>
      </w:r>
      <w:r w:rsidR="00C35EEF" w:rsidRPr="002C183C">
        <w:rPr>
          <w:rFonts w:ascii="Times New Roman" w:hAnsi="Times New Roman"/>
          <w:spacing w:val="-2"/>
          <w:sz w:val="16"/>
          <w:szCs w:val="16"/>
        </w:rPr>
        <w:t xml:space="preserve">Im Zusammenhang mit der Vernehmung ohne vorangegangene Belehrung nach § 55 II StPO hat der BGH die </w:t>
      </w:r>
      <w:r w:rsidR="00C35EEF" w:rsidRPr="002C183C">
        <w:rPr>
          <w:rFonts w:ascii="Times New Roman" w:hAnsi="Times New Roman"/>
          <w:b/>
          <w:spacing w:val="-2"/>
          <w:sz w:val="16"/>
          <w:szCs w:val="16"/>
        </w:rPr>
        <w:t>Rechtskreistheorie</w:t>
      </w:r>
      <w:r w:rsidR="00C35EEF" w:rsidRPr="002C183C">
        <w:rPr>
          <w:rFonts w:ascii="Times New Roman" w:hAnsi="Times New Roman"/>
          <w:spacing w:val="-2"/>
          <w:sz w:val="16"/>
          <w:szCs w:val="16"/>
        </w:rPr>
        <w:t xml:space="preserve"> entwickelt, nach welcher jeweils zu überprüfen ist, ob die Verletzung den Rechtskreis des Betroffenen wesentlich berührt. Diese Theorie bildet heute aber wohl</w:t>
      </w:r>
      <w:r w:rsidR="00776FEE">
        <w:rPr>
          <w:rFonts w:ascii="Times New Roman" w:hAnsi="Times New Roman"/>
          <w:spacing w:val="-2"/>
          <w:sz w:val="16"/>
          <w:szCs w:val="16"/>
        </w:rPr>
        <w:t xml:space="preserve"> </w:t>
      </w:r>
      <w:r w:rsidR="00C35EEF" w:rsidRPr="002C183C">
        <w:rPr>
          <w:rFonts w:ascii="Times New Roman" w:hAnsi="Times New Roman"/>
          <w:spacing w:val="-2"/>
          <w:sz w:val="16"/>
          <w:szCs w:val="16"/>
        </w:rPr>
        <w:t xml:space="preserve">eher (nur noch) die Grundlage für die </w:t>
      </w:r>
      <w:r w:rsidR="00061BAF">
        <w:rPr>
          <w:rFonts w:ascii="Times New Roman" w:hAnsi="Times New Roman"/>
          <w:spacing w:val="-2"/>
          <w:sz w:val="16"/>
          <w:szCs w:val="16"/>
        </w:rPr>
        <w:t xml:space="preserve">sog. </w:t>
      </w:r>
      <w:r w:rsidR="00C35EEF" w:rsidRPr="00BC0E58">
        <w:rPr>
          <w:rFonts w:ascii="Times New Roman" w:hAnsi="Times New Roman"/>
          <w:b/>
          <w:bCs/>
          <w:spacing w:val="-2"/>
          <w:sz w:val="16"/>
          <w:szCs w:val="16"/>
        </w:rPr>
        <w:t>Abwägungslehre</w:t>
      </w:r>
      <w:r w:rsidR="00C35EEF" w:rsidRPr="002C183C">
        <w:rPr>
          <w:rFonts w:ascii="Times New Roman" w:hAnsi="Times New Roman"/>
          <w:spacing w:val="-2"/>
          <w:sz w:val="16"/>
          <w:szCs w:val="16"/>
        </w:rPr>
        <w:t>.</w:t>
      </w:r>
      <w:r w:rsidR="00C35EEF">
        <w:rPr>
          <w:rFonts w:ascii="Times New Roman" w:hAnsi="Times New Roman"/>
          <w:spacing w:val="-2"/>
          <w:sz w:val="16"/>
          <w:szCs w:val="16"/>
        </w:rPr>
        <w:t xml:space="preserve"> </w:t>
      </w:r>
      <w:r w:rsidRPr="002C183C">
        <w:rPr>
          <w:rFonts w:ascii="Times New Roman" w:hAnsi="Times New Roman"/>
          <w:spacing w:val="-2"/>
          <w:sz w:val="16"/>
          <w:szCs w:val="16"/>
        </w:rPr>
        <w:t xml:space="preserve">Nach </w:t>
      </w:r>
      <w:proofErr w:type="spellStart"/>
      <w:r w:rsidR="00776FEE">
        <w:rPr>
          <w:rFonts w:ascii="Times New Roman" w:hAnsi="Times New Roman"/>
          <w:spacing w:val="-2"/>
          <w:sz w:val="16"/>
          <w:szCs w:val="16"/>
        </w:rPr>
        <w:t>a.A</w:t>
      </w:r>
      <w:proofErr w:type="spellEnd"/>
      <w:r w:rsidR="00776FEE">
        <w:rPr>
          <w:rFonts w:ascii="Times New Roman" w:hAnsi="Times New Roman"/>
          <w:spacing w:val="-2"/>
          <w:sz w:val="16"/>
          <w:szCs w:val="16"/>
        </w:rPr>
        <w:t>.</w:t>
      </w:r>
      <w:r w:rsidRPr="002C183C">
        <w:rPr>
          <w:rFonts w:ascii="Times New Roman" w:hAnsi="Times New Roman"/>
          <w:spacing w:val="-2"/>
          <w:sz w:val="16"/>
          <w:szCs w:val="16"/>
        </w:rPr>
        <w:t xml:space="preserve"> ist auf den </w:t>
      </w:r>
      <w:r w:rsidRPr="002C183C">
        <w:rPr>
          <w:rFonts w:ascii="Times New Roman" w:hAnsi="Times New Roman"/>
          <w:b/>
          <w:spacing w:val="-2"/>
          <w:sz w:val="16"/>
          <w:szCs w:val="16"/>
        </w:rPr>
        <w:t>Schutzzweck der verletzten Beweiserhebungsnorm</w:t>
      </w:r>
      <w:r w:rsidRPr="002C183C">
        <w:rPr>
          <w:rFonts w:ascii="Times New Roman" w:hAnsi="Times New Roman"/>
          <w:spacing w:val="-2"/>
          <w:sz w:val="16"/>
          <w:szCs w:val="16"/>
        </w:rPr>
        <w:t xml:space="preserve"> abzustellen. Eine </w:t>
      </w:r>
      <w:r w:rsidR="009975B4">
        <w:rPr>
          <w:rFonts w:ascii="Times New Roman" w:hAnsi="Times New Roman"/>
          <w:spacing w:val="-2"/>
          <w:sz w:val="16"/>
          <w:szCs w:val="16"/>
        </w:rPr>
        <w:t>differenzierende</w:t>
      </w:r>
      <w:r w:rsidRPr="002C183C">
        <w:rPr>
          <w:rFonts w:ascii="Times New Roman" w:hAnsi="Times New Roman"/>
          <w:spacing w:val="-2"/>
          <w:sz w:val="16"/>
          <w:szCs w:val="16"/>
        </w:rPr>
        <w:t xml:space="preserve"> Meinung verbindet beide Lehren und stellt </w:t>
      </w:r>
      <w:proofErr w:type="spellStart"/>
      <w:r w:rsidRPr="002C183C">
        <w:rPr>
          <w:rFonts w:ascii="Times New Roman" w:hAnsi="Times New Roman"/>
          <w:spacing w:val="-2"/>
          <w:sz w:val="16"/>
          <w:szCs w:val="16"/>
        </w:rPr>
        <w:t>grds</w:t>
      </w:r>
      <w:proofErr w:type="spellEnd"/>
      <w:r w:rsidRPr="002C183C">
        <w:rPr>
          <w:rFonts w:ascii="Times New Roman" w:hAnsi="Times New Roman"/>
          <w:spacing w:val="-2"/>
          <w:sz w:val="16"/>
          <w:szCs w:val="16"/>
        </w:rPr>
        <w:t xml:space="preserve">. auf den Schutzzweck der Beweisnorm ab, greift aber bei aus der Verfassung abgeleiteten selbstständigen Beweisverwertungsverboten auf die Abwägungslehre zurück. </w:t>
      </w:r>
      <w:r w:rsidR="0087776D">
        <w:rPr>
          <w:rFonts w:ascii="Times New Roman" w:hAnsi="Times New Roman"/>
          <w:spacing w:val="-2"/>
          <w:sz w:val="16"/>
          <w:szCs w:val="16"/>
        </w:rPr>
        <w:t xml:space="preserve">Nach der </w:t>
      </w:r>
      <w:proofErr w:type="spellStart"/>
      <w:r w:rsidR="0087776D" w:rsidRPr="009975B4">
        <w:rPr>
          <w:rFonts w:ascii="Times New Roman" w:hAnsi="Times New Roman"/>
          <w:b/>
          <w:spacing w:val="-2"/>
          <w:sz w:val="16"/>
          <w:szCs w:val="16"/>
        </w:rPr>
        <w:t>Beweisbefugnislehre</w:t>
      </w:r>
      <w:proofErr w:type="spellEnd"/>
      <w:r w:rsidR="0087776D">
        <w:rPr>
          <w:rFonts w:ascii="Times New Roman" w:hAnsi="Times New Roman"/>
          <w:spacing w:val="-2"/>
          <w:sz w:val="16"/>
          <w:szCs w:val="16"/>
        </w:rPr>
        <w:t xml:space="preserve"> ist </w:t>
      </w:r>
      <w:r w:rsidR="009975B4">
        <w:rPr>
          <w:rFonts w:ascii="Times New Roman" w:hAnsi="Times New Roman"/>
          <w:spacing w:val="-2"/>
          <w:sz w:val="16"/>
          <w:szCs w:val="16"/>
        </w:rPr>
        <w:t>auch für die Verwertung eine Befugnisnorm erforderlich, welche teilweise in der Erhebungsnorm gesehen wird, die dann aber die Ve</w:t>
      </w:r>
      <w:r w:rsidR="008D4ECF">
        <w:rPr>
          <w:rFonts w:ascii="Times New Roman" w:hAnsi="Times New Roman"/>
          <w:spacing w:val="-2"/>
          <w:sz w:val="16"/>
          <w:szCs w:val="16"/>
        </w:rPr>
        <w:t>r</w:t>
      </w:r>
      <w:r w:rsidR="009975B4">
        <w:rPr>
          <w:rFonts w:ascii="Times New Roman" w:hAnsi="Times New Roman"/>
          <w:spacing w:val="-2"/>
          <w:sz w:val="16"/>
          <w:szCs w:val="16"/>
        </w:rPr>
        <w:t>wertung rechtswidrig</w:t>
      </w:r>
      <w:r w:rsidR="000B3BAD">
        <w:rPr>
          <w:rFonts w:ascii="Times New Roman" w:hAnsi="Times New Roman"/>
          <w:spacing w:val="-2"/>
          <w:sz w:val="16"/>
          <w:szCs w:val="16"/>
        </w:rPr>
        <w:t xml:space="preserve"> erhoben</w:t>
      </w:r>
      <w:r w:rsidR="009975B4">
        <w:rPr>
          <w:rFonts w:ascii="Times New Roman" w:hAnsi="Times New Roman"/>
          <w:spacing w:val="-2"/>
          <w:sz w:val="16"/>
          <w:szCs w:val="16"/>
        </w:rPr>
        <w:t xml:space="preserve">er Beweise nicht gestatte; teilweise wird § 244 II StPO herangezogen und eine Verhältnismäßigkeit der Verwertung geprüft. </w:t>
      </w:r>
      <w:r w:rsidR="009975B4" w:rsidRPr="002C183C">
        <w:rPr>
          <w:rFonts w:ascii="Times New Roman" w:hAnsi="Times New Roman"/>
          <w:spacing w:val="-2"/>
          <w:sz w:val="16"/>
          <w:szCs w:val="16"/>
        </w:rPr>
        <w:t xml:space="preserve">Nach der </w:t>
      </w:r>
      <w:r w:rsidR="00776FEE">
        <w:rPr>
          <w:rFonts w:ascii="Times New Roman" w:hAnsi="Times New Roman"/>
          <w:spacing w:val="-2"/>
          <w:sz w:val="16"/>
          <w:szCs w:val="16"/>
        </w:rPr>
        <w:t>insb.</w:t>
      </w:r>
      <w:r w:rsidR="00776FEE" w:rsidRPr="002C183C">
        <w:rPr>
          <w:rFonts w:ascii="Times New Roman" w:hAnsi="Times New Roman"/>
          <w:spacing w:val="-2"/>
          <w:sz w:val="16"/>
          <w:szCs w:val="16"/>
        </w:rPr>
        <w:t xml:space="preserve"> </w:t>
      </w:r>
      <w:r w:rsidR="009975B4" w:rsidRPr="002C183C">
        <w:rPr>
          <w:rFonts w:ascii="Times New Roman" w:hAnsi="Times New Roman"/>
          <w:spacing w:val="-2"/>
          <w:sz w:val="16"/>
          <w:szCs w:val="16"/>
        </w:rPr>
        <w:t xml:space="preserve">in der </w:t>
      </w:r>
      <w:proofErr w:type="spellStart"/>
      <w:r w:rsidR="009975B4" w:rsidRPr="002C183C">
        <w:rPr>
          <w:rFonts w:ascii="Times New Roman" w:hAnsi="Times New Roman"/>
          <w:spacing w:val="-2"/>
          <w:sz w:val="16"/>
          <w:szCs w:val="16"/>
        </w:rPr>
        <w:t>R</w:t>
      </w:r>
      <w:r w:rsidR="009975B4">
        <w:rPr>
          <w:rFonts w:ascii="Times New Roman" w:hAnsi="Times New Roman"/>
          <w:spacing w:val="-2"/>
          <w:sz w:val="16"/>
          <w:szCs w:val="16"/>
        </w:rPr>
        <w:t>spr</w:t>
      </w:r>
      <w:proofErr w:type="spellEnd"/>
      <w:r w:rsidR="009975B4">
        <w:rPr>
          <w:rFonts w:ascii="Times New Roman" w:hAnsi="Times New Roman"/>
          <w:spacing w:val="-2"/>
          <w:sz w:val="16"/>
          <w:szCs w:val="16"/>
        </w:rPr>
        <w:t>.</w:t>
      </w:r>
      <w:r w:rsidR="009975B4" w:rsidRPr="002C183C">
        <w:rPr>
          <w:rFonts w:ascii="Times New Roman" w:hAnsi="Times New Roman"/>
          <w:spacing w:val="-2"/>
          <w:sz w:val="16"/>
          <w:szCs w:val="16"/>
        </w:rPr>
        <w:t xml:space="preserve"> vertretenen </w:t>
      </w:r>
      <w:r w:rsidR="009975B4">
        <w:rPr>
          <w:rFonts w:ascii="Times New Roman" w:hAnsi="Times New Roman"/>
          <w:spacing w:val="-2"/>
          <w:sz w:val="16"/>
          <w:szCs w:val="16"/>
        </w:rPr>
        <w:t xml:space="preserve">herrschenden </w:t>
      </w:r>
      <w:r w:rsidR="009975B4" w:rsidRPr="002C183C">
        <w:rPr>
          <w:rFonts w:ascii="Times New Roman" w:hAnsi="Times New Roman"/>
          <w:b/>
          <w:spacing w:val="-2"/>
          <w:sz w:val="16"/>
          <w:szCs w:val="16"/>
        </w:rPr>
        <w:t>Abwägungslehre</w:t>
      </w:r>
      <w:r w:rsidR="009975B4" w:rsidRPr="002C183C">
        <w:rPr>
          <w:rFonts w:ascii="Times New Roman" w:hAnsi="Times New Roman"/>
          <w:spacing w:val="-2"/>
          <w:sz w:val="16"/>
          <w:szCs w:val="16"/>
        </w:rPr>
        <w:t xml:space="preserve"> </w:t>
      </w:r>
      <w:r w:rsidR="009975B4">
        <w:rPr>
          <w:rFonts w:ascii="Times New Roman" w:hAnsi="Times New Roman"/>
          <w:spacing w:val="-2"/>
          <w:sz w:val="16"/>
          <w:szCs w:val="16"/>
        </w:rPr>
        <w:t>(</w:t>
      </w:r>
      <w:r w:rsidR="009975B4" w:rsidRPr="00270286">
        <w:rPr>
          <w:rFonts w:ascii="Times New Roman" w:hAnsi="Times New Roman"/>
          <w:b/>
          <w:spacing w:val="-2"/>
          <w:sz w:val="16"/>
          <w:szCs w:val="16"/>
        </w:rPr>
        <w:t>normative Fehlerfolgenlehre</w:t>
      </w:r>
      <w:r w:rsidR="009975B4">
        <w:rPr>
          <w:rFonts w:ascii="Times New Roman" w:hAnsi="Times New Roman"/>
          <w:spacing w:val="-2"/>
          <w:sz w:val="16"/>
          <w:szCs w:val="16"/>
        </w:rPr>
        <w:t xml:space="preserve">) </w:t>
      </w:r>
      <w:r w:rsidR="009975B4" w:rsidRPr="002C183C">
        <w:rPr>
          <w:rFonts w:ascii="Times New Roman" w:hAnsi="Times New Roman"/>
          <w:spacing w:val="-2"/>
          <w:sz w:val="16"/>
          <w:szCs w:val="16"/>
        </w:rPr>
        <w:t xml:space="preserve">ist </w:t>
      </w:r>
      <w:r w:rsidR="009975B4">
        <w:rPr>
          <w:rFonts w:ascii="Times New Roman" w:hAnsi="Times New Roman"/>
          <w:spacing w:val="-2"/>
          <w:sz w:val="16"/>
          <w:szCs w:val="16"/>
        </w:rPr>
        <w:t xml:space="preserve">das Verwertungsverbot im Wege einer Abwägung zu ermitteln, wobei insb. </w:t>
      </w:r>
      <w:r w:rsidR="009975B4" w:rsidRPr="002C183C">
        <w:rPr>
          <w:rFonts w:ascii="Times New Roman" w:hAnsi="Times New Roman"/>
          <w:spacing w:val="-2"/>
          <w:sz w:val="16"/>
          <w:szCs w:val="16"/>
        </w:rPr>
        <w:t xml:space="preserve">das staatliche Interesse an der Strafverfolgung </w:t>
      </w:r>
      <w:r w:rsidR="009975B4">
        <w:rPr>
          <w:rFonts w:ascii="Times New Roman" w:hAnsi="Times New Roman"/>
          <w:spacing w:val="-2"/>
          <w:sz w:val="16"/>
          <w:szCs w:val="16"/>
        </w:rPr>
        <w:t>und die</w:t>
      </w:r>
      <w:r w:rsidR="009975B4" w:rsidRPr="002C183C">
        <w:rPr>
          <w:rFonts w:ascii="Times New Roman" w:hAnsi="Times New Roman"/>
          <w:spacing w:val="-2"/>
          <w:sz w:val="16"/>
          <w:szCs w:val="16"/>
        </w:rPr>
        <w:t xml:space="preserve"> </w:t>
      </w:r>
      <w:r w:rsidR="009975B4">
        <w:rPr>
          <w:rFonts w:ascii="Times New Roman" w:hAnsi="Times New Roman"/>
          <w:spacing w:val="-2"/>
          <w:sz w:val="16"/>
          <w:szCs w:val="16"/>
        </w:rPr>
        <w:t>R</w:t>
      </w:r>
      <w:r w:rsidR="009975B4" w:rsidRPr="002C183C">
        <w:rPr>
          <w:rFonts w:ascii="Times New Roman" w:hAnsi="Times New Roman"/>
          <w:spacing w:val="-2"/>
          <w:sz w:val="16"/>
          <w:szCs w:val="16"/>
        </w:rPr>
        <w:t>echte des Betroffenen</w:t>
      </w:r>
      <w:r w:rsidR="009975B4">
        <w:rPr>
          <w:rFonts w:ascii="Times New Roman" w:hAnsi="Times New Roman"/>
          <w:spacing w:val="-2"/>
          <w:sz w:val="16"/>
          <w:szCs w:val="16"/>
        </w:rPr>
        <w:t xml:space="preserve"> sowie </w:t>
      </w:r>
      <w:r w:rsidR="009975B4" w:rsidRPr="002C183C">
        <w:rPr>
          <w:rFonts w:ascii="Times New Roman" w:hAnsi="Times New Roman"/>
          <w:spacing w:val="-2"/>
          <w:sz w:val="16"/>
          <w:szCs w:val="16"/>
        </w:rPr>
        <w:t>die Schwere des Delikts bzw. des Verfahrensverstoßes maßgeblich sind.</w:t>
      </w:r>
      <w:r w:rsidR="00F7443A">
        <w:rPr>
          <w:rFonts w:ascii="Times New Roman" w:hAnsi="Times New Roman"/>
          <w:spacing w:val="-2"/>
          <w:sz w:val="16"/>
          <w:szCs w:val="16"/>
        </w:rPr>
        <w:t xml:space="preserve"> </w:t>
      </w:r>
      <w:r w:rsidRPr="002C183C">
        <w:rPr>
          <w:rFonts w:ascii="Times New Roman" w:hAnsi="Times New Roman"/>
          <w:spacing w:val="-2"/>
          <w:sz w:val="16"/>
          <w:szCs w:val="16"/>
        </w:rPr>
        <w:t>Zu beachten ist</w:t>
      </w:r>
      <w:r w:rsidR="00E71B78">
        <w:rPr>
          <w:rFonts w:ascii="Times New Roman" w:hAnsi="Times New Roman"/>
          <w:spacing w:val="-2"/>
          <w:sz w:val="16"/>
          <w:szCs w:val="16"/>
        </w:rPr>
        <w:t xml:space="preserve"> ferner</w:t>
      </w:r>
      <w:r w:rsidRPr="002C183C">
        <w:rPr>
          <w:rFonts w:ascii="Times New Roman" w:hAnsi="Times New Roman"/>
          <w:spacing w:val="-2"/>
          <w:sz w:val="16"/>
          <w:szCs w:val="16"/>
        </w:rPr>
        <w:t xml:space="preserve">, dass nach Auffassung des </w:t>
      </w:r>
      <w:r w:rsidRPr="002C183C">
        <w:rPr>
          <w:rFonts w:ascii="Times New Roman" w:hAnsi="Times New Roman"/>
          <w:b/>
          <w:spacing w:val="-2"/>
          <w:sz w:val="16"/>
          <w:szCs w:val="16"/>
        </w:rPr>
        <w:t>BGH</w:t>
      </w:r>
      <w:r w:rsidRPr="002C183C">
        <w:rPr>
          <w:rFonts w:ascii="Times New Roman" w:hAnsi="Times New Roman"/>
          <w:spacing w:val="-2"/>
          <w:sz w:val="16"/>
          <w:szCs w:val="16"/>
        </w:rPr>
        <w:t xml:space="preserve"> </w:t>
      </w:r>
      <w:r w:rsidR="00D87830">
        <w:rPr>
          <w:rFonts w:ascii="Times New Roman" w:hAnsi="Times New Roman"/>
          <w:spacing w:val="-2"/>
          <w:sz w:val="16"/>
          <w:szCs w:val="16"/>
        </w:rPr>
        <w:t xml:space="preserve">die Geltendmachung </w:t>
      </w:r>
      <w:r w:rsidRPr="002C183C">
        <w:rPr>
          <w:rFonts w:ascii="Times New Roman" w:hAnsi="Times New Roman"/>
          <w:spacing w:val="-2"/>
          <w:sz w:val="16"/>
          <w:szCs w:val="16"/>
        </w:rPr>
        <w:t>ein</w:t>
      </w:r>
      <w:r w:rsidR="00D87830">
        <w:rPr>
          <w:rFonts w:ascii="Times New Roman" w:hAnsi="Times New Roman"/>
          <w:spacing w:val="-2"/>
          <w:sz w:val="16"/>
          <w:szCs w:val="16"/>
        </w:rPr>
        <w:t>es</w:t>
      </w:r>
      <w:r w:rsidRPr="002C183C">
        <w:rPr>
          <w:rFonts w:ascii="Times New Roman" w:hAnsi="Times New Roman"/>
          <w:spacing w:val="-2"/>
          <w:sz w:val="16"/>
          <w:szCs w:val="16"/>
        </w:rPr>
        <w:t xml:space="preserve"> Beweisverwertungsverbot</w:t>
      </w:r>
      <w:r w:rsidR="00D87830">
        <w:rPr>
          <w:rFonts w:ascii="Times New Roman" w:hAnsi="Times New Roman"/>
          <w:spacing w:val="-2"/>
          <w:sz w:val="16"/>
          <w:szCs w:val="16"/>
        </w:rPr>
        <w:t>s</w:t>
      </w:r>
      <w:r w:rsidRPr="002C183C">
        <w:rPr>
          <w:rFonts w:ascii="Times New Roman" w:hAnsi="Times New Roman"/>
          <w:spacing w:val="-2"/>
          <w:sz w:val="16"/>
          <w:szCs w:val="16"/>
        </w:rPr>
        <w:t xml:space="preserve"> in manchen Fällen </w:t>
      </w:r>
      <w:r w:rsidR="00D87830">
        <w:rPr>
          <w:rFonts w:ascii="Times New Roman" w:hAnsi="Times New Roman"/>
          <w:b/>
          <w:spacing w:val="-2"/>
          <w:sz w:val="16"/>
          <w:szCs w:val="16"/>
        </w:rPr>
        <w:t>von einem Widerspruch abhängig</w:t>
      </w:r>
      <w:r w:rsidR="00A806BC">
        <w:rPr>
          <w:rFonts w:ascii="Times New Roman" w:hAnsi="Times New Roman"/>
          <w:b/>
          <w:spacing w:val="-2"/>
          <w:sz w:val="16"/>
          <w:szCs w:val="16"/>
        </w:rPr>
        <w:t xml:space="preserve"> </w:t>
      </w:r>
      <w:r w:rsidRPr="002C183C">
        <w:rPr>
          <w:rFonts w:ascii="Times New Roman" w:hAnsi="Times New Roman"/>
          <w:spacing w:val="-2"/>
          <w:sz w:val="16"/>
          <w:szCs w:val="16"/>
        </w:rPr>
        <w:t>ist</w:t>
      </w:r>
      <w:r w:rsidR="00776FEE">
        <w:rPr>
          <w:rFonts w:ascii="Times New Roman" w:hAnsi="Times New Roman"/>
          <w:spacing w:val="-2"/>
          <w:sz w:val="16"/>
          <w:szCs w:val="16"/>
        </w:rPr>
        <w:t>,</w:t>
      </w:r>
      <w:r w:rsidRPr="002C183C">
        <w:rPr>
          <w:rFonts w:ascii="Times New Roman" w:hAnsi="Times New Roman"/>
          <w:spacing w:val="-2"/>
          <w:sz w:val="16"/>
          <w:szCs w:val="16"/>
        </w:rPr>
        <w:t xml:space="preserve"> d.h. der </w:t>
      </w:r>
      <w:r w:rsidR="00B65827">
        <w:rPr>
          <w:rFonts w:ascii="Times New Roman" w:hAnsi="Times New Roman"/>
          <w:spacing w:val="-2"/>
          <w:sz w:val="16"/>
          <w:szCs w:val="16"/>
        </w:rPr>
        <w:t xml:space="preserve">verteidigte </w:t>
      </w:r>
      <w:r w:rsidRPr="002C183C">
        <w:rPr>
          <w:rFonts w:ascii="Times New Roman" w:hAnsi="Times New Roman"/>
          <w:spacing w:val="-2"/>
          <w:sz w:val="16"/>
          <w:szCs w:val="16"/>
        </w:rPr>
        <w:t xml:space="preserve">Angeklagte muss der Verwertung rechtzeitig (in der Frist des § 257 StPO) </w:t>
      </w:r>
      <w:r w:rsidRPr="002C183C">
        <w:rPr>
          <w:rFonts w:ascii="Times New Roman" w:hAnsi="Times New Roman"/>
          <w:b/>
          <w:spacing w:val="-2"/>
          <w:sz w:val="16"/>
          <w:szCs w:val="16"/>
        </w:rPr>
        <w:t>widersprechen</w:t>
      </w:r>
      <w:r w:rsidRPr="002C183C">
        <w:rPr>
          <w:rFonts w:ascii="Times New Roman" w:hAnsi="Times New Roman"/>
          <w:spacing w:val="-2"/>
          <w:sz w:val="16"/>
          <w:szCs w:val="16"/>
        </w:rPr>
        <w:t xml:space="preserve">; </w:t>
      </w:r>
      <w:r w:rsidR="007831DC">
        <w:rPr>
          <w:rFonts w:ascii="Times New Roman" w:hAnsi="Times New Roman"/>
          <w:spacing w:val="-2"/>
          <w:sz w:val="16"/>
          <w:szCs w:val="16"/>
        </w:rPr>
        <w:t>G</w:t>
      </w:r>
      <w:r w:rsidR="00B65827" w:rsidRPr="007831DC">
        <w:rPr>
          <w:rFonts w:ascii="Times New Roman" w:hAnsi="Times New Roman"/>
          <w:spacing w:val="-2"/>
          <w:sz w:val="16"/>
          <w:szCs w:val="16"/>
        </w:rPr>
        <w:t xml:space="preserve">leiches gilt für den unverteidigten Angeklagten, der vom Gericht in Bezug auf die Widerspruchsmöglichkeit belehrt worden ist. Widerspricht der Angeklagte (bzw. sein Verteidiger) nicht rechtzeitig, so ist eine Verwertung möglich </w:t>
      </w:r>
      <w:r w:rsidRPr="002C183C">
        <w:rPr>
          <w:rFonts w:ascii="Times New Roman" w:hAnsi="Times New Roman"/>
          <w:spacing w:val="-2"/>
          <w:sz w:val="16"/>
          <w:szCs w:val="16"/>
        </w:rPr>
        <w:t>(</w:t>
      </w:r>
      <w:r w:rsidRPr="00BF5E80">
        <w:rPr>
          <w:rFonts w:ascii="Times New Roman" w:hAnsi="Times New Roman"/>
          <w:b/>
          <w:spacing w:val="-2"/>
          <w:sz w:val="16"/>
          <w:szCs w:val="16"/>
        </w:rPr>
        <w:t>sog. Widerspruchslösung</w:t>
      </w:r>
      <w:r w:rsidRPr="002C183C">
        <w:rPr>
          <w:rFonts w:ascii="Times New Roman" w:hAnsi="Times New Roman"/>
          <w:spacing w:val="-2"/>
          <w:sz w:val="16"/>
          <w:szCs w:val="16"/>
        </w:rPr>
        <w:t xml:space="preserve">), bislang erwogen für unterlassene Belehrungen </w:t>
      </w:r>
      <w:proofErr w:type="spellStart"/>
      <w:r w:rsidRPr="002C183C">
        <w:rPr>
          <w:rFonts w:ascii="Times New Roman" w:hAnsi="Times New Roman"/>
          <w:spacing w:val="-2"/>
          <w:sz w:val="16"/>
          <w:szCs w:val="16"/>
        </w:rPr>
        <w:t>i</w:t>
      </w:r>
      <w:r w:rsidR="00892D4C">
        <w:rPr>
          <w:rFonts w:ascii="Times New Roman" w:hAnsi="Times New Roman"/>
          <w:spacing w:val="-2"/>
          <w:sz w:val="16"/>
          <w:szCs w:val="16"/>
        </w:rPr>
        <w:t>.</w:t>
      </w:r>
      <w:r w:rsidRPr="002C183C">
        <w:rPr>
          <w:rFonts w:ascii="Times New Roman" w:hAnsi="Times New Roman"/>
          <w:spacing w:val="-2"/>
          <w:sz w:val="16"/>
          <w:szCs w:val="16"/>
        </w:rPr>
        <w:t>S</w:t>
      </w:r>
      <w:r w:rsidR="00892D4C">
        <w:rPr>
          <w:rFonts w:ascii="Times New Roman" w:hAnsi="Times New Roman"/>
          <w:spacing w:val="-2"/>
          <w:sz w:val="16"/>
          <w:szCs w:val="16"/>
        </w:rPr>
        <w:t>.</w:t>
      </w:r>
      <w:r w:rsidRPr="002C183C">
        <w:rPr>
          <w:rFonts w:ascii="Times New Roman" w:hAnsi="Times New Roman"/>
          <w:spacing w:val="-2"/>
          <w:sz w:val="16"/>
          <w:szCs w:val="16"/>
        </w:rPr>
        <w:t>d</w:t>
      </w:r>
      <w:proofErr w:type="spellEnd"/>
      <w:r w:rsidR="00892D4C">
        <w:rPr>
          <w:rFonts w:ascii="Times New Roman" w:hAnsi="Times New Roman"/>
          <w:spacing w:val="-2"/>
          <w:sz w:val="16"/>
          <w:szCs w:val="16"/>
        </w:rPr>
        <w:t>.</w:t>
      </w:r>
      <w:r w:rsidRPr="002C183C">
        <w:rPr>
          <w:rFonts w:ascii="Times New Roman" w:hAnsi="Times New Roman"/>
          <w:spacing w:val="-2"/>
          <w:sz w:val="16"/>
          <w:szCs w:val="16"/>
        </w:rPr>
        <w:t xml:space="preserve"> </w:t>
      </w:r>
      <w:r w:rsidRPr="007831DC">
        <w:rPr>
          <w:rFonts w:ascii="Times New Roman" w:hAnsi="Times New Roman"/>
          <w:spacing w:val="-2"/>
          <w:sz w:val="16"/>
          <w:szCs w:val="16"/>
        </w:rPr>
        <w:t>§ 136 StPO</w:t>
      </w:r>
      <w:r w:rsidRPr="002C183C">
        <w:rPr>
          <w:rFonts w:ascii="Times New Roman" w:hAnsi="Times New Roman"/>
          <w:spacing w:val="-2"/>
          <w:sz w:val="16"/>
          <w:szCs w:val="16"/>
        </w:rPr>
        <w:t xml:space="preserve">, Verstöße gegen Benachrichtigungspflicht nach </w:t>
      </w:r>
      <w:r w:rsidRPr="007831DC">
        <w:rPr>
          <w:rFonts w:ascii="Times New Roman" w:hAnsi="Times New Roman"/>
          <w:spacing w:val="-2"/>
          <w:sz w:val="16"/>
          <w:szCs w:val="16"/>
        </w:rPr>
        <w:t>§ 168</w:t>
      </w:r>
      <w:r w:rsidR="00075FFF" w:rsidRPr="007831DC">
        <w:rPr>
          <w:rFonts w:ascii="Times New Roman" w:hAnsi="Times New Roman"/>
          <w:spacing w:val="-2"/>
          <w:sz w:val="16"/>
          <w:szCs w:val="16"/>
        </w:rPr>
        <w:t>c</w:t>
      </w:r>
      <w:r w:rsidRPr="007831DC">
        <w:rPr>
          <w:rFonts w:ascii="Times New Roman" w:hAnsi="Times New Roman"/>
          <w:spacing w:val="-2"/>
          <w:sz w:val="16"/>
          <w:szCs w:val="16"/>
        </w:rPr>
        <w:t> I, V StPO</w:t>
      </w:r>
      <w:r w:rsidRPr="002C183C">
        <w:rPr>
          <w:rFonts w:ascii="Times New Roman" w:hAnsi="Times New Roman"/>
          <w:spacing w:val="-2"/>
          <w:sz w:val="16"/>
          <w:szCs w:val="16"/>
        </w:rPr>
        <w:t xml:space="preserve">, Verletzung der Anordnungsvoraussetzungen bei Verdeckten Ermittlern, </w:t>
      </w:r>
      <w:r w:rsidRPr="007831DC">
        <w:rPr>
          <w:rFonts w:ascii="Times New Roman" w:hAnsi="Times New Roman"/>
          <w:spacing w:val="-2"/>
          <w:sz w:val="16"/>
          <w:szCs w:val="16"/>
        </w:rPr>
        <w:t>§ 110a StPO</w:t>
      </w:r>
      <w:r w:rsidRPr="002C183C">
        <w:rPr>
          <w:rFonts w:ascii="Times New Roman" w:hAnsi="Times New Roman"/>
          <w:spacing w:val="-2"/>
          <w:sz w:val="16"/>
          <w:szCs w:val="16"/>
        </w:rPr>
        <w:t xml:space="preserve">, Telekommunikationsüberwachung, </w:t>
      </w:r>
      <w:r w:rsidRPr="00BF5E80">
        <w:rPr>
          <w:rFonts w:ascii="Times New Roman" w:hAnsi="Times New Roman"/>
          <w:spacing w:val="-2"/>
          <w:sz w:val="16"/>
          <w:szCs w:val="16"/>
        </w:rPr>
        <w:t>§ 100a StPO</w:t>
      </w:r>
      <w:r w:rsidRPr="002C183C">
        <w:rPr>
          <w:rFonts w:ascii="Times New Roman" w:hAnsi="Times New Roman"/>
          <w:spacing w:val="-2"/>
          <w:sz w:val="16"/>
          <w:szCs w:val="16"/>
        </w:rPr>
        <w:t xml:space="preserve">, bei Missachtung des Richtervorbehalts nach </w:t>
      </w:r>
      <w:r w:rsidRPr="00BF5E80">
        <w:rPr>
          <w:rFonts w:ascii="Times New Roman" w:hAnsi="Times New Roman"/>
          <w:spacing w:val="-2"/>
          <w:sz w:val="16"/>
          <w:szCs w:val="16"/>
        </w:rPr>
        <w:t>§ 81a II StPO</w:t>
      </w:r>
      <w:r w:rsidR="00061BAF">
        <w:rPr>
          <w:rFonts w:ascii="Times New Roman" w:hAnsi="Times New Roman"/>
          <w:spacing w:val="-2"/>
          <w:sz w:val="16"/>
          <w:szCs w:val="16"/>
        </w:rPr>
        <w:t xml:space="preserve"> und streitig bei unrechtmäßigen Durchsuchungen §§ 102, 105 StPO</w:t>
      </w:r>
      <w:r w:rsidR="008A1FA5">
        <w:rPr>
          <w:rFonts w:ascii="Times New Roman" w:hAnsi="Times New Roman"/>
          <w:spacing w:val="-2"/>
          <w:sz w:val="16"/>
          <w:szCs w:val="16"/>
        </w:rPr>
        <w:t xml:space="preserve"> (vgl. BGH NJW 2017, 1332 und 2018, 2279)</w:t>
      </w:r>
      <w:r w:rsidRPr="002C183C">
        <w:rPr>
          <w:rFonts w:ascii="Times New Roman" w:hAnsi="Times New Roman"/>
          <w:spacing w:val="-2"/>
          <w:sz w:val="16"/>
          <w:szCs w:val="16"/>
        </w:rPr>
        <w:t>.</w:t>
      </w:r>
      <w:r w:rsidR="00731E4A" w:rsidRPr="002C183C">
        <w:rPr>
          <w:rFonts w:ascii="Times New Roman" w:hAnsi="Times New Roman"/>
          <w:spacing w:val="-2"/>
          <w:sz w:val="16"/>
          <w:szCs w:val="16"/>
        </w:rPr>
        <w:t xml:space="preserve"> Keine Anwendung findet die Widerspruchslösung, wenn der Angeklagte keine Verfügungsgewalt über die Verwertbarkeit des Beweismittels hat (z.B. verbotene Vernehmungsmethoden nach §</w:t>
      </w:r>
      <w:r w:rsidR="008A1FA5">
        <w:rPr>
          <w:rFonts w:ascii="Times New Roman" w:hAnsi="Times New Roman"/>
          <w:spacing w:val="-2"/>
          <w:sz w:val="16"/>
          <w:szCs w:val="16"/>
        </w:rPr>
        <w:t> </w:t>
      </w:r>
      <w:r w:rsidR="00731E4A" w:rsidRPr="002C183C">
        <w:rPr>
          <w:rFonts w:ascii="Times New Roman" w:hAnsi="Times New Roman"/>
          <w:spacing w:val="-2"/>
          <w:sz w:val="16"/>
          <w:szCs w:val="16"/>
        </w:rPr>
        <w:t>136a StPO, arg.</w:t>
      </w:r>
      <w:r w:rsidR="00FD7230">
        <w:rPr>
          <w:rFonts w:ascii="Times New Roman" w:hAnsi="Times New Roman"/>
          <w:spacing w:val="-2"/>
          <w:sz w:val="16"/>
          <w:szCs w:val="16"/>
        </w:rPr>
        <w:t xml:space="preserve"> e.</w:t>
      </w:r>
      <w:r w:rsidR="00731E4A" w:rsidRPr="002C183C">
        <w:rPr>
          <w:rFonts w:ascii="Times New Roman" w:hAnsi="Times New Roman"/>
          <w:spacing w:val="-2"/>
          <w:sz w:val="16"/>
          <w:szCs w:val="16"/>
        </w:rPr>
        <w:t xml:space="preserve"> § 136a III 2 StPO).</w:t>
      </w:r>
    </w:p>
    <w:p w14:paraId="1C1A86B5" w14:textId="77777777" w:rsidR="00C14C0B" w:rsidRPr="002C183C" w:rsidRDefault="00C14C0B" w:rsidP="009A7078">
      <w:pPr>
        <w:widowControl/>
        <w:tabs>
          <w:tab w:val="left" w:pos="-720"/>
          <w:tab w:val="left" w:pos="288"/>
          <w:tab w:val="left" w:pos="567"/>
          <w:tab w:val="left" w:pos="864"/>
          <w:tab w:val="left" w:pos="1116"/>
          <w:tab w:val="left" w:pos="1404"/>
          <w:tab w:val="left" w:pos="1692"/>
          <w:tab w:val="left" w:pos="1980"/>
          <w:tab w:val="left" w:pos="2268"/>
          <w:tab w:val="left" w:pos="2880"/>
        </w:tabs>
        <w:spacing w:line="118" w:lineRule="atLeast"/>
        <w:jc w:val="both"/>
        <w:rPr>
          <w:rFonts w:ascii="Times New Roman" w:hAnsi="Times New Roman"/>
          <w:b/>
          <w:spacing w:val="-2"/>
          <w:sz w:val="16"/>
          <w:szCs w:val="16"/>
        </w:rPr>
      </w:pPr>
    </w:p>
    <w:p w14:paraId="40AEA053" w14:textId="6BD4DBF0" w:rsidR="00C14C0B" w:rsidRPr="009A7078" w:rsidRDefault="00C14C0B" w:rsidP="009A7078">
      <w:pPr>
        <w:widowControl/>
        <w:tabs>
          <w:tab w:val="left" w:pos="-720"/>
          <w:tab w:val="left" w:pos="0"/>
          <w:tab w:val="left" w:pos="288"/>
          <w:tab w:val="left" w:pos="567"/>
          <w:tab w:val="left" w:pos="864"/>
          <w:tab w:val="left" w:pos="1116"/>
          <w:tab w:val="left" w:pos="1404"/>
          <w:tab w:val="left" w:pos="1692"/>
          <w:tab w:val="left" w:pos="1980"/>
          <w:tab w:val="left" w:pos="2268"/>
          <w:tab w:val="left" w:pos="2880"/>
        </w:tabs>
        <w:spacing w:line="118" w:lineRule="atLeast"/>
        <w:ind w:left="1980" w:hanging="1980"/>
        <w:jc w:val="both"/>
        <w:rPr>
          <w:rFonts w:ascii="Times New Roman" w:hAnsi="Times New Roman"/>
          <w:spacing w:val="-2"/>
          <w:sz w:val="13"/>
          <w:szCs w:val="13"/>
        </w:rPr>
      </w:pPr>
      <w:r w:rsidRPr="009A7078">
        <w:rPr>
          <w:rFonts w:ascii="Times New Roman" w:hAnsi="Times New Roman"/>
          <w:b/>
          <w:spacing w:val="-2"/>
          <w:sz w:val="13"/>
          <w:szCs w:val="13"/>
        </w:rPr>
        <w:t>Literatur/Lehrbücher:</w:t>
      </w:r>
      <w:r w:rsidRPr="009A7078">
        <w:rPr>
          <w:rFonts w:ascii="Times New Roman" w:hAnsi="Times New Roman"/>
          <w:b/>
          <w:spacing w:val="-2"/>
          <w:sz w:val="13"/>
          <w:szCs w:val="13"/>
        </w:rPr>
        <w:tab/>
      </w:r>
      <w:r w:rsidR="0053097E" w:rsidRPr="009A7078">
        <w:rPr>
          <w:rFonts w:ascii="Times New Roman" w:hAnsi="Times New Roman"/>
          <w:i/>
          <w:spacing w:val="-2"/>
          <w:sz w:val="13"/>
          <w:szCs w:val="13"/>
        </w:rPr>
        <w:t xml:space="preserve">Heinrich/Reinbacher, </w:t>
      </w:r>
      <w:r w:rsidR="0053097E" w:rsidRPr="009A7078">
        <w:rPr>
          <w:rFonts w:ascii="Times New Roman" w:hAnsi="Times New Roman"/>
          <w:spacing w:val="-2"/>
          <w:sz w:val="13"/>
          <w:szCs w:val="13"/>
        </w:rPr>
        <w:t xml:space="preserve">Examinatorium Strafprozessrecht, </w:t>
      </w:r>
      <w:r w:rsidR="00061BAF">
        <w:rPr>
          <w:rFonts w:ascii="Times New Roman" w:hAnsi="Times New Roman"/>
          <w:spacing w:val="-2"/>
          <w:sz w:val="13"/>
          <w:szCs w:val="13"/>
        </w:rPr>
        <w:t>4</w:t>
      </w:r>
      <w:r w:rsidR="00FC4200" w:rsidRPr="009A7078">
        <w:rPr>
          <w:rFonts w:ascii="Times New Roman" w:hAnsi="Times New Roman"/>
          <w:spacing w:val="-2"/>
          <w:sz w:val="13"/>
          <w:szCs w:val="13"/>
        </w:rPr>
        <w:t>. Auflage 20</w:t>
      </w:r>
      <w:r w:rsidR="009A7078" w:rsidRPr="009A7078">
        <w:rPr>
          <w:rFonts w:ascii="Times New Roman" w:hAnsi="Times New Roman"/>
          <w:spacing w:val="-2"/>
          <w:sz w:val="13"/>
          <w:szCs w:val="13"/>
        </w:rPr>
        <w:t>2</w:t>
      </w:r>
      <w:r w:rsidR="00061BAF">
        <w:rPr>
          <w:rFonts w:ascii="Times New Roman" w:hAnsi="Times New Roman"/>
          <w:spacing w:val="-2"/>
          <w:sz w:val="13"/>
          <w:szCs w:val="13"/>
        </w:rPr>
        <w:t>3</w:t>
      </w:r>
      <w:r w:rsidR="00FC4200" w:rsidRPr="009A7078">
        <w:rPr>
          <w:rFonts w:ascii="Times New Roman" w:hAnsi="Times New Roman"/>
          <w:spacing w:val="-2"/>
          <w:sz w:val="13"/>
          <w:szCs w:val="13"/>
        </w:rPr>
        <w:t xml:space="preserve">, </w:t>
      </w:r>
      <w:r w:rsidR="0053097E" w:rsidRPr="009A7078">
        <w:rPr>
          <w:rFonts w:ascii="Times New Roman" w:hAnsi="Times New Roman"/>
          <w:spacing w:val="-2"/>
          <w:sz w:val="13"/>
          <w:szCs w:val="13"/>
        </w:rPr>
        <w:t>Problem</w:t>
      </w:r>
      <w:r w:rsidR="00776FEE">
        <w:rPr>
          <w:rFonts w:ascii="Times New Roman" w:hAnsi="Times New Roman"/>
          <w:spacing w:val="-2"/>
          <w:sz w:val="13"/>
          <w:szCs w:val="13"/>
        </w:rPr>
        <w:t> </w:t>
      </w:r>
      <w:r w:rsidR="0053097E" w:rsidRPr="009A7078">
        <w:rPr>
          <w:rFonts w:ascii="Times New Roman" w:hAnsi="Times New Roman"/>
          <w:spacing w:val="-2"/>
          <w:sz w:val="13"/>
          <w:szCs w:val="13"/>
        </w:rPr>
        <w:t>26.</w:t>
      </w:r>
    </w:p>
    <w:p w14:paraId="06497070" w14:textId="7F75C9D4" w:rsidR="00C14C0B" w:rsidRPr="009A7078" w:rsidRDefault="00C14C0B" w:rsidP="009A7078">
      <w:pPr>
        <w:widowControl/>
        <w:tabs>
          <w:tab w:val="left" w:pos="-720"/>
          <w:tab w:val="left" w:pos="288"/>
          <w:tab w:val="left" w:pos="567"/>
          <w:tab w:val="left" w:pos="864"/>
          <w:tab w:val="left" w:pos="1116"/>
          <w:tab w:val="left" w:pos="1404"/>
          <w:tab w:val="left" w:pos="2268"/>
          <w:tab w:val="left" w:pos="2880"/>
        </w:tabs>
        <w:spacing w:line="118" w:lineRule="atLeast"/>
        <w:ind w:left="1418" w:hanging="1418"/>
        <w:jc w:val="both"/>
        <w:rPr>
          <w:rFonts w:ascii="Times New Roman" w:hAnsi="Times New Roman"/>
          <w:spacing w:val="-2"/>
          <w:sz w:val="13"/>
          <w:szCs w:val="13"/>
        </w:rPr>
      </w:pPr>
      <w:r w:rsidRPr="009A7078">
        <w:rPr>
          <w:rFonts w:ascii="Times New Roman" w:hAnsi="Times New Roman"/>
          <w:b/>
          <w:spacing w:val="-2"/>
          <w:sz w:val="13"/>
          <w:szCs w:val="13"/>
        </w:rPr>
        <w:t>Literatur/Aufsätze:</w:t>
      </w:r>
      <w:r w:rsidRPr="009A7078">
        <w:rPr>
          <w:rFonts w:ascii="Times New Roman" w:hAnsi="Times New Roman"/>
          <w:b/>
          <w:spacing w:val="-2"/>
          <w:sz w:val="13"/>
          <w:szCs w:val="13"/>
        </w:rPr>
        <w:tab/>
      </w:r>
      <w:r w:rsidR="00731E4A" w:rsidRPr="009A7078">
        <w:rPr>
          <w:rFonts w:ascii="Times New Roman" w:hAnsi="Times New Roman"/>
          <w:b/>
          <w:spacing w:val="-2"/>
          <w:sz w:val="13"/>
          <w:szCs w:val="13"/>
        </w:rPr>
        <w:tab/>
      </w:r>
      <w:proofErr w:type="spellStart"/>
      <w:r w:rsidR="001B5A29" w:rsidRPr="008A1FA5">
        <w:rPr>
          <w:rStyle w:val="Betonungkursiv"/>
          <w:rFonts w:ascii="Times New Roman" w:hAnsi="Times New Roman" w:cs="Times New Roman"/>
          <w:color w:val="auto"/>
          <w:sz w:val="13"/>
          <w:szCs w:val="13"/>
        </w:rPr>
        <w:t>Effer-Uhe</w:t>
      </w:r>
      <w:proofErr w:type="spellEnd"/>
      <w:r w:rsidR="001B5A29" w:rsidRPr="008A1FA5">
        <w:rPr>
          <w:rFonts w:ascii="Times New Roman" w:hAnsi="Times New Roman" w:cs="Times New Roman"/>
          <w:spacing w:val="-2"/>
          <w:sz w:val="13"/>
          <w:szCs w:val="13"/>
        </w:rPr>
        <w:t xml:space="preserve">, Die Entwicklung der Lehre von den Beweisverboten, JURA 2008, 335; </w:t>
      </w:r>
      <w:r w:rsidR="001B5A29" w:rsidRPr="008A1FA5">
        <w:rPr>
          <w:rFonts w:ascii="Times New Roman" w:hAnsi="Times New Roman" w:cs="Times New Roman"/>
          <w:i/>
          <w:spacing w:val="-2"/>
          <w:sz w:val="13"/>
          <w:szCs w:val="13"/>
        </w:rPr>
        <w:t>Fahl</w:t>
      </w:r>
      <w:r w:rsidR="001B5A29" w:rsidRPr="008A1FA5">
        <w:rPr>
          <w:rFonts w:ascii="Times New Roman" w:hAnsi="Times New Roman" w:cs="Times New Roman"/>
          <w:spacing w:val="-2"/>
          <w:sz w:val="13"/>
          <w:szCs w:val="13"/>
        </w:rPr>
        <w:t>, Relative Beweisverwertungsverbote, NStZ 2021, 261;</w:t>
      </w:r>
      <w:r w:rsidR="001B5A29" w:rsidRPr="008A1FA5">
        <w:rPr>
          <w:spacing w:val="-2"/>
          <w:sz w:val="13"/>
          <w:szCs w:val="13"/>
        </w:rPr>
        <w:t xml:space="preserve"> </w:t>
      </w:r>
      <w:r w:rsidRPr="001B5A29">
        <w:rPr>
          <w:rFonts w:ascii="Times New Roman" w:hAnsi="Times New Roman"/>
          <w:i/>
          <w:spacing w:val="-2"/>
          <w:sz w:val="13"/>
          <w:szCs w:val="13"/>
        </w:rPr>
        <w:t>Jahn</w:t>
      </w:r>
      <w:r w:rsidRPr="009A7078">
        <w:rPr>
          <w:rFonts w:ascii="Times New Roman" w:hAnsi="Times New Roman"/>
          <w:spacing w:val="-2"/>
          <w:sz w:val="13"/>
          <w:szCs w:val="13"/>
        </w:rPr>
        <w:t xml:space="preserve">, Fortführung der Widerspruchslösung, </w:t>
      </w:r>
      <w:proofErr w:type="spellStart"/>
      <w:r w:rsidRPr="009A7078">
        <w:rPr>
          <w:rFonts w:ascii="Times New Roman" w:hAnsi="Times New Roman"/>
          <w:spacing w:val="-2"/>
          <w:sz w:val="13"/>
          <w:szCs w:val="13"/>
        </w:rPr>
        <w:t>JuS</w:t>
      </w:r>
      <w:proofErr w:type="spellEnd"/>
      <w:r w:rsidRPr="009A7078">
        <w:rPr>
          <w:rFonts w:ascii="Times New Roman" w:hAnsi="Times New Roman"/>
          <w:spacing w:val="-2"/>
          <w:sz w:val="13"/>
          <w:szCs w:val="13"/>
        </w:rPr>
        <w:t xml:space="preserve"> 2008, 82; </w:t>
      </w:r>
      <w:proofErr w:type="spellStart"/>
      <w:r w:rsidR="00C56CD5" w:rsidRPr="009A7078">
        <w:rPr>
          <w:rFonts w:ascii="Times New Roman" w:hAnsi="Times New Roman"/>
          <w:i/>
          <w:spacing w:val="-2"/>
          <w:sz w:val="13"/>
          <w:szCs w:val="13"/>
        </w:rPr>
        <w:t>ders</w:t>
      </w:r>
      <w:proofErr w:type="spellEnd"/>
      <w:r w:rsidR="00C56CD5" w:rsidRPr="009A7078">
        <w:rPr>
          <w:rFonts w:ascii="Times New Roman" w:hAnsi="Times New Roman"/>
          <w:i/>
          <w:spacing w:val="-2"/>
          <w:sz w:val="13"/>
          <w:szCs w:val="13"/>
        </w:rPr>
        <w:t>.</w:t>
      </w:r>
      <w:r w:rsidR="002C183C" w:rsidRPr="009A7078">
        <w:rPr>
          <w:rFonts w:ascii="Times New Roman" w:hAnsi="Times New Roman"/>
          <w:spacing w:val="-2"/>
          <w:sz w:val="13"/>
          <w:szCs w:val="13"/>
        </w:rPr>
        <w:t xml:space="preserve">, Strafprozessrecht: Verbotene Vernehmungsmethoden, </w:t>
      </w:r>
      <w:proofErr w:type="spellStart"/>
      <w:r w:rsidR="002C183C" w:rsidRPr="009A7078">
        <w:rPr>
          <w:rFonts w:ascii="Times New Roman" w:hAnsi="Times New Roman"/>
          <w:spacing w:val="-2"/>
          <w:sz w:val="13"/>
          <w:szCs w:val="13"/>
        </w:rPr>
        <w:t>JuS</w:t>
      </w:r>
      <w:proofErr w:type="spellEnd"/>
      <w:r w:rsidR="002C183C" w:rsidRPr="009A7078">
        <w:rPr>
          <w:rFonts w:ascii="Times New Roman" w:hAnsi="Times New Roman"/>
          <w:spacing w:val="-2"/>
          <w:sz w:val="13"/>
          <w:szCs w:val="13"/>
        </w:rPr>
        <w:t xml:space="preserve"> 2015, 279; </w:t>
      </w:r>
      <w:r w:rsidR="009A7078" w:rsidRPr="009A7078">
        <w:rPr>
          <w:rFonts w:ascii="Times New Roman" w:hAnsi="Times New Roman"/>
          <w:i/>
          <w:spacing w:val="-2"/>
          <w:sz w:val="13"/>
          <w:szCs w:val="13"/>
        </w:rPr>
        <w:t>Großmann</w:t>
      </w:r>
      <w:r w:rsidR="009A7078" w:rsidRPr="009A7078">
        <w:rPr>
          <w:rFonts w:ascii="Times New Roman" w:hAnsi="Times New Roman"/>
          <w:spacing w:val="-2"/>
          <w:sz w:val="13"/>
          <w:szCs w:val="13"/>
        </w:rPr>
        <w:t xml:space="preserve">, Telekommunikationsüberwachung und Online-Durchsuchung: Voraussetzungen und Beweisverbote, JA 2019, 241; </w:t>
      </w:r>
      <w:r w:rsidR="00C56CD5" w:rsidRPr="009A7078">
        <w:rPr>
          <w:rFonts w:ascii="Times New Roman" w:hAnsi="Times New Roman"/>
          <w:bCs/>
          <w:i/>
          <w:spacing w:val="-2"/>
          <w:sz w:val="13"/>
          <w:szCs w:val="13"/>
        </w:rPr>
        <w:t>Kuhn</w:t>
      </w:r>
      <w:r w:rsidR="00C56CD5" w:rsidRPr="009A7078">
        <w:rPr>
          <w:rFonts w:ascii="Times New Roman" w:hAnsi="Times New Roman"/>
          <w:bCs/>
          <w:spacing w:val="-2"/>
          <w:sz w:val="13"/>
          <w:szCs w:val="13"/>
        </w:rPr>
        <w:t>, Die Widerspruchslösung, JA 2010, 891</w:t>
      </w:r>
      <w:r w:rsidR="00062684" w:rsidRPr="009A7078">
        <w:rPr>
          <w:rFonts w:ascii="Times New Roman" w:hAnsi="Times New Roman"/>
          <w:spacing w:val="-2"/>
          <w:sz w:val="13"/>
          <w:szCs w:val="13"/>
        </w:rPr>
        <w:t xml:space="preserve">; </w:t>
      </w:r>
      <w:r w:rsidR="00062684" w:rsidRPr="009A7078">
        <w:rPr>
          <w:rFonts w:ascii="Times New Roman" w:hAnsi="Times New Roman"/>
          <w:i/>
          <w:spacing w:val="-2"/>
          <w:sz w:val="13"/>
          <w:szCs w:val="13"/>
        </w:rPr>
        <w:t>Neuber</w:t>
      </w:r>
      <w:r w:rsidR="00062684" w:rsidRPr="009A7078">
        <w:rPr>
          <w:rFonts w:ascii="Times New Roman" w:hAnsi="Times New Roman"/>
          <w:spacing w:val="-2"/>
          <w:sz w:val="13"/>
          <w:szCs w:val="13"/>
        </w:rPr>
        <w:t>, Unselbstständige Beweisverwertungsverbote im Strafprozess –</w:t>
      </w:r>
      <w:r w:rsidR="000565FD" w:rsidRPr="009A7078">
        <w:rPr>
          <w:rFonts w:ascii="Times New Roman" w:hAnsi="Times New Roman"/>
          <w:spacing w:val="-2"/>
          <w:sz w:val="13"/>
          <w:szCs w:val="13"/>
        </w:rPr>
        <w:t xml:space="preserve"> </w:t>
      </w:r>
      <w:r w:rsidR="00062684" w:rsidRPr="009A7078">
        <w:rPr>
          <w:rFonts w:ascii="Times New Roman" w:hAnsi="Times New Roman"/>
          <w:spacing w:val="-2"/>
          <w:sz w:val="13"/>
          <w:szCs w:val="13"/>
        </w:rPr>
        <w:t xml:space="preserve">Die Abwägungslehre auf dem methodischen Prüfstand, NStZ 2019, 113; </w:t>
      </w:r>
      <w:r w:rsidRPr="009A7078">
        <w:rPr>
          <w:rFonts w:ascii="Times New Roman" w:hAnsi="Times New Roman"/>
          <w:i/>
          <w:spacing w:val="-2"/>
          <w:sz w:val="13"/>
          <w:szCs w:val="13"/>
        </w:rPr>
        <w:t>Meyer-</w:t>
      </w:r>
      <w:proofErr w:type="spellStart"/>
      <w:r w:rsidRPr="009A7078">
        <w:rPr>
          <w:rFonts w:ascii="Times New Roman" w:hAnsi="Times New Roman"/>
          <w:i/>
          <w:spacing w:val="-2"/>
          <w:sz w:val="13"/>
          <w:szCs w:val="13"/>
        </w:rPr>
        <w:t>Mews</w:t>
      </w:r>
      <w:proofErr w:type="spellEnd"/>
      <w:r w:rsidRPr="009A7078">
        <w:rPr>
          <w:rFonts w:ascii="Times New Roman" w:hAnsi="Times New Roman"/>
          <w:spacing w:val="-2"/>
          <w:sz w:val="13"/>
          <w:szCs w:val="13"/>
        </w:rPr>
        <w:t xml:space="preserve">, Beweisverwertungsverbote im Strafverfahren, </w:t>
      </w:r>
      <w:proofErr w:type="spellStart"/>
      <w:r w:rsidRPr="009A7078">
        <w:rPr>
          <w:rFonts w:ascii="Times New Roman" w:hAnsi="Times New Roman"/>
          <w:spacing w:val="-2"/>
          <w:sz w:val="13"/>
          <w:szCs w:val="13"/>
        </w:rPr>
        <w:t>JuS</w:t>
      </w:r>
      <w:proofErr w:type="spellEnd"/>
      <w:r w:rsidRPr="009A7078">
        <w:rPr>
          <w:rFonts w:ascii="Times New Roman" w:hAnsi="Times New Roman"/>
          <w:spacing w:val="-2"/>
          <w:sz w:val="13"/>
          <w:szCs w:val="13"/>
        </w:rPr>
        <w:t xml:space="preserve"> 2004, 39, 127;</w:t>
      </w:r>
      <w:r w:rsidR="00C56CD5" w:rsidRPr="009A7078">
        <w:rPr>
          <w:rFonts w:ascii="Arial" w:hAnsi="Arial" w:cs="Times New Roman"/>
          <w:bCs/>
          <w:i/>
          <w:spacing w:val="-2"/>
          <w:sz w:val="13"/>
          <w:szCs w:val="13"/>
        </w:rPr>
        <w:t xml:space="preserve"> </w:t>
      </w:r>
      <w:r w:rsidR="00C56CD5" w:rsidRPr="009A7078">
        <w:rPr>
          <w:rFonts w:ascii="Times New Roman" w:hAnsi="Times New Roman"/>
          <w:i/>
          <w:spacing w:val="-2"/>
          <w:sz w:val="13"/>
          <w:szCs w:val="13"/>
        </w:rPr>
        <w:t>Paul</w:t>
      </w:r>
      <w:r w:rsidR="00C56CD5" w:rsidRPr="009A7078">
        <w:rPr>
          <w:rFonts w:ascii="Times New Roman" w:hAnsi="Times New Roman"/>
          <w:spacing w:val="-2"/>
          <w:sz w:val="13"/>
          <w:szCs w:val="13"/>
        </w:rPr>
        <w:t xml:space="preserve">, Unselbständige Beweisverwertungsverbote in der Rechtsprechung, NStZ 2013, 489; </w:t>
      </w:r>
      <w:r w:rsidR="009F51F3">
        <w:rPr>
          <w:rFonts w:ascii="Times New Roman" w:hAnsi="Times New Roman"/>
          <w:i/>
          <w:iCs/>
          <w:spacing w:val="-2"/>
          <w:sz w:val="13"/>
          <w:szCs w:val="13"/>
        </w:rPr>
        <w:t>Reidel/</w:t>
      </w:r>
      <w:proofErr w:type="spellStart"/>
      <w:r w:rsidR="009F51F3">
        <w:rPr>
          <w:rFonts w:ascii="Times New Roman" w:hAnsi="Times New Roman"/>
          <w:i/>
          <w:iCs/>
          <w:spacing w:val="-2"/>
          <w:sz w:val="13"/>
          <w:szCs w:val="13"/>
        </w:rPr>
        <w:t>Semmelmayer</w:t>
      </w:r>
      <w:proofErr w:type="spellEnd"/>
      <w:r w:rsidR="009F51F3">
        <w:rPr>
          <w:rFonts w:ascii="Times New Roman" w:hAnsi="Times New Roman"/>
          <w:i/>
          <w:iCs/>
          <w:spacing w:val="-2"/>
          <w:sz w:val="13"/>
          <w:szCs w:val="13"/>
        </w:rPr>
        <w:t xml:space="preserve">, </w:t>
      </w:r>
      <w:r w:rsidR="009F51F3" w:rsidRPr="008A1FA5">
        <w:rPr>
          <w:rFonts w:ascii="Times New Roman" w:hAnsi="Times New Roman"/>
          <w:spacing w:val="-2"/>
          <w:sz w:val="13"/>
          <w:szCs w:val="13"/>
        </w:rPr>
        <w:t xml:space="preserve">Die Widerspruchslösung – Ein „Evergreen“ des BGH, JA 2022, 859; </w:t>
      </w:r>
      <w:r w:rsidR="0020101D" w:rsidRPr="0020101D">
        <w:rPr>
          <w:rFonts w:ascii="Times New Roman" w:hAnsi="Times New Roman"/>
          <w:i/>
          <w:spacing w:val="-2"/>
          <w:sz w:val="13"/>
          <w:szCs w:val="13"/>
        </w:rPr>
        <w:t>Reinbacher/Werkmeister</w:t>
      </w:r>
      <w:r w:rsidR="0020101D">
        <w:rPr>
          <w:rFonts w:ascii="Times New Roman" w:hAnsi="Times New Roman"/>
          <w:spacing w:val="-2"/>
          <w:sz w:val="13"/>
          <w:szCs w:val="13"/>
        </w:rPr>
        <w:t xml:space="preserve">, </w:t>
      </w:r>
      <w:r w:rsidR="00083E80">
        <w:rPr>
          <w:rFonts w:ascii="Times New Roman" w:hAnsi="Times New Roman"/>
          <w:spacing w:val="-2"/>
          <w:sz w:val="13"/>
          <w:szCs w:val="13"/>
        </w:rPr>
        <w:t xml:space="preserve">Zufallsfunde im Strafverfahren, </w:t>
      </w:r>
      <w:proofErr w:type="spellStart"/>
      <w:r w:rsidR="0020101D">
        <w:rPr>
          <w:rFonts w:ascii="Times New Roman" w:hAnsi="Times New Roman"/>
          <w:spacing w:val="-2"/>
          <w:sz w:val="13"/>
          <w:szCs w:val="13"/>
        </w:rPr>
        <w:t>ZStW</w:t>
      </w:r>
      <w:proofErr w:type="spellEnd"/>
      <w:r w:rsidR="00083E80">
        <w:rPr>
          <w:rFonts w:ascii="Times New Roman" w:hAnsi="Times New Roman"/>
          <w:spacing w:val="-2"/>
          <w:sz w:val="13"/>
          <w:szCs w:val="13"/>
        </w:rPr>
        <w:t xml:space="preserve"> 130 (2018), 1104</w:t>
      </w:r>
      <w:r w:rsidR="0020101D">
        <w:rPr>
          <w:rFonts w:ascii="Times New Roman" w:hAnsi="Times New Roman"/>
          <w:spacing w:val="-2"/>
          <w:sz w:val="13"/>
          <w:szCs w:val="13"/>
        </w:rPr>
        <w:t xml:space="preserve">; </w:t>
      </w:r>
      <w:r w:rsidR="00C56CD5" w:rsidRPr="009A7078">
        <w:rPr>
          <w:rFonts w:ascii="Times New Roman" w:hAnsi="Times New Roman"/>
          <w:i/>
          <w:spacing w:val="-2"/>
          <w:sz w:val="13"/>
          <w:szCs w:val="13"/>
        </w:rPr>
        <w:t>Schroth</w:t>
      </w:r>
      <w:r w:rsidR="00C56CD5" w:rsidRPr="009A7078">
        <w:rPr>
          <w:rFonts w:ascii="Times New Roman" w:hAnsi="Times New Roman"/>
          <w:spacing w:val="-2"/>
          <w:sz w:val="13"/>
          <w:szCs w:val="13"/>
        </w:rPr>
        <w:t xml:space="preserve">, Beweisverwertungsverbote im Strafverfahren – Überblick, Strukturen und Thesen zu einem umstrittenen Thema, </w:t>
      </w:r>
      <w:proofErr w:type="spellStart"/>
      <w:r w:rsidR="00C56CD5" w:rsidRPr="009A7078">
        <w:rPr>
          <w:rFonts w:ascii="Times New Roman" w:hAnsi="Times New Roman"/>
          <w:spacing w:val="-2"/>
          <w:sz w:val="13"/>
          <w:szCs w:val="13"/>
        </w:rPr>
        <w:t>JuS</w:t>
      </w:r>
      <w:proofErr w:type="spellEnd"/>
      <w:r w:rsidR="00C56CD5" w:rsidRPr="009A7078">
        <w:rPr>
          <w:rFonts w:ascii="Times New Roman" w:hAnsi="Times New Roman"/>
          <w:spacing w:val="-2"/>
          <w:sz w:val="13"/>
          <w:szCs w:val="13"/>
        </w:rPr>
        <w:t xml:space="preserve"> 1998, 969; </w:t>
      </w:r>
      <w:r w:rsidRPr="009A7078">
        <w:rPr>
          <w:rFonts w:ascii="Times New Roman" w:hAnsi="Times New Roman"/>
          <w:i/>
          <w:spacing w:val="-2"/>
          <w:sz w:val="13"/>
          <w:szCs w:val="13"/>
        </w:rPr>
        <w:t>Sinn</w:t>
      </w:r>
      <w:r w:rsidRPr="009A7078">
        <w:rPr>
          <w:rFonts w:ascii="Times New Roman" w:hAnsi="Times New Roman"/>
          <w:spacing w:val="-2"/>
          <w:sz w:val="13"/>
          <w:szCs w:val="13"/>
        </w:rPr>
        <w:t xml:space="preserve">, Besondere Ermittlungsmaßnahmen und die damit verbundenen Beweisprobleme, JURA 2003, 812; </w:t>
      </w:r>
      <w:r w:rsidRPr="009A7078">
        <w:rPr>
          <w:rFonts w:ascii="Times New Roman" w:hAnsi="Times New Roman"/>
          <w:i/>
          <w:spacing w:val="-2"/>
          <w:sz w:val="13"/>
          <w:szCs w:val="13"/>
        </w:rPr>
        <w:t>Störmer</w:t>
      </w:r>
      <w:r w:rsidRPr="009A7078">
        <w:rPr>
          <w:rFonts w:ascii="Times New Roman" w:hAnsi="Times New Roman"/>
          <w:spacing w:val="-2"/>
          <w:sz w:val="13"/>
          <w:szCs w:val="13"/>
        </w:rPr>
        <w:t xml:space="preserve">, Verfassungsrechtliche Verwertungsverbote im </w:t>
      </w:r>
      <w:proofErr w:type="spellStart"/>
      <w:r w:rsidRPr="009A7078">
        <w:rPr>
          <w:rFonts w:ascii="Times New Roman" w:hAnsi="Times New Roman"/>
          <w:spacing w:val="-2"/>
          <w:sz w:val="13"/>
          <w:szCs w:val="13"/>
        </w:rPr>
        <w:t>Strafprozeß</w:t>
      </w:r>
      <w:proofErr w:type="spellEnd"/>
      <w:r w:rsidRPr="009A7078">
        <w:rPr>
          <w:rFonts w:ascii="Times New Roman" w:hAnsi="Times New Roman"/>
          <w:spacing w:val="-2"/>
          <w:sz w:val="13"/>
          <w:szCs w:val="13"/>
        </w:rPr>
        <w:t xml:space="preserve">, JURA 1994, 393; </w:t>
      </w:r>
      <w:proofErr w:type="spellStart"/>
      <w:r w:rsidRPr="009A7078">
        <w:rPr>
          <w:rFonts w:ascii="Times New Roman" w:hAnsi="Times New Roman"/>
          <w:i/>
          <w:spacing w:val="-2"/>
          <w:sz w:val="13"/>
          <w:szCs w:val="13"/>
        </w:rPr>
        <w:t>ders</w:t>
      </w:r>
      <w:proofErr w:type="spellEnd"/>
      <w:r w:rsidRPr="009A7078">
        <w:rPr>
          <w:rFonts w:ascii="Times New Roman" w:hAnsi="Times New Roman"/>
          <w:i/>
          <w:spacing w:val="-2"/>
          <w:sz w:val="13"/>
          <w:szCs w:val="13"/>
        </w:rPr>
        <w:t>.</w:t>
      </w:r>
      <w:r w:rsidRPr="009A7078">
        <w:rPr>
          <w:rFonts w:ascii="Times New Roman" w:hAnsi="Times New Roman"/>
          <w:spacing w:val="-2"/>
          <w:sz w:val="13"/>
          <w:szCs w:val="13"/>
        </w:rPr>
        <w:t xml:space="preserve">, Strafprozessuale Verwertungsverbote in verschiedenen Konstellationen, JURA 1994, 621; </w:t>
      </w:r>
      <w:r w:rsidRPr="009A7078">
        <w:rPr>
          <w:rFonts w:ascii="Times New Roman" w:hAnsi="Times New Roman"/>
          <w:i/>
          <w:spacing w:val="-2"/>
          <w:sz w:val="13"/>
          <w:szCs w:val="13"/>
        </w:rPr>
        <w:t>Witt</w:t>
      </w:r>
      <w:r w:rsidRPr="009A7078">
        <w:rPr>
          <w:rFonts w:ascii="Times New Roman" w:hAnsi="Times New Roman"/>
          <w:spacing w:val="-2"/>
          <w:sz w:val="13"/>
          <w:szCs w:val="13"/>
        </w:rPr>
        <w:t xml:space="preserve">, Allgemeine Einführung in die Beweisverbote im </w:t>
      </w:r>
      <w:proofErr w:type="spellStart"/>
      <w:r w:rsidRPr="009A7078">
        <w:rPr>
          <w:rFonts w:ascii="Times New Roman" w:hAnsi="Times New Roman"/>
          <w:spacing w:val="-2"/>
          <w:sz w:val="13"/>
          <w:szCs w:val="13"/>
        </w:rPr>
        <w:t>Strafprozeß</w:t>
      </w:r>
      <w:proofErr w:type="spellEnd"/>
      <w:r w:rsidRPr="009A7078">
        <w:rPr>
          <w:rFonts w:ascii="Times New Roman" w:hAnsi="Times New Roman"/>
          <w:spacing w:val="-2"/>
          <w:sz w:val="13"/>
          <w:szCs w:val="13"/>
        </w:rPr>
        <w:t>, JA 1997, 762</w:t>
      </w:r>
      <w:r w:rsidR="00265D78">
        <w:rPr>
          <w:rFonts w:ascii="Times New Roman" w:hAnsi="Times New Roman"/>
          <w:spacing w:val="-2"/>
          <w:sz w:val="13"/>
          <w:szCs w:val="13"/>
        </w:rPr>
        <w:t xml:space="preserve">; </w:t>
      </w:r>
      <w:r w:rsidR="00265D78" w:rsidRPr="004C6519">
        <w:rPr>
          <w:rFonts w:ascii="Times New Roman" w:hAnsi="Times New Roman"/>
          <w:i/>
          <w:spacing w:val="-2"/>
          <w:sz w:val="13"/>
          <w:szCs w:val="13"/>
        </w:rPr>
        <w:t>Fahl</w:t>
      </w:r>
      <w:r w:rsidR="00265D78">
        <w:rPr>
          <w:rFonts w:ascii="Times New Roman" w:hAnsi="Times New Roman"/>
          <w:spacing w:val="-2"/>
          <w:sz w:val="13"/>
          <w:szCs w:val="13"/>
        </w:rPr>
        <w:t>, Relative Beweisverwertungsverbote, NStZ 2021, 261.</w:t>
      </w:r>
    </w:p>
    <w:p w14:paraId="4A6B3BD3" w14:textId="53D86741" w:rsidR="00700C1F" w:rsidRPr="009A7078" w:rsidRDefault="00C14C0B" w:rsidP="009A7078">
      <w:pPr>
        <w:widowControl/>
        <w:tabs>
          <w:tab w:val="left" w:pos="-720"/>
          <w:tab w:val="left" w:pos="288"/>
          <w:tab w:val="left" w:pos="567"/>
          <w:tab w:val="left" w:pos="864"/>
          <w:tab w:val="left" w:pos="1116"/>
          <w:tab w:val="left" w:pos="1418"/>
          <w:tab w:val="left" w:pos="1692"/>
          <w:tab w:val="left" w:pos="2268"/>
          <w:tab w:val="left" w:pos="2880"/>
        </w:tabs>
        <w:spacing w:line="118" w:lineRule="atLeast"/>
        <w:ind w:left="1418" w:hanging="1418"/>
        <w:jc w:val="both"/>
        <w:rPr>
          <w:rFonts w:ascii="Times New Roman" w:hAnsi="Times New Roman"/>
          <w:spacing w:val="-2"/>
          <w:sz w:val="13"/>
          <w:szCs w:val="13"/>
        </w:rPr>
      </w:pPr>
      <w:r w:rsidRPr="009A7078">
        <w:rPr>
          <w:rFonts w:ascii="Times New Roman" w:hAnsi="Times New Roman"/>
          <w:b/>
          <w:spacing w:val="-2"/>
          <w:sz w:val="13"/>
          <w:szCs w:val="13"/>
        </w:rPr>
        <w:t xml:space="preserve">Rechtsprechung: </w:t>
      </w:r>
      <w:r w:rsidRPr="009A7078">
        <w:rPr>
          <w:rFonts w:ascii="Times New Roman" w:hAnsi="Times New Roman"/>
          <w:b/>
          <w:spacing w:val="-2"/>
          <w:sz w:val="13"/>
          <w:szCs w:val="13"/>
        </w:rPr>
        <w:tab/>
      </w:r>
      <w:r w:rsidRPr="009A7078">
        <w:rPr>
          <w:rFonts w:ascii="Times New Roman" w:hAnsi="Times New Roman"/>
          <w:b/>
          <w:spacing w:val="-2"/>
          <w:sz w:val="13"/>
          <w:szCs w:val="13"/>
        </w:rPr>
        <w:tab/>
      </w:r>
      <w:r w:rsidR="0097503D" w:rsidRPr="009A7078">
        <w:rPr>
          <w:rFonts w:ascii="Times New Roman" w:hAnsi="Times New Roman"/>
          <w:b/>
          <w:spacing w:val="-2"/>
          <w:sz w:val="13"/>
          <w:szCs w:val="13"/>
        </w:rPr>
        <w:t xml:space="preserve">BVerfGE 130, 1 </w:t>
      </w:r>
      <w:r w:rsidR="0097503D" w:rsidRPr="009A7078">
        <w:rPr>
          <w:rFonts w:ascii="Times New Roman" w:hAnsi="Times New Roman"/>
          <w:spacing w:val="-2"/>
          <w:sz w:val="13"/>
          <w:szCs w:val="13"/>
        </w:rPr>
        <w:t>–</w:t>
      </w:r>
      <w:r w:rsidR="006F6EA6">
        <w:rPr>
          <w:rFonts w:ascii="Times New Roman" w:hAnsi="Times New Roman"/>
          <w:spacing w:val="-2"/>
          <w:sz w:val="13"/>
          <w:szCs w:val="13"/>
        </w:rPr>
        <w:t xml:space="preserve"> </w:t>
      </w:r>
      <w:r w:rsidR="0097503D" w:rsidRPr="009A7078">
        <w:rPr>
          <w:rFonts w:ascii="Times New Roman" w:hAnsi="Times New Roman"/>
          <w:spacing w:val="-2"/>
          <w:sz w:val="13"/>
          <w:szCs w:val="13"/>
        </w:rPr>
        <w:t xml:space="preserve">Wohnraumüberwachung (Abwägungslehre und Widerspruchslösung verfassungsgemäß); </w:t>
      </w:r>
      <w:r w:rsidR="00C56CD5" w:rsidRPr="009A7078">
        <w:rPr>
          <w:rFonts w:ascii="Times New Roman" w:hAnsi="Times New Roman"/>
          <w:b/>
          <w:bCs/>
          <w:spacing w:val="-2"/>
          <w:sz w:val="13"/>
          <w:szCs w:val="13"/>
        </w:rPr>
        <w:t xml:space="preserve">BVerfG NJW 2011, 207 </w:t>
      </w:r>
      <w:r w:rsidR="00C56CD5" w:rsidRPr="009A7078">
        <w:rPr>
          <w:rFonts w:ascii="Times New Roman" w:hAnsi="Times New Roman"/>
          <w:bCs/>
          <w:spacing w:val="-2"/>
          <w:sz w:val="13"/>
          <w:szCs w:val="13"/>
        </w:rPr>
        <w:t>– Treaty</w:t>
      </w:r>
      <w:r w:rsidR="0082781D">
        <w:rPr>
          <w:rFonts w:ascii="Times New Roman" w:hAnsi="Times New Roman"/>
          <w:bCs/>
          <w:spacing w:val="-2"/>
          <w:sz w:val="13"/>
          <w:szCs w:val="13"/>
        </w:rPr>
        <w:t xml:space="preserve"> </w:t>
      </w:r>
      <w:proofErr w:type="spellStart"/>
      <w:r w:rsidR="00C56CD5" w:rsidRPr="009A7078">
        <w:rPr>
          <w:rFonts w:ascii="Times New Roman" w:hAnsi="Times New Roman"/>
          <w:bCs/>
          <w:spacing w:val="-2"/>
          <w:sz w:val="13"/>
          <w:szCs w:val="13"/>
        </w:rPr>
        <w:t>override</w:t>
      </w:r>
      <w:proofErr w:type="spellEnd"/>
      <w:r w:rsidR="00C56CD5" w:rsidRPr="009A7078">
        <w:rPr>
          <w:rFonts w:ascii="Times New Roman" w:hAnsi="Times New Roman"/>
          <w:bCs/>
          <w:spacing w:val="-2"/>
          <w:sz w:val="13"/>
          <w:szCs w:val="13"/>
        </w:rPr>
        <w:t xml:space="preserve"> (Verstoß gegen Art. 36 WÜK);</w:t>
      </w:r>
      <w:r w:rsidR="00C56CD5" w:rsidRPr="009A7078">
        <w:rPr>
          <w:rFonts w:ascii="Times New Roman" w:hAnsi="Times New Roman"/>
          <w:b/>
          <w:bCs/>
          <w:spacing w:val="-2"/>
          <w:sz w:val="13"/>
          <w:szCs w:val="13"/>
        </w:rPr>
        <w:t xml:space="preserve"> </w:t>
      </w:r>
      <w:r w:rsidR="008C0AD3" w:rsidRPr="009A7078">
        <w:rPr>
          <w:rFonts w:ascii="Times New Roman" w:hAnsi="Times New Roman"/>
          <w:b/>
          <w:bCs/>
          <w:spacing w:val="-2"/>
          <w:sz w:val="13"/>
          <w:szCs w:val="13"/>
        </w:rPr>
        <w:t xml:space="preserve">BGHSt 11, 213 </w:t>
      </w:r>
      <w:r w:rsidR="008C0AD3" w:rsidRPr="009A7078">
        <w:rPr>
          <w:rFonts w:ascii="Times New Roman" w:hAnsi="Times New Roman"/>
          <w:bCs/>
          <w:spacing w:val="-2"/>
          <w:sz w:val="13"/>
          <w:szCs w:val="13"/>
        </w:rPr>
        <w:t xml:space="preserve">– Belehrungsfehler bei § 55 StPO („Rechtskreistheorie“); </w:t>
      </w:r>
      <w:r w:rsidR="00C56CD5" w:rsidRPr="009A7078">
        <w:rPr>
          <w:rFonts w:ascii="Times New Roman" w:hAnsi="Times New Roman"/>
          <w:b/>
          <w:bCs/>
          <w:color w:val="000000"/>
          <w:spacing w:val="-2"/>
          <w:sz w:val="13"/>
          <w:szCs w:val="13"/>
        </w:rPr>
        <w:t xml:space="preserve">BGHSt 38, 214 </w:t>
      </w:r>
      <w:r w:rsidR="00C56CD5" w:rsidRPr="009A7078">
        <w:rPr>
          <w:rFonts w:ascii="Times New Roman" w:hAnsi="Times New Roman"/>
          <w:bCs/>
          <w:color w:val="000000"/>
          <w:spacing w:val="-2"/>
          <w:sz w:val="13"/>
          <w:szCs w:val="13"/>
        </w:rPr>
        <w:t>–</w:t>
      </w:r>
      <w:r w:rsidR="00C56CD5" w:rsidRPr="009A7078">
        <w:rPr>
          <w:rFonts w:ascii="Times New Roman" w:hAnsi="Times New Roman"/>
          <w:bCs/>
          <w:spacing w:val="-2"/>
          <w:sz w:val="13"/>
          <w:szCs w:val="13"/>
        </w:rPr>
        <w:t xml:space="preserve"> Belehrungsfehler (Verstoß gegen Belehrungspflicht, Widerspruchslösung); </w:t>
      </w:r>
      <w:r w:rsidR="00C56CD5" w:rsidRPr="009A7078">
        <w:rPr>
          <w:rFonts w:ascii="Times New Roman" w:hAnsi="Times New Roman"/>
          <w:b/>
          <w:bCs/>
          <w:color w:val="000000"/>
          <w:spacing w:val="-2"/>
          <w:sz w:val="13"/>
          <w:szCs w:val="13"/>
        </w:rPr>
        <w:t>BGHSt 42, 139</w:t>
      </w:r>
      <w:r w:rsidR="00C56CD5" w:rsidRPr="009A7078">
        <w:rPr>
          <w:rFonts w:ascii="Times New Roman" w:hAnsi="Times New Roman"/>
          <w:b/>
          <w:bCs/>
          <w:spacing w:val="-2"/>
          <w:sz w:val="13"/>
          <w:szCs w:val="13"/>
        </w:rPr>
        <w:t xml:space="preserve"> </w:t>
      </w:r>
      <w:r w:rsidR="00C56CD5" w:rsidRPr="009A7078">
        <w:rPr>
          <w:rFonts w:ascii="Times New Roman" w:hAnsi="Times New Roman"/>
          <w:bCs/>
          <w:spacing w:val="-2"/>
          <w:sz w:val="13"/>
          <w:szCs w:val="13"/>
        </w:rPr>
        <w:t>–</w:t>
      </w:r>
      <w:r w:rsidR="00C56CD5" w:rsidRPr="009A7078">
        <w:rPr>
          <w:rFonts w:ascii="Times New Roman" w:hAnsi="Times New Roman"/>
          <w:b/>
          <w:bCs/>
          <w:spacing w:val="-2"/>
          <w:sz w:val="13"/>
          <w:szCs w:val="13"/>
        </w:rPr>
        <w:t xml:space="preserve"> </w:t>
      </w:r>
      <w:proofErr w:type="spellStart"/>
      <w:r w:rsidR="008C0AD3" w:rsidRPr="009A7078">
        <w:rPr>
          <w:rFonts w:ascii="Times New Roman" w:hAnsi="Times New Roman"/>
          <w:bCs/>
          <w:color w:val="000000"/>
          <w:spacing w:val="-2"/>
          <w:sz w:val="13"/>
          <w:szCs w:val="13"/>
        </w:rPr>
        <w:t>Hörfalle</w:t>
      </w:r>
      <w:proofErr w:type="spellEnd"/>
      <w:r w:rsidR="008C0AD3" w:rsidRPr="009A7078">
        <w:rPr>
          <w:rFonts w:ascii="Times New Roman" w:hAnsi="Times New Roman"/>
          <w:bCs/>
          <w:color w:val="000000"/>
          <w:spacing w:val="-2"/>
          <w:sz w:val="13"/>
          <w:szCs w:val="13"/>
        </w:rPr>
        <w:t xml:space="preserve"> (Keine Täuschung bei Mithören am Zweithörer)</w:t>
      </w:r>
      <w:r w:rsidR="00C56CD5" w:rsidRPr="009A7078">
        <w:rPr>
          <w:rFonts w:ascii="Times New Roman" w:hAnsi="Times New Roman"/>
          <w:bCs/>
          <w:spacing w:val="-2"/>
          <w:sz w:val="13"/>
          <w:szCs w:val="13"/>
        </w:rPr>
        <w:t>;</w:t>
      </w:r>
      <w:r w:rsidRPr="009A7078">
        <w:rPr>
          <w:rFonts w:ascii="Times New Roman" w:hAnsi="Times New Roman"/>
          <w:spacing w:val="-2"/>
          <w:sz w:val="13"/>
          <w:szCs w:val="13"/>
        </w:rPr>
        <w:t xml:space="preserve"> </w:t>
      </w:r>
      <w:r w:rsidRPr="009A7078">
        <w:rPr>
          <w:rFonts w:ascii="Times New Roman" w:hAnsi="Times New Roman"/>
          <w:b/>
          <w:color w:val="000000"/>
          <w:spacing w:val="-2"/>
          <w:sz w:val="13"/>
          <w:szCs w:val="13"/>
        </w:rPr>
        <w:t xml:space="preserve">BGHSt 51, 285 – </w:t>
      </w:r>
      <w:r w:rsidRPr="009A7078">
        <w:rPr>
          <w:rFonts w:ascii="Times New Roman" w:hAnsi="Times New Roman"/>
          <w:color w:val="000000"/>
          <w:spacing w:val="-2"/>
          <w:sz w:val="13"/>
          <w:szCs w:val="13"/>
        </w:rPr>
        <w:t>Durchsuchung</w:t>
      </w:r>
      <w:r w:rsidRPr="009A7078">
        <w:rPr>
          <w:rFonts w:ascii="Times New Roman" w:hAnsi="Times New Roman"/>
          <w:spacing w:val="-2"/>
          <w:sz w:val="13"/>
          <w:szCs w:val="13"/>
        </w:rPr>
        <w:t xml:space="preserve"> (grobe Verkennung des Richtervorbehalts)</w:t>
      </w:r>
      <w:r w:rsidRPr="009A7078">
        <w:rPr>
          <w:rFonts w:ascii="Times New Roman" w:hAnsi="Times New Roman"/>
          <w:b/>
          <w:spacing w:val="-2"/>
          <w:sz w:val="13"/>
          <w:szCs w:val="13"/>
        </w:rPr>
        <w:t xml:space="preserve">; BGHSt 52, 110 – </w:t>
      </w:r>
      <w:r w:rsidRPr="009A7078">
        <w:rPr>
          <w:rFonts w:ascii="Times New Roman" w:hAnsi="Times New Roman"/>
          <w:spacing w:val="-2"/>
          <w:sz w:val="13"/>
          <w:szCs w:val="13"/>
        </w:rPr>
        <w:t xml:space="preserve">Ausländerbelehrung (unterlassene Belehrung über Recht auf konsularischen Beistand); </w:t>
      </w:r>
      <w:r w:rsidRPr="009A7078">
        <w:rPr>
          <w:rFonts w:ascii="Times New Roman" w:hAnsi="Times New Roman"/>
          <w:b/>
          <w:spacing w:val="-2"/>
          <w:sz w:val="13"/>
          <w:szCs w:val="13"/>
        </w:rPr>
        <w:t xml:space="preserve">BGHSt 53, 64 </w:t>
      </w:r>
      <w:r w:rsidRPr="009A7078">
        <w:rPr>
          <w:rFonts w:ascii="Times New Roman" w:hAnsi="Times New Roman"/>
          <w:spacing w:val="-2"/>
          <w:sz w:val="13"/>
          <w:szCs w:val="13"/>
        </w:rPr>
        <w:t>– Telefonbetrug (</w:t>
      </w:r>
      <w:r w:rsidRPr="009A7078">
        <w:rPr>
          <w:rFonts w:ascii="Times New Roman" w:hAnsi="Times New Roman"/>
          <w:color w:val="000000"/>
          <w:spacing w:val="-2"/>
          <w:sz w:val="13"/>
          <w:szCs w:val="13"/>
        </w:rPr>
        <w:t xml:space="preserve">Zufallsfunde); </w:t>
      </w:r>
      <w:r w:rsidRPr="009A7078">
        <w:rPr>
          <w:rFonts w:ascii="Times New Roman" w:hAnsi="Times New Roman"/>
          <w:b/>
          <w:color w:val="000000"/>
          <w:spacing w:val="-2"/>
          <w:sz w:val="13"/>
          <w:szCs w:val="13"/>
        </w:rPr>
        <w:t>BGHSt</w:t>
      </w:r>
      <w:r w:rsidR="007831DC" w:rsidRPr="009A7078">
        <w:rPr>
          <w:rFonts w:ascii="Times New Roman" w:hAnsi="Times New Roman"/>
          <w:b/>
          <w:color w:val="000000"/>
          <w:spacing w:val="-2"/>
          <w:sz w:val="13"/>
          <w:szCs w:val="13"/>
        </w:rPr>
        <w:t> </w:t>
      </w:r>
      <w:r w:rsidRPr="009A7078">
        <w:rPr>
          <w:rFonts w:ascii="Times New Roman" w:hAnsi="Times New Roman"/>
          <w:b/>
          <w:color w:val="000000"/>
          <w:spacing w:val="-2"/>
          <w:sz w:val="13"/>
          <w:szCs w:val="13"/>
        </w:rPr>
        <w:t>53, 191</w:t>
      </w:r>
      <w:r w:rsidRPr="009A7078">
        <w:rPr>
          <w:rFonts w:ascii="Times New Roman" w:hAnsi="Times New Roman"/>
          <w:color w:val="000000"/>
          <w:spacing w:val="-2"/>
          <w:sz w:val="13"/>
          <w:szCs w:val="13"/>
        </w:rPr>
        <w:t xml:space="preserve"> – Vernehmung ohne Verteidiger II (unterbliebene Benachrichtigung nach § 168c I, V StPO); </w:t>
      </w:r>
      <w:r w:rsidR="009A7078" w:rsidRPr="009A7078">
        <w:rPr>
          <w:rFonts w:ascii="Times New Roman" w:hAnsi="Times New Roman"/>
          <w:b/>
          <w:color w:val="000000"/>
          <w:spacing w:val="-2"/>
          <w:sz w:val="13"/>
          <w:szCs w:val="13"/>
        </w:rPr>
        <w:t>BGHSt 61, 266</w:t>
      </w:r>
      <w:r w:rsidR="009A7078" w:rsidRPr="009A7078">
        <w:rPr>
          <w:rFonts w:ascii="Times New Roman" w:hAnsi="Times New Roman"/>
          <w:color w:val="000000"/>
          <w:spacing w:val="-2"/>
          <w:sz w:val="13"/>
          <w:szCs w:val="13"/>
        </w:rPr>
        <w:t xml:space="preserve"> –</w:t>
      </w:r>
      <w:r w:rsidR="00B82767">
        <w:rPr>
          <w:rFonts w:ascii="Times New Roman" w:hAnsi="Times New Roman"/>
          <w:color w:val="000000"/>
          <w:spacing w:val="-2"/>
          <w:sz w:val="13"/>
          <w:szCs w:val="13"/>
        </w:rPr>
        <w:t xml:space="preserve"> </w:t>
      </w:r>
      <w:r w:rsidR="009A7078" w:rsidRPr="009A7078">
        <w:rPr>
          <w:rFonts w:ascii="Times New Roman" w:hAnsi="Times New Roman"/>
          <w:color w:val="000000"/>
          <w:spacing w:val="-2"/>
          <w:sz w:val="13"/>
          <w:szCs w:val="13"/>
        </w:rPr>
        <w:t xml:space="preserve">fehlerhafte Durchsuchung (keine Berufung auf hypothetischen Ersatzeingriff und keine Präklusion für Widerspruch); </w:t>
      </w:r>
      <w:r w:rsidRPr="009A7078">
        <w:rPr>
          <w:rFonts w:ascii="Times New Roman" w:hAnsi="Times New Roman"/>
          <w:b/>
          <w:color w:val="000000"/>
          <w:spacing w:val="-2"/>
          <w:sz w:val="13"/>
          <w:szCs w:val="13"/>
        </w:rPr>
        <w:t>BGH</w:t>
      </w:r>
      <w:r w:rsidR="00892D4C" w:rsidRPr="009A7078">
        <w:rPr>
          <w:rFonts w:ascii="Times New Roman" w:hAnsi="Times New Roman"/>
          <w:b/>
          <w:color w:val="000000"/>
          <w:spacing w:val="-2"/>
          <w:sz w:val="13"/>
          <w:szCs w:val="13"/>
        </w:rPr>
        <w:t> </w:t>
      </w:r>
      <w:r w:rsidRPr="009A7078">
        <w:rPr>
          <w:rFonts w:ascii="Times New Roman" w:hAnsi="Times New Roman"/>
          <w:b/>
          <w:color w:val="000000"/>
          <w:spacing w:val="-2"/>
          <w:sz w:val="13"/>
          <w:szCs w:val="13"/>
        </w:rPr>
        <w:t>NStZ 2003, 671</w:t>
      </w:r>
      <w:r w:rsidRPr="009A7078">
        <w:rPr>
          <w:rFonts w:ascii="Times New Roman" w:hAnsi="Times New Roman"/>
          <w:color w:val="000000"/>
          <w:spacing w:val="-2"/>
          <w:sz w:val="13"/>
          <w:szCs w:val="13"/>
        </w:rPr>
        <w:t xml:space="preserve"> – Vernehmung ohne Verteidiger I (unterbliebene Benachrichtigung nach § 168c I, V StPO)</w:t>
      </w:r>
      <w:r w:rsidR="0097503D" w:rsidRPr="009A7078">
        <w:rPr>
          <w:rFonts w:ascii="Times New Roman" w:hAnsi="Times New Roman"/>
          <w:color w:val="000000"/>
          <w:spacing w:val="-2"/>
          <w:sz w:val="13"/>
          <w:szCs w:val="13"/>
        </w:rPr>
        <w:t xml:space="preserve">; </w:t>
      </w:r>
      <w:r w:rsidR="00700C1F" w:rsidRPr="009A7078">
        <w:rPr>
          <w:rFonts w:ascii="Times New Roman" w:hAnsi="Times New Roman"/>
          <w:b/>
          <w:color w:val="000000"/>
          <w:spacing w:val="-2"/>
          <w:sz w:val="13"/>
          <w:szCs w:val="13"/>
        </w:rPr>
        <w:t>BGH NJW 2013, 2769</w:t>
      </w:r>
      <w:r w:rsidR="00700C1F" w:rsidRPr="009A7078">
        <w:rPr>
          <w:rFonts w:ascii="Times New Roman" w:hAnsi="Times New Roman"/>
          <w:color w:val="000000"/>
          <w:spacing w:val="-2"/>
          <w:sz w:val="13"/>
          <w:szCs w:val="13"/>
        </w:rPr>
        <w:t xml:space="preserve"> – Selbstbela</w:t>
      </w:r>
      <w:r w:rsidR="00700C1F" w:rsidRPr="009A7078">
        <w:rPr>
          <w:rFonts w:ascii="Times New Roman" w:hAnsi="Times New Roman"/>
          <w:spacing w:val="-2"/>
          <w:sz w:val="13"/>
          <w:szCs w:val="13"/>
        </w:rPr>
        <w:t>stungsfreiheit und Spontanäußerung (Verletzung des Rechts auf Verteidigerkonsultation)</w:t>
      </w:r>
      <w:r w:rsidR="001762DA" w:rsidRPr="009A7078">
        <w:rPr>
          <w:rFonts w:ascii="Times New Roman" w:hAnsi="Times New Roman"/>
          <w:spacing w:val="-2"/>
          <w:sz w:val="13"/>
          <w:szCs w:val="13"/>
        </w:rPr>
        <w:t xml:space="preserve">; </w:t>
      </w:r>
      <w:r w:rsidR="009A7078" w:rsidRPr="009A7078">
        <w:rPr>
          <w:rFonts w:ascii="Times New Roman" w:hAnsi="Times New Roman"/>
          <w:b/>
          <w:spacing w:val="-2"/>
          <w:sz w:val="13"/>
          <w:szCs w:val="13"/>
        </w:rPr>
        <w:t>BGH NJW 2018, 2279</w:t>
      </w:r>
      <w:r w:rsidR="009A7078" w:rsidRPr="009A7078">
        <w:rPr>
          <w:rFonts w:ascii="Times New Roman" w:hAnsi="Times New Roman"/>
          <w:spacing w:val="-2"/>
          <w:sz w:val="13"/>
          <w:szCs w:val="13"/>
        </w:rPr>
        <w:t xml:space="preserve"> – Verwertung von Durchsuchungsfunden (Widerspruch); </w:t>
      </w:r>
      <w:r w:rsidR="001762DA" w:rsidRPr="009A7078">
        <w:rPr>
          <w:rFonts w:ascii="Times New Roman" w:hAnsi="Times New Roman"/>
          <w:b/>
          <w:spacing w:val="-2"/>
          <w:sz w:val="13"/>
          <w:szCs w:val="13"/>
        </w:rPr>
        <w:t>BGH NStZ-RR 2016, 377</w:t>
      </w:r>
      <w:r w:rsidR="001762DA" w:rsidRPr="009A7078">
        <w:rPr>
          <w:rFonts w:ascii="Times New Roman" w:hAnsi="Times New Roman"/>
          <w:spacing w:val="-2"/>
          <w:sz w:val="13"/>
          <w:szCs w:val="13"/>
        </w:rPr>
        <w:t xml:space="preserve"> –</w:t>
      </w:r>
      <w:r w:rsidR="006E6667" w:rsidRPr="009A7078">
        <w:rPr>
          <w:rFonts w:ascii="Times New Roman" w:hAnsi="Times New Roman"/>
          <w:spacing w:val="-2"/>
          <w:sz w:val="13"/>
          <w:szCs w:val="13"/>
        </w:rPr>
        <w:t xml:space="preserve"> </w:t>
      </w:r>
      <w:r w:rsidR="001762DA" w:rsidRPr="009A7078">
        <w:rPr>
          <w:rFonts w:ascii="Times New Roman" w:hAnsi="Times New Roman"/>
          <w:spacing w:val="-2"/>
          <w:sz w:val="13"/>
          <w:szCs w:val="13"/>
        </w:rPr>
        <w:t>Mitbeschuldigte</w:t>
      </w:r>
      <w:r w:rsidR="006E6667" w:rsidRPr="009A7078">
        <w:rPr>
          <w:rFonts w:ascii="Times New Roman" w:hAnsi="Times New Roman"/>
          <w:spacing w:val="-2"/>
          <w:sz w:val="13"/>
          <w:szCs w:val="13"/>
        </w:rPr>
        <w:t>r</w:t>
      </w:r>
      <w:r w:rsidR="001762DA" w:rsidRPr="009A7078">
        <w:rPr>
          <w:rFonts w:ascii="Times New Roman" w:hAnsi="Times New Roman"/>
          <w:spacing w:val="-2"/>
          <w:sz w:val="13"/>
          <w:szCs w:val="13"/>
        </w:rPr>
        <w:t xml:space="preserve"> (Rechtskreistheorie);</w:t>
      </w:r>
      <w:r w:rsidR="00776FEE">
        <w:rPr>
          <w:rFonts w:ascii="Times New Roman" w:hAnsi="Times New Roman"/>
          <w:spacing w:val="-2"/>
          <w:sz w:val="13"/>
          <w:szCs w:val="13"/>
        </w:rPr>
        <w:t xml:space="preserve"> </w:t>
      </w:r>
      <w:bookmarkStart w:id="0" w:name="Y-300-Z-NJW-B-2013-S-2769-N-1"/>
      <w:bookmarkEnd w:id="0"/>
      <w:r w:rsidR="00F812AA" w:rsidRPr="004C6519">
        <w:rPr>
          <w:rFonts w:ascii="Times New Roman" w:hAnsi="Times New Roman"/>
          <w:b/>
          <w:spacing w:val="-2"/>
          <w:sz w:val="13"/>
          <w:szCs w:val="13"/>
        </w:rPr>
        <w:t>BGH</w:t>
      </w:r>
      <w:r w:rsidR="00265D78" w:rsidRPr="004C6519">
        <w:rPr>
          <w:rFonts w:ascii="Times New Roman" w:hAnsi="Times New Roman"/>
          <w:b/>
          <w:spacing w:val="-2"/>
          <w:sz w:val="13"/>
          <w:szCs w:val="13"/>
        </w:rPr>
        <w:t xml:space="preserve"> NStZ 2021, 431</w:t>
      </w:r>
      <w:r w:rsidR="00265D78">
        <w:rPr>
          <w:rFonts w:ascii="Times New Roman" w:hAnsi="Times New Roman"/>
          <w:spacing w:val="-2"/>
          <w:sz w:val="13"/>
          <w:szCs w:val="13"/>
        </w:rPr>
        <w:t xml:space="preserve"> – Beweisverwertung (Fortwirken des Verstoßes gegen § 136a </w:t>
      </w:r>
      <w:r w:rsidR="00776FEE">
        <w:rPr>
          <w:rFonts w:ascii="Times New Roman" w:hAnsi="Times New Roman"/>
          <w:spacing w:val="-2"/>
          <w:sz w:val="13"/>
          <w:szCs w:val="13"/>
        </w:rPr>
        <w:t>I</w:t>
      </w:r>
      <w:r w:rsidR="00265D78">
        <w:rPr>
          <w:rFonts w:ascii="Times New Roman" w:hAnsi="Times New Roman"/>
          <w:spacing w:val="-2"/>
          <w:sz w:val="13"/>
          <w:szCs w:val="13"/>
        </w:rPr>
        <w:t xml:space="preserve"> StPO)</w:t>
      </w:r>
      <w:r w:rsidR="00776FEE">
        <w:rPr>
          <w:rFonts w:ascii="Times New Roman" w:hAnsi="Times New Roman"/>
          <w:spacing w:val="-2"/>
          <w:sz w:val="13"/>
          <w:szCs w:val="13"/>
        </w:rPr>
        <w:t xml:space="preserve">, vgl. </w:t>
      </w:r>
      <w:r w:rsidR="00776FEE" w:rsidRPr="0037533B">
        <w:rPr>
          <w:rFonts w:ascii="Times New Roman" w:hAnsi="Times New Roman"/>
          <w:i/>
          <w:iCs/>
          <w:spacing w:val="-2"/>
          <w:sz w:val="13"/>
          <w:szCs w:val="13"/>
        </w:rPr>
        <w:t>Pickert/Seligmann</w:t>
      </w:r>
      <w:r w:rsidR="00776FEE">
        <w:rPr>
          <w:rFonts w:ascii="Times New Roman" w:hAnsi="Times New Roman"/>
          <w:spacing w:val="-2"/>
          <w:sz w:val="13"/>
          <w:szCs w:val="13"/>
        </w:rPr>
        <w:t>, famos 03/2022</w:t>
      </w:r>
      <w:r w:rsidR="00F12390">
        <w:rPr>
          <w:rFonts w:ascii="Times New Roman" w:hAnsi="Times New Roman"/>
          <w:spacing w:val="-2"/>
          <w:sz w:val="13"/>
          <w:szCs w:val="13"/>
        </w:rPr>
        <w:t xml:space="preserve">; </w:t>
      </w:r>
      <w:r w:rsidR="00F12390" w:rsidRPr="00175A3F">
        <w:rPr>
          <w:rFonts w:ascii="Times New Roman" w:hAnsi="Times New Roman"/>
          <w:b/>
          <w:spacing w:val="-2"/>
          <w:sz w:val="13"/>
          <w:szCs w:val="13"/>
        </w:rPr>
        <w:t>BGH NJW 2022, 1539</w:t>
      </w:r>
      <w:r w:rsidR="00F12390">
        <w:rPr>
          <w:rFonts w:ascii="Times New Roman" w:hAnsi="Times New Roman"/>
          <w:spacing w:val="-2"/>
          <w:sz w:val="13"/>
          <w:szCs w:val="13"/>
        </w:rPr>
        <w:t xml:space="preserve"> – </w:t>
      </w:r>
      <w:proofErr w:type="spellStart"/>
      <w:r w:rsidR="00A24956">
        <w:rPr>
          <w:rFonts w:ascii="Times New Roman" w:hAnsi="Times New Roman"/>
          <w:spacing w:val="-2"/>
          <w:sz w:val="13"/>
          <w:szCs w:val="13"/>
        </w:rPr>
        <w:t>EncroChat</w:t>
      </w:r>
      <w:proofErr w:type="spellEnd"/>
      <w:r w:rsidR="00A24956">
        <w:rPr>
          <w:rFonts w:ascii="Times New Roman" w:hAnsi="Times New Roman"/>
          <w:spacing w:val="-2"/>
          <w:sz w:val="13"/>
          <w:szCs w:val="13"/>
        </w:rPr>
        <w:t xml:space="preserve"> (</w:t>
      </w:r>
      <w:r w:rsidR="00F12390">
        <w:rPr>
          <w:rFonts w:ascii="Times New Roman" w:hAnsi="Times New Roman"/>
          <w:spacing w:val="-2"/>
          <w:sz w:val="13"/>
          <w:szCs w:val="13"/>
        </w:rPr>
        <w:t>Verwertbarkeit im Ausland gewonnener Daten</w:t>
      </w:r>
      <w:r w:rsidR="00A24956">
        <w:rPr>
          <w:rFonts w:ascii="Times New Roman" w:hAnsi="Times New Roman"/>
          <w:spacing w:val="-2"/>
          <w:sz w:val="13"/>
          <w:szCs w:val="13"/>
        </w:rPr>
        <w:t>).</w:t>
      </w:r>
    </w:p>
    <w:sectPr w:rsidR="00700C1F" w:rsidRPr="009A7078" w:rsidSect="00C14C0B">
      <w:pgSz w:w="11906" w:h="16838"/>
      <w:pgMar w:top="566" w:right="424" w:bottom="288" w:left="1276" w:header="566" w:footer="28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54951" w14:textId="77777777" w:rsidR="00BD1B42" w:rsidRDefault="00BD1B42">
      <w:r>
        <w:separator/>
      </w:r>
    </w:p>
  </w:endnote>
  <w:endnote w:type="continuationSeparator" w:id="0">
    <w:p w14:paraId="19D9A52D" w14:textId="77777777" w:rsidR="00BD1B42" w:rsidRDefault="00B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ED39F" w14:textId="77777777" w:rsidR="00BD1B42" w:rsidRDefault="00BD1B42">
      <w:r>
        <w:separator/>
      </w:r>
    </w:p>
  </w:footnote>
  <w:footnote w:type="continuationSeparator" w:id="0">
    <w:p w14:paraId="53915B22" w14:textId="77777777" w:rsidR="00BD1B42" w:rsidRDefault="00BD1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0E2CF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F6E3994"/>
    <w:lvl w:ilvl="0" w:tplc="69C086DA">
      <w:numFmt w:val="none"/>
      <w:lvlText w:val=""/>
      <w:lvlJc w:val="left"/>
      <w:pPr>
        <w:tabs>
          <w:tab w:val="num" w:pos="360"/>
        </w:tabs>
      </w:pPr>
    </w:lvl>
    <w:lvl w:ilvl="1" w:tplc="C60C6652">
      <w:numFmt w:val="decimal"/>
      <w:lvlText w:val=""/>
      <w:lvlJc w:val="left"/>
    </w:lvl>
    <w:lvl w:ilvl="2" w:tplc="B8F4DA7A">
      <w:numFmt w:val="decimal"/>
      <w:lvlText w:val=""/>
      <w:lvlJc w:val="left"/>
    </w:lvl>
    <w:lvl w:ilvl="3" w:tplc="3370CF14">
      <w:numFmt w:val="decimal"/>
      <w:lvlText w:val=""/>
      <w:lvlJc w:val="left"/>
    </w:lvl>
    <w:lvl w:ilvl="4" w:tplc="AD3A3360">
      <w:numFmt w:val="decimal"/>
      <w:lvlText w:val=""/>
      <w:lvlJc w:val="left"/>
    </w:lvl>
    <w:lvl w:ilvl="5" w:tplc="577C9332">
      <w:numFmt w:val="decimal"/>
      <w:lvlText w:val=""/>
      <w:lvlJc w:val="left"/>
    </w:lvl>
    <w:lvl w:ilvl="6" w:tplc="56EE52DA">
      <w:numFmt w:val="decimal"/>
      <w:lvlText w:val=""/>
      <w:lvlJc w:val="left"/>
    </w:lvl>
    <w:lvl w:ilvl="7" w:tplc="02642B1A">
      <w:numFmt w:val="decimal"/>
      <w:lvlText w:val=""/>
      <w:lvlJc w:val="left"/>
    </w:lvl>
    <w:lvl w:ilvl="8" w:tplc="EEE0B0A4">
      <w:numFmt w:val="decimal"/>
      <w:lvlText w:val=""/>
      <w:lvlJc w:val="left"/>
    </w:lvl>
  </w:abstractNum>
  <w:abstractNum w:abstractNumId="2" w15:restartNumberingAfterBreak="0">
    <w:nsid w:val="26C51408"/>
    <w:multiLevelType w:val="hybridMultilevel"/>
    <w:tmpl w:val="F0E2BAAE"/>
    <w:lvl w:ilvl="0" w:tplc="6B46D31C">
      <w:start w:val="2"/>
      <w:numFmt w:val="decimal"/>
      <w:lvlText w:val="%1."/>
      <w:lvlJc w:val="left"/>
      <w:pPr>
        <w:tabs>
          <w:tab w:val="num" w:pos="920"/>
        </w:tabs>
        <w:ind w:left="920" w:hanging="360"/>
      </w:pPr>
      <w:rPr>
        <w:rFonts w:hint="default"/>
      </w:rPr>
    </w:lvl>
    <w:lvl w:ilvl="1" w:tplc="00190407" w:tentative="1">
      <w:start w:val="1"/>
      <w:numFmt w:val="lowerLetter"/>
      <w:lvlText w:val="%2."/>
      <w:lvlJc w:val="left"/>
      <w:pPr>
        <w:tabs>
          <w:tab w:val="num" w:pos="1640"/>
        </w:tabs>
        <w:ind w:left="1640" w:hanging="360"/>
      </w:pPr>
    </w:lvl>
    <w:lvl w:ilvl="2" w:tplc="001B0407" w:tentative="1">
      <w:start w:val="1"/>
      <w:numFmt w:val="lowerRoman"/>
      <w:lvlText w:val="%3."/>
      <w:lvlJc w:val="right"/>
      <w:pPr>
        <w:tabs>
          <w:tab w:val="num" w:pos="2360"/>
        </w:tabs>
        <w:ind w:left="2360" w:hanging="180"/>
      </w:pPr>
    </w:lvl>
    <w:lvl w:ilvl="3" w:tplc="000F0407" w:tentative="1">
      <w:start w:val="1"/>
      <w:numFmt w:val="decimal"/>
      <w:lvlText w:val="%4."/>
      <w:lvlJc w:val="left"/>
      <w:pPr>
        <w:tabs>
          <w:tab w:val="num" w:pos="3080"/>
        </w:tabs>
        <w:ind w:left="3080" w:hanging="360"/>
      </w:pPr>
    </w:lvl>
    <w:lvl w:ilvl="4" w:tplc="00190407" w:tentative="1">
      <w:start w:val="1"/>
      <w:numFmt w:val="lowerLetter"/>
      <w:lvlText w:val="%5."/>
      <w:lvlJc w:val="left"/>
      <w:pPr>
        <w:tabs>
          <w:tab w:val="num" w:pos="3800"/>
        </w:tabs>
        <w:ind w:left="3800" w:hanging="360"/>
      </w:pPr>
    </w:lvl>
    <w:lvl w:ilvl="5" w:tplc="001B0407" w:tentative="1">
      <w:start w:val="1"/>
      <w:numFmt w:val="lowerRoman"/>
      <w:lvlText w:val="%6."/>
      <w:lvlJc w:val="right"/>
      <w:pPr>
        <w:tabs>
          <w:tab w:val="num" w:pos="4520"/>
        </w:tabs>
        <w:ind w:left="4520" w:hanging="180"/>
      </w:pPr>
    </w:lvl>
    <w:lvl w:ilvl="6" w:tplc="000F0407" w:tentative="1">
      <w:start w:val="1"/>
      <w:numFmt w:val="decimal"/>
      <w:lvlText w:val="%7."/>
      <w:lvlJc w:val="left"/>
      <w:pPr>
        <w:tabs>
          <w:tab w:val="num" w:pos="5240"/>
        </w:tabs>
        <w:ind w:left="5240" w:hanging="360"/>
      </w:pPr>
    </w:lvl>
    <w:lvl w:ilvl="7" w:tplc="00190407" w:tentative="1">
      <w:start w:val="1"/>
      <w:numFmt w:val="lowerLetter"/>
      <w:lvlText w:val="%8."/>
      <w:lvlJc w:val="left"/>
      <w:pPr>
        <w:tabs>
          <w:tab w:val="num" w:pos="5960"/>
        </w:tabs>
        <w:ind w:left="5960" w:hanging="360"/>
      </w:pPr>
    </w:lvl>
    <w:lvl w:ilvl="8" w:tplc="001B0407" w:tentative="1">
      <w:start w:val="1"/>
      <w:numFmt w:val="lowerRoman"/>
      <w:lvlText w:val="%9."/>
      <w:lvlJc w:val="right"/>
      <w:pPr>
        <w:tabs>
          <w:tab w:val="num" w:pos="6680"/>
        </w:tabs>
        <w:ind w:left="6680" w:hanging="180"/>
      </w:pPr>
    </w:lvl>
  </w:abstractNum>
  <w:abstractNum w:abstractNumId="3" w15:restartNumberingAfterBreak="0">
    <w:nsid w:val="45953326"/>
    <w:multiLevelType w:val="hybridMultilevel"/>
    <w:tmpl w:val="F85C6CCC"/>
    <w:lvl w:ilvl="0" w:tplc="80A66170">
      <w:start w:val="2"/>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4" w15:restartNumberingAfterBreak="0">
    <w:nsid w:val="534A0D46"/>
    <w:multiLevelType w:val="multilevel"/>
    <w:tmpl w:val="7B3C2B68"/>
    <w:lvl w:ilvl="0">
      <w:start w:val="1"/>
      <w:numFmt w:val="decimal"/>
      <w:lvlText w:val="%1."/>
      <w:lvlJc w:val="left"/>
      <w:pPr>
        <w:tabs>
          <w:tab w:val="num" w:pos="720"/>
        </w:tabs>
        <w:ind w:left="720" w:hanging="360"/>
      </w:pPr>
      <w:rPr>
        <w:rFonts w:hint="default"/>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F79518A"/>
    <w:multiLevelType w:val="hybridMultilevel"/>
    <w:tmpl w:val="7B3C2B68"/>
    <w:lvl w:ilvl="0" w:tplc="CFC6C554">
      <w:start w:val="1"/>
      <w:numFmt w:val="decimal"/>
      <w:lvlText w:val="%1."/>
      <w:lvlJc w:val="left"/>
      <w:pPr>
        <w:tabs>
          <w:tab w:val="num" w:pos="720"/>
        </w:tabs>
        <w:ind w:left="720" w:hanging="360"/>
      </w:pPr>
      <w:rPr>
        <w:rFonts w:hint="default"/>
        <w:u w:val="single"/>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6" w15:restartNumberingAfterBreak="0">
    <w:nsid w:val="72A57741"/>
    <w:multiLevelType w:val="hybridMultilevel"/>
    <w:tmpl w:val="E2A4439A"/>
    <w:lvl w:ilvl="0" w:tplc="000F0407">
      <w:start w:val="2"/>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7" w15:restartNumberingAfterBreak="0">
    <w:nsid w:val="72C70AC4"/>
    <w:multiLevelType w:val="hybridMultilevel"/>
    <w:tmpl w:val="590C8E1E"/>
    <w:lvl w:ilvl="0" w:tplc="B3E80FFC">
      <w:start w:val="2"/>
      <w:numFmt w:val="decimal"/>
      <w:lvlText w:val="%1."/>
      <w:lvlJc w:val="left"/>
      <w:pPr>
        <w:tabs>
          <w:tab w:val="num" w:pos="920"/>
        </w:tabs>
        <w:ind w:left="920" w:hanging="360"/>
      </w:pPr>
      <w:rPr>
        <w:rFonts w:hint="default"/>
      </w:rPr>
    </w:lvl>
    <w:lvl w:ilvl="1" w:tplc="00190407" w:tentative="1">
      <w:start w:val="1"/>
      <w:numFmt w:val="lowerLetter"/>
      <w:lvlText w:val="%2."/>
      <w:lvlJc w:val="left"/>
      <w:pPr>
        <w:tabs>
          <w:tab w:val="num" w:pos="1640"/>
        </w:tabs>
        <w:ind w:left="1640" w:hanging="360"/>
      </w:pPr>
    </w:lvl>
    <w:lvl w:ilvl="2" w:tplc="001B0407" w:tentative="1">
      <w:start w:val="1"/>
      <w:numFmt w:val="lowerRoman"/>
      <w:lvlText w:val="%3."/>
      <w:lvlJc w:val="right"/>
      <w:pPr>
        <w:tabs>
          <w:tab w:val="num" w:pos="2360"/>
        </w:tabs>
        <w:ind w:left="2360" w:hanging="180"/>
      </w:pPr>
    </w:lvl>
    <w:lvl w:ilvl="3" w:tplc="000F0407" w:tentative="1">
      <w:start w:val="1"/>
      <w:numFmt w:val="decimal"/>
      <w:lvlText w:val="%4."/>
      <w:lvlJc w:val="left"/>
      <w:pPr>
        <w:tabs>
          <w:tab w:val="num" w:pos="3080"/>
        </w:tabs>
        <w:ind w:left="3080" w:hanging="360"/>
      </w:pPr>
    </w:lvl>
    <w:lvl w:ilvl="4" w:tplc="00190407" w:tentative="1">
      <w:start w:val="1"/>
      <w:numFmt w:val="lowerLetter"/>
      <w:lvlText w:val="%5."/>
      <w:lvlJc w:val="left"/>
      <w:pPr>
        <w:tabs>
          <w:tab w:val="num" w:pos="3800"/>
        </w:tabs>
        <w:ind w:left="3800" w:hanging="360"/>
      </w:pPr>
    </w:lvl>
    <w:lvl w:ilvl="5" w:tplc="001B0407" w:tentative="1">
      <w:start w:val="1"/>
      <w:numFmt w:val="lowerRoman"/>
      <w:lvlText w:val="%6."/>
      <w:lvlJc w:val="right"/>
      <w:pPr>
        <w:tabs>
          <w:tab w:val="num" w:pos="4520"/>
        </w:tabs>
        <w:ind w:left="4520" w:hanging="180"/>
      </w:pPr>
    </w:lvl>
    <w:lvl w:ilvl="6" w:tplc="000F0407" w:tentative="1">
      <w:start w:val="1"/>
      <w:numFmt w:val="decimal"/>
      <w:lvlText w:val="%7."/>
      <w:lvlJc w:val="left"/>
      <w:pPr>
        <w:tabs>
          <w:tab w:val="num" w:pos="5240"/>
        </w:tabs>
        <w:ind w:left="5240" w:hanging="360"/>
      </w:pPr>
    </w:lvl>
    <w:lvl w:ilvl="7" w:tplc="00190407" w:tentative="1">
      <w:start w:val="1"/>
      <w:numFmt w:val="lowerLetter"/>
      <w:lvlText w:val="%8."/>
      <w:lvlJc w:val="left"/>
      <w:pPr>
        <w:tabs>
          <w:tab w:val="num" w:pos="5960"/>
        </w:tabs>
        <w:ind w:left="5960" w:hanging="360"/>
      </w:pPr>
    </w:lvl>
    <w:lvl w:ilvl="8" w:tplc="001B0407" w:tentative="1">
      <w:start w:val="1"/>
      <w:numFmt w:val="lowerRoman"/>
      <w:lvlText w:val="%9."/>
      <w:lvlJc w:val="right"/>
      <w:pPr>
        <w:tabs>
          <w:tab w:val="num" w:pos="6680"/>
        </w:tabs>
        <w:ind w:left="6680" w:hanging="180"/>
      </w:pPr>
    </w:lvl>
  </w:abstractNum>
  <w:abstractNum w:abstractNumId="8" w15:restartNumberingAfterBreak="0">
    <w:nsid w:val="756D32B1"/>
    <w:multiLevelType w:val="hybridMultilevel"/>
    <w:tmpl w:val="8674B266"/>
    <w:lvl w:ilvl="0" w:tplc="C3866A1A">
      <w:start w:val="1"/>
      <w:numFmt w:val="decimal"/>
      <w:lvlText w:val="%1."/>
      <w:lvlJc w:val="left"/>
      <w:pPr>
        <w:tabs>
          <w:tab w:val="num" w:pos="927"/>
        </w:tabs>
        <w:ind w:left="927" w:hanging="360"/>
      </w:pPr>
      <w:rPr>
        <w:rFonts w:hint="default"/>
        <w:u w:val="single"/>
      </w:rPr>
    </w:lvl>
    <w:lvl w:ilvl="1" w:tplc="00190407" w:tentative="1">
      <w:start w:val="1"/>
      <w:numFmt w:val="lowerLetter"/>
      <w:lvlText w:val="%2."/>
      <w:lvlJc w:val="left"/>
      <w:pPr>
        <w:tabs>
          <w:tab w:val="num" w:pos="1647"/>
        </w:tabs>
        <w:ind w:left="1647" w:hanging="360"/>
      </w:pPr>
    </w:lvl>
    <w:lvl w:ilvl="2" w:tplc="001B0407" w:tentative="1">
      <w:start w:val="1"/>
      <w:numFmt w:val="lowerRoman"/>
      <w:lvlText w:val="%3."/>
      <w:lvlJc w:val="right"/>
      <w:pPr>
        <w:tabs>
          <w:tab w:val="num" w:pos="2367"/>
        </w:tabs>
        <w:ind w:left="2367" w:hanging="180"/>
      </w:pPr>
    </w:lvl>
    <w:lvl w:ilvl="3" w:tplc="000F0407" w:tentative="1">
      <w:start w:val="1"/>
      <w:numFmt w:val="decimal"/>
      <w:lvlText w:val="%4."/>
      <w:lvlJc w:val="left"/>
      <w:pPr>
        <w:tabs>
          <w:tab w:val="num" w:pos="3087"/>
        </w:tabs>
        <w:ind w:left="3087" w:hanging="360"/>
      </w:pPr>
    </w:lvl>
    <w:lvl w:ilvl="4" w:tplc="00190407" w:tentative="1">
      <w:start w:val="1"/>
      <w:numFmt w:val="lowerLetter"/>
      <w:lvlText w:val="%5."/>
      <w:lvlJc w:val="left"/>
      <w:pPr>
        <w:tabs>
          <w:tab w:val="num" w:pos="3807"/>
        </w:tabs>
        <w:ind w:left="3807" w:hanging="360"/>
      </w:pPr>
    </w:lvl>
    <w:lvl w:ilvl="5" w:tplc="001B0407" w:tentative="1">
      <w:start w:val="1"/>
      <w:numFmt w:val="lowerRoman"/>
      <w:lvlText w:val="%6."/>
      <w:lvlJc w:val="right"/>
      <w:pPr>
        <w:tabs>
          <w:tab w:val="num" w:pos="4527"/>
        </w:tabs>
        <w:ind w:left="4527" w:hanging="180"/>
      </w:pPr>
    </w:lvl>
    <w:lvl w:ilvl="6" w:tplc="000F0407" w:tentative="1">
      <w:start w:val="1"/>
      <w:numFmt w:val="decimal"/>
      <w:lvlText w:val="%7."/>
      <w:lvlJc w:val="left"/>
      <w:pPr>
        <w:tabs>
          <w:tab w:val="num" w:pos="5247"/>
        </w:tabs>
        <w:ind w:left="5247" w:hanging="360"/>
      </w:pPr>
    </w:lvl>
    <w:lvl w:ilvl="7" w:tplc="00190407" w:tentative="1">
      <w:start w:val="1"/>
      <w:numFmt w:val="lowerLetter"/>
      <w:lvlText w:val="%8."/>
      <w:lvlJc w:val="left"/>
      <w:pPr>
        <w:tabs>
          <w:tab w:val="num" w:pos="5967"/>
        </w:tabs>
        <w:ind w:left="5967" w:hanging="360"/>
      </w:pPr>
    </w:lvl>
    <w:lvl w:ilvl="8" w:tplc="001B0407" w:tentative="1">
      <w:start w:val="1"/>
      <w:numFmt w:val="lowerRoman"/>
      <w:lvlText w:val="%9."/>
      <w:lvlJc w:val="right"/>
      <w:pPr>
        <w:tabs>
          <w:tab w:val="num" w:pos="6687"/>
        </w:tabs>
        <w:ind w:left="6687" w:hanging="180"/>
      </w:pPr>
    </w:lvl>
  </w:abstractNum>
  <w:num w:numId="1" w16cid:durableId="233396729">
    <w:abstractNumId w:val="5"/>
  </w:num>
  <w:num w:numId="2" w16cid:durableId="710305121">
    <w:abstractNumId w:val="4"/>
  </w:num>
  <w:num w:numId="3" w16cid:durableId="1259411692">
    <w:abstractNumId w:val="2"/>
  </w:num>
  <w:num w:numId="4" w16cid:durableId="909772289">
    <w:abstractNumId w:val="7"/>
  </w:num>
  <w:num w:numId="5" w16cid:durableId="1318654349">
    <w:abstractNumId w:val="3"/>
  </w:num>
  <w:num w:numId="6" w16cid:durableId="1907757552">
    <w:abstractNumId w:val="6"/>
  </w:num>
  <w:num w:numId="7" w16cid:durableId="1148089252">
    <w:abstractNumId w:val="1"/>
  </w:num>
  <w:num w:numId="8" w16cid:durableId="267353935">
    <w:abstractNumId w:val="8"/>
  </w:num>
  <w:num w:numId="9" w16cid:durableId="1971126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activeWritingStyle w:appName="MSWord" w:lang="de-DE" w:vendorID="6" w:dllVersion="2" w:checkStyle="1"/>
  <w:proofState w:spelling="clean" w:grammar="clean"/>
  <w:defaultTabStop w:val="708"/>
  <w:autoHyphenation/>
  <w:hyphenationZone w:val="51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30"/>
    <w:rsid w:val="0000000E"/>
    <w:rsid w:val="00000B36"/>
    <w:rsid w:val="00001619"/>
    <w:rsid w:val="000036FB"/>
    <w:rsid w:val="00031B51"/>
    <w:rsid w:val="000505FB"/>
    <w:rsid w:val="000565FD"/>
    <w:rsid w:val="00057F5B"/>
    <w:rsid w:val="00061BAF"/>
    <w:rsid w:val="00062684"/>
    <w:rsid w:val="00075FFF"/>
    <w:rsid w:val="00083E80"/>
    <w:rsid w:val="000A0067"/>
    <w:rsid w:val="000A6FA6"/>
    <w:rsid w:val="000B3BAD"/>
    <w:rsid w:val="000C0135"/>
    <w:rsid w:val="000D1B6C"/>
    <w:rsid w:val="000D30CA"/>
    <w:rsid w:val="000F4E71"/>
    <w:rsid w:val="00102893"/>
    <w:rsid w:val="0012618F"/>
    <w:rsid w:val="00133CA1"/>
    <w:rsid w:val="00146703"/>
    <w:rsid w:val="001524DA"/>
    <w:rsid w:val="00171396"/>
    <w:rsid w:val="00175A3F"/>
    <w:rsid w:val="001762DA"/>
    <w:rsid w:val="00184B70"/>
    <w:rsid w:val="00190E19"/>
    <w:rsid w:val="001A58E6"/>
    <w:rsid w:val="001B5A29"/>
    <w:rsid w:val="001B7CCC"/>
    <w:rsid w:val="001F71F3"/>
    <w:rsid w:val="0020101D"/>
    <w:rsid w:val="002040B8"/>
    <w:rsid w:val="002118CB"/>
    <w:rsid w:val="0023100A"/>
    <w:rsid w:val="00231512"/>
    <w:rsid w:val="00256063"/>
    <w:rsid w:val="00257CB9"/>
    <w:rsid w:val="00261E03"/>
    <w:rsid w:val="00265D78"/>
    <w:rsid w:val="00270286"/>
    <w:rsid w:val="002950DE"/>
    <w:rsid w:val="0029626D"/>
    <w:rsid w:val="002A015A"/>
    <w:rsid w:val="002A305F"/>
    <w:rsid w:val="002B47E2"/>
    <w:rsid w:val="002C183C"/>
    <w:rsid w:val="002E0924"/>
    <w:rsid w:val="002E5CF2"/>
    <w:rsid w:val="002F7CCB"/>
    <w:rsid w:val="00322D3F"/>
    <w:rsid w:val="0037302F"/>
    <w:rsid w:val="003C1E94"/>
    <w:rsid w:val="003D2BB3"/>
    <w:rsid w:val="003D4126"/>
    <w:rsid w:val="003D761F"/>
    <w:rsid w:val="003E0638"/>
    <w:rsid w:val="00401912"/>
    <w:rsid w:val="00406886"/>
    <w:rsid w:val="00414F0A"/>
    <w:rsid w:val="00417F66"/>
    <w:rsid w:val="004743EC"/>
    <w:rsid w:val="00476854"/>
    <w:rsid w:val="004A4E1E"/>
    <w:rsid w:val="004B0D69"/>
    <w:rsid w:val="004C6519"/>
    <w:rsid w:val="004D2A23"/>
    <w:rsid w:val="004D7086"/>
    <w:rsid w:val="004E3996"/>
    <w:rsid w:val="0053097E"/>
    <w:rsid w:val="00535068"/>
    <w:rsid w:val="00536CAF"/>
    <w:rsid w:val="005428E2"/>
    <w:rsid w:val="00552C74"/>
    <w:rsid w:val="00580430"/>
    <w:rsid w:val="005907E1"/>
    <w:rsid w:val="005A7D4A"/>
    <w:rsid w:val="005B365E"/>
    <w:rsid w:val="005C76EB"/>
    <w:rsid w:val="00607E77"/>
    <w:rsid w:val="00620E62"/>
    <w:rsid w:val="00646A4F"/>
    <w:rsid w:val="00665B03"/>
    <w:rsid w:val="0068239A"/>
    <w:rsid w:val="006B7D14"/>
    <w:rsid w:val="006C146A"/>
    <w:rsid w:val="006E6667"/>
    <w:rsid w:val="006F6EA6"/>
    <w:rsid w:val="00700C1F"/>
    <w:rsid w:val="00701B60"/>
    <w:rsid w:val="00731E4A"/>
    <w:rsid w:val="0074505A"/>
    <w:rsid w:val="00755246"/>
    <w:rsid w:val="00776FEE"/>
    <w:rsid w:val="007831DC"/>
    <w:rsid w:val="007B1F7C"/>
    <w:rsid w:val="007E6928"/>
    <w:rsid w:val="00800445"/>
    <w:rsid w:val="00810F65"/>
    <w:rsid w:val="0081104D"/>
    <w:rsid w:val="00814593"/>
    <w:rsid w:val="008205B4"/>
    <w:rsid w:val="00821EA9"/>
    <w:rsid w:val="0082781D"/>
    <w:rsid w:val="008400B3"/>
    <w:rsid w:val="0087776D"/>
    <w:rsid w:val="00892D4C"/>
    <w:rsid w:val="008A1FA5"/>
    <w:rsid w:val="008C0AD3"/>
    <w:rsid w:val="008C1EC5"/>
    <w:rsid w:val="008C4260"/>
    <w:rsid w:val="008C5905"/>
    <w:rsid w:val="008D0590"/>
    <w:rsid w:val="008D4ECF"/>
    <w:rsid w:val="0090133D"/>
    <w:rsid w:val="00913F36"/>
    <w:rsid w:val="009561FC"/>
    <w:rsid w:val="00957EA1"/>
    <w:rsid w:val="00965A1E"/>
    <w:rsid w:val="0097503D"/>
    <w:rsid w:val="009975B4"/>
    <w:rsid w:val="009A6D3B"/>
    <w:rsid w:val="009A7078"/>
    <w:rsid w:val="009A7C31"/>
    <w:rsid w:val="009F51F3"/>
    <w:rsid w:val="00A24956"/>
    <w:rsid w:val="00A35FB8"/>
    <w:rsid w:val="00A806BC"/>
    <w:rsid w:val="00AA09A7"/>
    <w:rsid w:val="00AA56D8"/>
    <w:rsid w:val="00AD5071"/>
    <w:rsid w:val="00B65827"/>
    <w:rsid w:val="00B7565F"/>
    <w:rsid w:val="00B82767"/>
    <w:rsid w:val="00B8617E"/>
    <w:rsid w:val="00B9114C"/>
    <w:rsid w:val="00BB1091"/>
    <w:rsid w:val="00BC0E58"/>
    <w:rsid w:val="00BD1B42"/>
    <w:rsid w:val="00BF2B0C"/>
    <w:rsid w:val="00BF5E80"/>
    <w:rsid w:val="00C0461D"/>
    <w:rsid w:val="00C14C0B"/>
    <w:rsid w:val="00C35EEF"/>
    <w:rsid w:val="00C56CD5"/>
    <w:rsid w:val="00C675B7"/>
    <w:rsid w:val="00C86313"/>
    <w:rsid w:val="00C915C9"/>
    <w:rsid w:val="00CB5D42"/>
    <w:rsid w:val="00CE643D"/>
    <w:rsid w:val="00CF46A8"/>
    <w:rsid w:val="00CF5901"/>
    <w:rsid w:val="00D32CF8"/>
    <w:rsid w:val="00D402FF"/>
    <w:rsid w:val="00D4468E"/>
    <w:rsid w:val="00D543B3"/>
    <w:rsid w:val="00D71035"/>
    <w:rsid w:val="00D86F2B"/>
    <w:rsid w:val="00D87830"/>
    <w:rsid w:val="00DC5F3F"/>
    <w:rsid w:val="00DD666F"/>
    <w:rsid w:val="00E13FFE"/>
    <w:rsid w:val="00E15144"/>
    <w:rsid w:val="00E314BF"/>
    <w:rsid w:val="00E57DDD"/>
    <w:rsid w:val="00E66280"/>
    <w:rsid w:val="00E71B78"/>
    <w:rsid w:val="00E77BEF"/>
    <w:rsid w:val="00E826D0"/>
    <w:rsid w:val="00EB19DC"/>
    <w:rsid w:val="00F12390"/>
    <w:rsid w:val="00F23187"/>
    <w:rsid w:val="00F43578"/>
    <w:rsid w:val="00F46A04"/>
    <w:rsid w:val="00F63EC9"/>
    <w:rsid w:val="00F6522F"/>
    <w:rsid w:val="00F7443A"/>
    <w:rsid w:val="00F812AA"/>
    <w:rsid w:val="00FB5A5B"/>
    <w:rsid w:val="00FC4200"/>
    <w:rsid w:val="00FD7230"/>
    <w:rsid w:val="00FE49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FA99A4"/>
  <w15:chartTrackingRefBased/>
  <w15:docId w15:val="{DC65FFAC-B3C5-4D76-8332-3706C15CC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4E7E"/>
    <w:pPr>
      <w:widowControl w:val="0"/>
      <w:autoSpaceDE w:val="0"/>
      <w:autoSpaceDN w:val="0"/>
      <w:adjustRightInd w:val="0"/>
    </w:pPr>
    <w:rPr>
      <w:rFonts w:ascii="Dutch Roman 12pt" w:hAnsi="Dutch Roman 12pt" w:cs="Arial Narrow"/>
      <w:sz w:val="24"/>
      <w:szCs w:val="24"/>
    </w:rPr>
  </w:style>
  <w:style w:type="paragraph" w:styleId="berschrift1">
    <w:name w:val="heading 1"/>
    <w:basedOn w:val="Standard"/>
    <w:link w:val="berschrift1Zchn"/>
    <w:uiPriority w:val="9"/>
    <w:qFormat/>
    <w:rsid w:val="00700C1F"/>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rsid w:val="000B4E7E"/>
  </w:style>
  <w:style w:type="paragraph" w:styleId="Textkrper-Zeileneinzug">
    <w:name w:val="Body Text Indent"/>
    <w:basedOn w:val="Standard"/>
    <w:rsid w:val="00422976"/>
    <w:pPr>
      <w:autoSpaceDE/>
      <w:autoSpaceDN/>
      <w:adjustRightInd/>
      <w:ind w:left="336"/>
      <w:jc w:val="both"/>
    </w:pPr>
    <w:rPr>
      <w:rFonts w:ascii="Times New Roman" w:hAnsi="Times New Roman" w:cs="Times New Roman"/>
      <w:snapToGrid w:val="0"/>
      <w:spacing w:val="-2"/>
      <w:sz w:val="20"/>
      <w:szCs w:val="20"/>
    </w:rPr>
  </w:style>
  <w:style w:type="paragraph" w:styleId="Textkrper-Einzug2">
    <w:name w:val="Body Text Indent 2"/>
    <w:basedOn w:val="Standard"/>
    <w:rsid w:val="00422976"/>
    <w:pPr>
      <w:tabs>
        <w:tab w:val="left" w:pos="426"/>
      </w:tabs>
      <w:autoSpaceDE/>
      <w:autoSpaceDN/>
      <w:adjustRightInd/>
      <w:ind w:left="426"/>
      <w:jc w:val="both"/>
    </w:pPr>
    <w:rPr>
      <w:rFonts w:ascii="Times New Roman" w:hAnsi="Times New Roman" w:cs="Times New Roman"/>
      <w:snapToGrid w:val="0"/>
      <w:spacing w:val="-2"/>
      <w:sz w:val="20"/>
      <w:szCs w:val="20"/>
    </w:rPr>
  </w:style>
  <w:style w:type="paragraph" w:styleId="Sprechblasentext">
    <w:name w:val="Balloon Text"/>
    <w:basedOn w:val="Standard"/>
    <w:semiHidden/>
    <w:rsid w:val="005E6251"/>
    <w:rPr>
      <w:rFonts w:ascii="Tahoma" w:hAnsi="Tahoma" w:cs="Tahoma"/>
      <w:sz w:val="16"/>
      <w:szCs w:val="16"/>
    </w:rPr>
  </w:style>
  <w:style w:type="character" w:customStyle="1" w:styleId="titel">
    <w:name w:val="titel"/>
    <w:rsid w:val="006C146A"/>
  </w:style>
  <w:style w:type="character" w:customStyle="1" w:styleId="citation">
    <w:name w:val="citation"/>
    <w:rsid w:val="006C146A"/>
  </w:style>
  <w:style w:type="character" w:customStyle="1" w:styleId="berschrift1Zchn">
    <w:name w:val="Überschrift 1 Zchn"/>
    <w:link w:val="berschrift1"/>
    <w:uiPriority w:val="9"/>
    <w:rsid w:val="00700C1F"/>
    <w:rPr>
      <w:b/>
      <w:bCs/>
      <w:kern w:val="36"/>
      <w:sz w:val="48"/>
      <w:szCs w:val="48"/>
    </w:rPr>
  </w:style>
  <w:style w:type="paragraph" w:styleId="StandardWeb">
    <w:name w:val="Normal (Web)"/>
    <w:basedOn w:val="Standard"/>
    <w:uiPriority w:val="99"/>
    <w:semiHidden/>
    <w:unhideWhenUsed/>
    <w:rsid w:val="00700C1F"/>
    <w:pPr>
      <w:widowControl/>
      <w:autoSpaceDE/>
      <w:autoSpaceDN/>
      <w:adjustRightInd/>
      <w:spacing w:before="100" w:beforeAutospacing="1" w:after="100" w:afterAutospacing="1"/>
    </w:pPr>
    <w:rPr>
      <w:rFonts w:ascii="Times New Roman" w:hAnsi="Times New Roman" w:cs="Times New Roman"/>
    </w:rPr>
  </w:style>
  <w:style w:type="character" w:customStyle="1" w:styleId="zit">
    <w:name w:val="zit"/>
    <w:rsid w:val="00700C1F"/>
  </w:style>
  <w:style w:type="character" w:styleId="Hyperlink">
    <w:name w:val="Hyperlink"/>
    <w:uiPriority w:val="99"/>
    <w:semiHidden/>
    <w:unhideWhenUsed/>
    <w:rsid w:val="00700C1F"/>
    <w:rPr>
      <w:color w:val="0000FF"/>
      <w:u w:val="single"/>
    </w:rPr>
  </w:style>
  <w:style w:type="character" w:customStyle="1" w:styleId="unsichtbar">
    <w:name w:val="unsichtbar"/>
    <w:rsid w:val="00700C1F"/>
  </w:style>
  <w:style w:type="character" w:customStyle="1" w:styleId="gericht">
    <w:name w:val="gericht"/>
    <w:rsid w:val="00700C1F"/>
  </w:style>
  <w:style w:type="character" w:customStyle="1" w:styleId="etyp">
    <w:name w:val="etyp"/>
    <w:rsid w:val="00700C1F"/>
  </w:style>
  <w:style w:type="character" w:customStyle="1" w:styleId="datum">
    <w:name w:val="datum"/>
    <w:rsid w:val="00700C1F"/>
  </w:style>
  <w:style w:type="character" w:customStyle="1" w:styleId="az">
    <w:name w:val="az"/>
    <w:rsid w:val="00700C1F"/>
  </w:style>
  <w:style w:type="character" w:styleId="Kommentarzeichen">
    <w:name w:val="annotation reference"/>
    <w:uiPriority w:val="99"/>
    <w:semiHidden/>
    <w:unhideWhenUsed/>
    <w:rsid w:val="0023100A"/>
    <w:rPr>
      <w:sz w:val="18"/>
      <w:szCs w:val="18"/>
    </w:rPr>
  </w:style>
  <w:style w:type="paragraph" w:styleId="Kommentartext">
    <w:name w:val="annotation text"/>
    <w:basedOn w:val="Standard"/>
    <w:link w:val="KommentartextZchn"/>
    <w:uiPriority w:val="99"/>
    <w:unhideWhenUsed/>
    <w:rsid w:val="0023100A"/>
  </w:style>
  <w:style w:type="character" w:customStyle="1" w:styleId="KommentartextZchn">
    <w:name w:val="Kommentartext Zchn"/>
    <w:link w:val="Kommentartext"/>
    <w:uiPriority w:val="99"/>
    <w:rsid w:val="0023100A"/>
    <w:rPr>
      <w:rFonts w:ascii="Dutch Roman 12pt" w:hAnsi="Dutch Roman 12pt" w:cs="Arial Narrow"/>
      <w:sz w:val="24"/>
      <w:szCs w:val="24"/>
    </w:rPr>
  </w:style>
  <w:style w:type="paragraph" w:styleId="Kommentarthema">
    <w:name w:val="annotation subject"/>
    <w:basedOn w:val="Kommentartext"/>
    <w:next w:val="Kommentartext"/>
    <w:link w:val="KommentarthemaZchn"/>
    <w:uiPriority w:val="99"/>
    <w:semiHidden/>
    <w:unhideWhenUsed/>
    <w:rsid w:val="0023100A"/>
    <w:rPr>
      <w:b/>
      <w:bCs/>
      <w:sz w:val="20"/>
      <w:szCs w:val="20"/>
    </w:rPr>
  </w:style>
  <w:style w:type="character" w:customStyle="1" w:styleId="KommentarthemaZchn">
    <w:name w:val="Kommentarthema Zchn"/>
    <w:link w:val="Kommentarthema"/>
    <w:uiPriority w:val="99"/>
    <w:semiHidden/>
    <w:rsid w:val="0023100A"/>
    <w:rPr>
      <w:rFonts w:ascii="Dutch Roman 12pt" w:hAnsi="Dutch Roman 12pt" w:cs="Arial Narrow"/>
      <w:b/>
      <w:bCs/>
      <w:sz w:val="24"/>
      <w:szCs w:val="24"/>
    </w:rPr>
  </w:style>
  <w:style w:type="character" w:customStyle="1" w:styleId="n">
    <w:name w:val="n"/>
    <w:rsid w:val="00C0461D"/>
  </w:style>
  <w:style w:type="paragraph" w:customStyle="1" w:styleId="MittlereListe2-Akzent21">
    <w:name w:val="Mittlere Liste 2 - Akzent 21"/>
    <w:hidden/>
    <w:uiPriority w:val="99"/>
    <w:semiHidden/>
    <w:rsid w:val="00BF5E80"/>
    <w:rPr>
      <w:rFonts w:ascii="Dutch Roman 12pt" w:hAnsi="Dutch Roman 12pt" w:cs="Arial Narrow"/>
      <w:sz w:val="24"/>
      <w:szCs w:val="24"/>
    </w:rPr>
  </w:style>
  <w:style w:type="paragraph" w:styleId="berarbeitung">
    <w:name w:val="Revision"/>
    <w:hidden/>
    <w:uiPriority w:val="71"/>
    <w:rsid w:val="009F51F3"/>
    <w:rPr>
      <w:rFonts w:ascii="Dutch Roman 12pt" w:hAnsi="Dutch Roman 12pt" w:cs="Arial Narrow"/>
      <w:sz w:val="24"/>
      <w:szCs w:val="24"/>
    </w:rPr>
  </w:style>
  <w:style w:type="character" w:customStyle="1" w:styleId="Betonungkursiv">
    <w:name w:val="Betonung kursiv"/>
    <w:rsid w:val="001B5A29"/>
    <w:rPr>
      <w:i/>
      <w:iCs w:val="0"/>
      <w:color w:val="3399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8518">
      <w:bodyDiv w:val="1"/>
      <w:marLeft w:val="0"/>
      <w:marRight w:val="0"/>
      <w:marTop w:val="0"/>
      <w:marBottom w:val="0"/>
      <w:divBdr>
        <w:top w:val="none" w:sz="0" w:space="0" w:color="auto"/>
        <w:left w:val="none" w:sz="0" w:space="0" w:color="auto"/>
        <w:bottom w:val="none" w:sz="0" w:space="0" w:color="auto"/>
        <w:right w:val="none" w:sz="0" w:space="0" w:color="auto"/>
      </w:divBdr>
    </w:div>
    <w:div w:id="60759783">
      <w:bodyDiv w:val="1"/>
      <w:marLeft w:val="0"/>
      <w:marRight w:val="0"/>
      <w:marTop w:val="0"/>
      <w:marBottom w:val="0"/>
      <w:divBdr>
        <w:top w:val="none" w:sz="0" w:space="0" w:color="auto"/>
        <w:left w:val="none" w:sz="0" w:space="0" w:color="auto"/>
        <w:bottom w:val="none" w:sz="0" w:space="0" w:color="auto"/>
        <w:right w:val="none" w:sz="0" w:space="0" w:color="auto"/>
      </w:divBdr>
      <w:divsChild>
        <w:div w:id="604314374">
          <w:marLeft w:val="0"/>
          <w:marRight w:val="0"/>
          <w:marTop w:val="0"/>
          <w:marBottom w:val="0"/>
          <w:divBdr>
            <w:top w:val="none" w:sz="0" w:space="0" w:color="auto"/>
            <w:left w:val="none" w:sz="0" w:space="0" w:color="auto"/>
            <w:bottom w:val="none" w:sz="0" w:space="0" w:color="auto"/>
            <w:right w:val="none" w:sz="0" w:space="0" w:color="auto"/>
          </w:divBdr>
        </w:div>
        <w:div w:id="1190340152">
          <w:marLeft w:val="0"/>
          <w:marRight w:val="0"/>
          <w:marTop w:val="0"/>
          <w:marBottom w:val="0"/>
          <w:divBdr>
            <w:top w:val="none" w:sz="0" w:space="0" w:color="auto"/>
            <w:left w:val="none" w:sz="0" w:space="0" w:color="auto"/>
            <w:bottom w:val="none" w:sz="0" w:space="0" w:color="auto"/>
            <w:right w:val="none" w:sz="0" w:space="0" w:color="auto"/>
          </w:divBdr>
        </w:div>
        <w:div w:id="1318151851">
          <w:marLeft w:val="0"/>
          <w:marRight w:val="0"/>
          <w:marTop w:val="0"/>
          <w:marBottom w:val="0"/>
          <w:divBdr>
            <w:top w:val="none" w:sz="0" w:space="0" w:color="auto"/>
            <w:left w:val="none" w:sz="0" w:space="0" w:color="auto"/>
            <w:bottom w:val="none" w:sz="0" w:space="0" w:color="auto"/>
            <w:right w:val="none" w:sz="0" w:space="0" w:color="auto"/>
          </w:divBdr>
        </w:div>
        <w:div w:id="1346131858">
          <w:marLeft w:val="0"/>
          <w:marRight w:val="0"/>
          <w:marTop w:val="0"/>
          <w:marBottom w:val="0"/>
          <w:divBdr>
            <w:top w:val="none" w:sz="0" w:space="0" w:color="auto"/>
            <w:left w:val="none" w:sz="0" w:space="0" w:color="auto"/>
            <w:bottom w:val="none" w:sz="0" w:space="0" w:color="auto"/>
            <w:right w:val="none" w:sz="0" w:space="0" w:color="auto"/>
          </w:divBdr>
        </w:div>
        <w:div w:id="1459294469">
          <w:marLeft w:val="0"/>
          <w:marRight w:val="0"/>
          <w:marTop w:val="0"/>
          <w:marBottom w:val="0"/>
          <w:divBdr>
            <w:top w:val="none" w:sz="0" w:space="0" w:color="auto"/>
            <w:left w:val="none" w:sz="0" w:space="0" w:color="auto"/>
            <w:bottom w:val="none" w:sz="0" w:space="0" w:color="auto"/>
            <w:right w:val="none" w:sz="0" w:space="0" w:color="auto"/>
          </w:divBdr>
        </w:div>
      </w:divsChild>
    </w:div>
    <w:div w:id="52556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1541</Words>
  <Characters>9711</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Professor Dr</vt:lpstr>
    </vt:vector>
  </TitlesOfParts>
  <Company>Humboldt-Universität zu Berlin</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Dr</dc:title>
  <dc:subject/>
  <dc:creator>Juristische Fakultät</dc:creator>
  <cp:keywords/>
  <cp:lastModifiedBy>Judith Schult</cp:lastModifiedBy>
  <cp:revision>2</cp:revision>
  <cp:lastPrinted>2020-10-30T14:25:00Z</cp:lastPrinted>
  <dcterms:created xsi:type="dcterms:W3CDTF">2024-10-10T11:58:00Z</dcterms:created>
  <dcterms:modified xsi:type="dcterms:W3CDTF">2024-10-10T11:58:00Z</dcterms:modified>
</cp:coreProperties>
</file>