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C823" w14:textId="630CE878" w:rsidR="003F007D" w:rsidRDefault="003F007D">
      <w:pPr>
        <w:tabs>
          <w:tab w:val="right" w:pos="10206"/>
        </w:tabs>
        <w:jc w:val="both"/>
        <w:rPr>
          <w:b/>
          <w:spacing w:val="-3"/>
        </w:rPr>
      </w:pPr>
      <w:r>
        <w:rPr>
          <w:b/>
          <w:spacing w:val="-3"/>
        </w:rPr>
        <w:t xml:space="preserve">Prof. Dr. </w:t>
      </w:r>
      <w:r w:rsidR="0052079B">
        <w:rPr>
          <w:b/>
          <w:spacing w:val="-3"/>
        </w:rPr>
        <w:t xml:space="preserve">Dr. h.c. </w:t>
      </w:r>
      <w:r>
        <w:rPr>
          <w:b/>
          <w:spacing w:val="-3"/>
        </w:rPr>
        <w:t>Bernd Heinrich/</w:t>
      </w:r>
      <w:r w:rsidR="0046150B">
        <w:rPr>
          <w:b/>
          <w:spacing w:val="-3"/>
        </w:rPr>
        <w:t>Pr</w:t>
      </w:r>
      <w:r w:rsidR="00D54F1F">
        <w:rPr>
          <w:b/>
          <w:spacing w:val="-3"/>
        </w:rPr>
        <w:t>of</w:t>
      </w:r>
      <w:r w:rsidR="0046150B">
        <w:rPr>
          <w:b/>
          <w:spacing w:val="-3"/>
        </w:rPr>
        <w:t xml:space="preserve">. </w:t>
      </w:r>
      <w:r>
        <w:rPr>
          <w:b/>
          <w:spacing w:val="-3"/>
        </w:rPr>
        <w:t>Dr. Tobias Re</w:t>
      </w:r>
      <w:r w:rsidR="00FE311C">
        <w:rPr>
          <w:b/>
          <w:spacing w:val="-3"/>
        </w:rPr>
        <w:t>inbacher</w:t>
      </w:r>
      <w:r w:rsidR="00FE311C">
        <w:rPr>
          <w:b/>
          <w:spacing w:val="-3"/>
        </w:rPr>
        <w:tab/>
        <w:t xml:space="preserve">Stand: 1. </w:t>
      </w:r>
      <w:r w:rsidR="00D61564">
        <w:rPr>
          <w:b/>
          <w:spacing w:val="-3"/>
        </w:rPr>
        <w:t>Oktober</w:t>
      </w:r>
      <w:r w:rsidR="0048579A">
        <w:rPr>
          <w:b/>
          <w:spacing w:val="-3"/>
        </w:rPr>
        <w:t xml:space="preserve"> </w:t>
      </w:r>
      <w:r w:rsidR="008606FD">
        <w:rPr>
          <w:b/>
          <w:spacing w:val="-3"/>
        </w:rPr>
        <w:t>20</w:t>
      </w:r>
      <w:r w:rsidR="0097241E">
        <w:rPr>
          <w:b/>
          <w:spacing w:val="-3"/>
        </w:rPr>
        <w:t>2</w:t>
      </w:r>
      <w:r w:rsidR="008B37FE">
        <w:rPr>
          <w:b/>
          <w:spacing w:val="-3"/>
        </w:rPr>
        <w:t>4</w:t>
      </w:r>
    </w:p>
    <w:p w14:paraId="761FA19B" w14:textId="4BACB907" w:rsidR="0038613F" w:rsidRDefault="0038613F" w:rsidP="00766CDB">
      <w:pPr>
        <w:framePr w:w="9726" w:h="1782" w:hSpace="240" w:vSpace="120" w:wrap="auto" w:vAnchor="text" w:hAnchor="margin" w:x="241" w:y="124"/>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8B37FE">
        <w:rPr>
          <w:b/>
          <w:spacing w:val="-3"/>
        </w:rPr>
        <w:t> </w:t>
      </w:r>
      <w:r>
        <w:rPr>
          <w:b/>
          <w:spacing w:val="-3"/>
        </w:rPr>
        <w:t>28</w:t>
      </w:r>
    </w:p>
    <w:p w14:paraId="3687AEAC" w14:textId="77777777" w:rsidR="0038613F" w:rsidRPr="00766CDB" w:rsidRDefault="0038613F" w:rsidP="00766CDB">
      <w:pPr>
        <w:framePr w:w="9726" w:h="1782" w:hSpace="240" w:vSpace="120" w:wrap="auto" w:vAnchor="text" w:hAnchor="margin" w:x="241" w:y="124"/>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7"/>
          <w:sz w:val="48"/>
          <w:szCs w:val="48"/>
        </w:rPr>
      </w:pPr>
      <w:r w:rsidRPr="00766CDB">
        <w:rPr>
          <w:b/>
          <w:spacing w:val="-7"/>
          <w:sz w:val="48"/>
          <w:szCs w:val="48"/>
        </w:rPr>
        <w:t xml:space="preserve">Beweisverwertungsverbote III – </w:t>
      </w:r>
    </w:p>
    <w:p w14:paraId="0E44BD9A" w14:textId="77777777" w:rsidR="0038613F" w:rsidRPr="00766CDB" w:rsidRDefault="0038613F" w:rsidP="00766CDB">
      <w:pPr>
        <w:framePr w:w="9726" w:h="1782" w:hSpace="240" w:vSpace="120" w:wrap="auto" w:vAnchor="text" w:hAnchor="margin" w:x="241" w:y="124"/>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48"/>
          <w:szCs w:val="48"/>
        </w:rPr>
      </w:pPr>
      <w:r w:rsidRPr="00766CDB">
        <w:rPr>
          <w:b/>
          <w:spacing w:val="-7"/>
          <w:sz w:val="48"/>
          <w:szCs w:val="48"/>
        </w:rPr>
        <w:t>Zeugnisverweigerungsrechte</w:t>
      </w:r>
    </w:p>
    <w:p w14:paraId="7E2A6A80" w14:textId="77777777" w:rsidR="0038613F" w:rsidRDefault="0038613F" w:rsidP="00766CDB">
      <w:pPr>
        <w:pStyle w:val="Beschriftung"/>
        <w:framePr w:w="9726" w:h="1782" w:hSpace="240" w:vSpace="120" w:wrap="auto" w:vAnchor="text" w:hAnchor="margin" w:x="241" w:y="124"/>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FC12A4">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0C43A0">
        <w:rPr>
          <w:rFonts w:ascii="Times New Roman" w:hAnsi="Times New Roman"/>
          <w:noProof/>
          <w:vanish/>
          <w:spacing w:val="-7"/>
          <w:sz w:val="60"/>
        </w:rPr>
        <w:t>1</w:t>
      </w:r>
      <w:r>
        <w:rPr>
          <w:rFonts w:ascii="Times New Roman" w:hAnsi="Times New Roman"/>
          <w:vanish/>
          <w:spacing w:val="-7"/>
          <w:sz w:val="60"/>
        </w:rPr>
        <w:fldChar w:fldCharType="end"/>
      </w:r>
    </w:p>
    <w:p w14:paraId="3C449B20" w14:textId="77777777" w:rsidR="003F007D" w:rsidRPr="00691B39" w:rsidRDefault="003F007D">
      <w:pPr>
        <w:tabs>
          <w:tab w:val="left" w:pos="-720"/>
        </w:tabs>
        <w:jc w:val="both"/>
        <w:rPr>
          <w:spacing w:val="-3"/>
          <w:sz w:val="8"/>
          <w:szCs w:val="8"/>
        </w:rPr>
      </w:pPr>
    </w:p>
    <w:p w14:paraId="2EFFE062" w14:textId="5051E383" w:rsidR="003F007D" w:rsidRPr="004B6E6B" w:rsidRDefault="003F007D" w:rsidP="00671C56">
      <w:pPr>
        <w:widowControl/>
        <w:tabs>
          <w:tab w:val="left" w:pos="-720"/>
          <w:tab w:val="left" w:pos="284"/>
          <w:tab w:val="left" w:pos="851"/>
          <w:tab w:val="left" w:pos="1116"/>
          <w:tab w:val="left" w:pos="1404"/>
          <w:tab w:val="left" w:pos="1692"/>
          <w:tab w:val="left" w:pos="1980"/>
          <w:tab w:val="left" w:pos="2268"/>
          <w:tab w:val="left" w:pos="2880"/>
        </w:tabs>
        <w:spacing w:line="160" w:lineRule="exact"/>
        <w:ind w:left="284" w:right="-6" w:hanging="284"/>
        <w:jc w:val="both"/>
        <w:rPr>
          <w:rFonts w:ascii="Times New Roman" w:hAnsi="Times New Roman"/>
          <w:spacing w:val="-2"/>
          <w:sz w:val="16"/>
          <w:szCs w:val="16"/>
        </w:rPr>
      </w:pPr>
      <w:r w:rsidRPr="00B1649D">
        <w:rPr>
          <w:rFonts w:ascii="Times New Roman" w:hAnsi="Times New Roman"/>
          <w:b/>
          <w:spacing w:val="-2"/>
          <w:sz w:val="16"/>
          <w:szCs w:val="16"/>
        </w:rPr>
        <w:t xml:space="preserve">I. </w:t>
      </w:r>
      <w:r w:rsidRPr="00B1649D">
        <w:rPr>
          <w:rFonts w:ascii="Times New Roman" w:hAnsi="Times New Roman"/>
          <w:b/>
          <w:spacing w:val="-2"/>
          <w:sz w:val="16"/>
          <w:szCs w:val="16"/>
        </w:rPr>
        <w:tab/>
        <w:t xml:space="preserve">Allgemeines: </w:t>
      </w:r>
      <w:r w:rsidRPr="00B1649D">
        <w:rPr>
          <w:rFonts w:ascii="Times New Roman" w:hAnsi="Times New Roman"/>
          <w:spacing w:val="-2"/>
          <w:sz w:val="16"/>
          <w:szCs w:val="16"/>
        </w:rPr>
        <w:t>Zeugen stellen ein</w:t>
      </w:r>
      <w:r w:rsidRPr="00B1649D">
        <w:rPr>
          <w:rFonts w:ascii="Times New Roman" w:hAnsi="Times New Roman"/>
          <w:b/>
          <w:spacing w:val="-2"/>
          <w:sz w:val="16"/>
          <w:szCs w:val="16"/>
        </w:rPr>
        <w:t xml:space="preserve"> </w:t>
      </w:r>
      <w:r w:rsidRPr="00D348DE">
        <w:rPr>
          <w:rFonts w:ascii="Times New Roman" w:hAnsi="Times New Roman"/>
          <w:spacing w:val="-2"/>
          <w:sz w:val="16"/>
          <w:szCs w:val="16"/>
        </w:rPr>
        <w:t>besonders wichtiges</w:t>
      </w:r>
      <w:r w:rsidRPr="00D348DE">
        <w:rPr>
          <w:rFonts w:ascii="Times New Roman" w:hAnsi="Times New Roman"/>
          <w:b/>
          <w:spacing w:val="-2"/>
          <w:sz w:val="16"/>
          <w:szCs w:val="16"/>
        </w:rPr>
        <w:t xml:space="preserve"> </w:t>
      </w:r>
      <w:r w:rsidRPr="00D348DE">
        <w:rPr>
          <w:rFonts w:ascii="Times New Roman" w:hAnsi="Times New Roman"/>
          <w:spacing w:val="-2"/>
          <w:sz w:val="16"/>
          <w:szCs w:val="16"/>
        </w:rPr>
        <w:t>Beweismittel im Strafverfahren dar. Es besteht daher seitens des Staates ein hohes Interesse daran, ihre Aussagen zu verwerten. Andererseits sind Zeugen unter bestimmten Voraussetzungen auch besonders schutzwürdig oder stehe</w:t>
      </w:r>
      <w:r w:rsidRPr="009D713B">
        <w:rPr>
          <w:rFonts w:ascii="Times New Roman" w:hAnsi="Times New Roman"/>
          <w:spacing w:val="-2"/>
          <w:sz w:val="16"/>
          <w:szCs w:val="16"/>
        </w:rPr>
        <w:t>n in einem besonders engen Verhältnis zum Beschuldigten. Diesen Zwangslagen versucht das Gesetz durch die §§ 52 ff. StPO gerecht zu werden, indem es den Zeugen das Recht gibt, un</w:t>
      </w:r>
      <w:r w:rsidRPr="00C016A2">
        <w:rPr>
          <w:rFonts w:ascii="Times New Roman" w:hAnsi="Times New Roman"/>
          <w:spacing w:val="-2"/>
          <w:sz w:val="16"/>
          <w:szCs w:val="16"/>
        </w:rPr>
        <w:t>ter den Voraussetzungen der §§ 52 ff. StPO</w:t>
      </w:r>
      <w:r w:rsidRPr="00C016A2">
        <w:rPr>
          <w:rFonts w:ascii="Times New Roman" w:hAnsi="Times New Roman"/>
          <w:b/>
          <w:spacing w:val="-2"/>
          <w:sz w:val="16"/>
          <w:szCs w:val="16"/>
        </w:rPr>
        <w:t xml:space="preserve"> </w:t>
      </w:r>
      <w:r w:rsidRPr="00C016A2">
        <w:rPr>
          <w:rFonts w:ascii="Times New Roman" w:hAnsi="Times New Roman"/>
          <w:spacing w:val="-2"/>
          <w:sz w:val="16"/>
          <w:szCs w:val="16"/>
        </w:rPr>
        <w:t xml:space="preserve">ihre Aussage zu verweigern (vgl. dazu Arbeitsblatt Nr. 25). Haben Zeugen allerdings trotz des Bestehens eines Zeugnisverweigerungsrechts nach den §§ 52 ff. StPO eine Aussage getätigt, und zwar entweder, weil sie zu der Aussage gezwungen wurden (dazu </w:t>
      </w:r>
      <w:r w:rsidRPr="00F17471">
        <w:rPr>
          <w:rFonts w:ascii="Times New Roman" w:hAnsi="Times New Roman"/>
          <w:spacing w:val="-2"/>
          <w:sz w:val="16"/>
          <w:szCs w:val="16"/>
        </w:rPr>
        <w:t>II.)</w:t>
      </w:r>
      <w:r w:rsidR="00FF6044">
        <w:rPr>
          <w:rFonts w:ascii="Times New Roman" w:hAnsi="Times New Roman"/>
          <w:spacing w:val="-2"/>
          <w:sz w:val="16"/>
          <w:szCs w:val="16"/>
        </w:rPr>
        <w:t>,</w:t>
      </w:r>
      <w:r w:rsidRPr="00F17471">
        <w:rPr>
          <w:rFonts w:ascii="Times New Roman" w:hAnsi="Times New Roman"/>
          <w:spacing w:val="-2"/>
          <w:sz w:val="16"/>
          <w:szCs w:val="16"/>
        </w:rPr>
        <w:t xml:space="preserve"> weil sie erst später von </w:t>
      </w:r>
      <w:r w:rsidRPr="00D54F1F">
        <w:rPr>
          <w:rFonts w:ascii="Times New Roman" w:hAnsi="Times New Roman"/>
          <w:spacing w:val="-2"/>
          <w:sz w:val="16"/>
          <w:szCs w:val="16"/>
        </w:rPr>
        <w:t>ihrem Recht</w:t>
      </w:r>
      <w:r w:rsidR="00534A4F">
        <w:rPr>
          <w:rFonts w:ascii="Times New Roman" w:hAnsi="Times New Roman"/>
          <w:spacing w:val="-2"/>
          <w:sz w:val="16"/>
          <w:szCs w:val="16"/>
        </w:rPr>
        <w:t>, nicht auszusagen,</w:t>
      </w:r>
      <w:r w:rsidRPr="00D54F1F">
        <w:rPr>
          <w:rFonts w:ascii="Times New Roman" w:hAnsi="Times New Roman"/>
          <w:spacing w:val="-2"/>
          <w:sz w:val="16"/>
          <w:szCs w:val="16"/>
        </w:rPr>
        <w:t xml:space="preserve"> Gebrauch machen (dazu III.) oder weil sie nicht ordnungsgemäß über ihr Recht, nicht auszusagen, belehrt wurden (dazu IV.), so ist fraglich, ob diese Aussagen im Prozess verwertet werden kö</w:t>
      </w:r>
      <w:r w:rsidRPr="004B6E6B">
        <w:rPr>
          <w:rFonts w:ascii="Times New Roman" w:hAnsi="Times New Roman"/>
          <w:spacing w:val="-2"/>
          <w:sz w:val="16"/>
          <w:szCs w:val="16"/>
        </w:rPr>
        <w:t>nnen.</w:t>
      </w:r>
    </w:p>
    <w:p w14:paraId="294FED90" w14:textId="7502B5D5" w:rsidR="003F007D" w:rsidRPr="00015121" w:rsidRDefault="003F007D" w:rsidP="00671C56">
      <w:pPr>
        <w:widowControl/>
        <w:tabs>
          <w:tab w:val="left" w:pos="-720"/>
          <w:tab w:val="left" w:pos="284"/>
          <w:tab w:val="left" w:pos="567"/>
          <w:tab w:val="left" w:pos="851"/>
          <w:tab w:val="left" w:pos="1116"/>
          <w:tab w:val="left" w:pos="1404"/>
          <w:tab w:val="left" w:pos="1692"/>
          <w:tab w:val="left" w:pos="1980"/>
          <w:tab w:val="left" w:pos="2268"/>
          <w:tab w:val="left" w:pos="2880"/>
        </w:tabs>
        <w:spacing w:before="120" w:line="160" w:lineRule="exact"/>
        <w:ind w:left="284" w:right="-6" w:hanging="284"/>
        <w:jc w:val="both"/>
        <w:rPr>
          <w:rFonts w:ascii="Times New Roman" w:hAnsi="Times New Roman"/>
          <w:spacing w:val="-2"/>
          <w:sz w:val="16"/>
          <w:szCs w:val="16"/>
        </w:rPr>
      </w:pPr>
      <w:r w:rsidRPr="004B6E6B">
        <w:rPr>
          <w:rFonts w:ascii="Times New Roman" w:hAnsi="Times New Roman"/>
          <w:b/>
          <w:spacing w:val="-2"/>
          <w:sz w:val="16"/>
          <w:szCs w:val="16"/>
        </w:rPr>
        <w:t xml:space="preserve">II. </w:t>
      </w:r>
      <w:r w:rsidR="00EC1146" w:rsidRPr="004B6E6B">
        <w:rPr>
          <w:rFonts w:ascii="Times New Roman" w:hAnsi="Times New Roman"/>
          <w:b/>
          <w:spacing w:val="-2"/>
          <w:sz w:val="16"/>
          <w:szCs w:val="16"/>
        </w:rPr>
        <w:tab/>
      </w:r>
      <w:r w:rsidRPr="004B6E6B">
        <w:rPr>
          <w:rFonts w:ascii="Times New Roman" w:hAnsi="Times New Roman"/>
          <w:b/>
          <w:spacing w:val="-2"/>
          <w:sz w:val="16"/>
          <w:szCs w:val="16"/>
        </w:rPr>
        <w:t>Beweismittelverbot bei rechtmäßiger Zeugnisverweigerung:</w:t>
      </w:r>
      <w:r w:rsidRPr="004B6E6B">
        <w:rPr>
          <w:rFonts w:ascii="Times New Roman" w:hAnsi="Times New Roman"/>
          <w:spacing w:val="-2"/>
          <w:sz w:val="16"/>
          <w:szCs w:val="16"/>
        </w:rPr>
        <w:t xml:space="preserve"> Noch recht einfach ist der erste Fall zu beantworten. Steht einem Zeugen ein Zeugnisverweigerungsrecht nach den §§ 52 ff. StPO zu, so besteht </w:t>
      </w:r>
      <w:r w:rsidR="00CA0608">
        <w:rPr>
          <w:rFonts w:ascii="Times New Roman" w:hAnsi="Times New Roman"/>
          <w:spacing w:val="-2"/>
          <w:sz w:val="16"/>
          <w:szCs w:val="16"/>
        </w:rPr>
        <w:t xml:space="preserve">im Falle der </w:t>
      </w:r>
      <w:proofErr w:type="spellStart"/>
      <w:r w:rsidR="00CA0608">
        <w:rPr>
          <w:rFonts w:ascii="Times New Roman" w:hAnsi="Times New Roman"/>
          <w:spacing w:val="-2"/>
          <w:sz w:val="16"/>
          <w:szCs w:val="16"/>
        </w:rPr>
        <w:t>Gebrauchmachung</w:t>
      </w:r>
      <w:proofErr w:type="spellEnd"/>
      <w:r w:rsidR="00CA0608">
        <w:rPr>
          <w:rFonts w:ascii="Times New Roman" w:hAnsi="Times New Roman"/>
          <w:spacing w:val="-2"/>
          <w:sz w:val="16"/>
          <w:szCs w:val="16"/>
        </w:rPr>
        <w:t xml:space="preserve"> ein</w:t>
      </w:r>
      <w:r w:rsidRPr="004B6E6B">
        <w:rPr>
          <w:rFonts w:ascii="Times New Roman" w:hAnsi="Times New Roman"/>
          <w:spacing w:val="-2"/>
          <w:sz w:val="16"/>
          <w:szCs w:val="16"/>
        </w:rPr>
        <w:t xml:space="preserve"> </w:t>
      </w:r>
      <w:r w:rsidRPr="004B6E6B">
        <w:rPr>
          <w:rFonts w:ascii="Times New Roman" w:hAnsi="Times New Roman"/>
          <w:b/>
          <w:spacing w:val="-2"/>
          <w:sz w:val="16"/>
          <w:szCs w:val="16"/>
        </w:rPr>
        <w:t>Beweiserhebungsverbot</w:t>
      </w:r>
      <w:r w:rsidRPr="004B6E6B">
        <w:rPr>
          <w:rFonts w:ascii="Times New Roman" w:hAnsi="Times New Roman"/>
          <w:spacing w:val="-2"/>
          <w:sz w:val="16"/>
          <w:szCs w:val="16"/>
        </w:rPr>
        <w:t xml:space="preserve"> (vgl. dazu Arbeitsblatt Nr.</w:t>
      </w:r>
      <w:r w:rsidR="004864DA">
        <w:rPr>
          <w:rFonts w:ascii="Times New Roman" w:hAnsi="Times New Roman"/>
          <w:spacing w:val="-2"/>
          <w:sz w:val="16"/>
          <w:szCs w:val="16"/>
        </w:rPr>
        <w:t> </w:t>
      </w:r>
      <w:r w:rsidRPr="004B6E6B">
        <w:rPr>
          <w:rFonts w:ascii="Times New Roman" w:hAnsi="Times New Roman"/>
          <w:spacing w:val="-2"/>
          <w:sz w:val="16"/>
          <w:szCs w:val="16"/>
        </w:rPr>
        <w:t xml:space="preserve">26). Die Zeugen dürfen nicht zu einer Aussage gezwungen werden (z.B. mittels einer Androhung von Zwangsgeld). In diesem Falle besteht bereits ein </w:t>
      </w:r>
      <w:r w:rsidRPr="004B6E6B">
        <w:rPr>
          <w:rFonts w:ascii="Times New Roman" w:hAnsi="Times New Roman"/>
          <w:b/>
          <w:spacing w:val="-2"/>
          <w:sz w:val="16"/>
          <w:szCs w:val="16"/>
        </w:rPr>
        <w:t>Beweismittelverbot</w:t>
      </w:r>
      <w:r w:rsidRPr="004B6E6B">
        <w:rPr>
          <w:rFonts w:ascii="Times New Roman" w:hAnsi="Times New Roman"/>
          <w:spacing w:val="-2"/>
          <w:sz w:val="16"/>
          <w:szCs w:val="16"/>
        </w:rPr>
        <w:t xml:space="preserve"> hinsichtlich der Ver</w:t>
      </w:r>
      <w:r w:rsidRPr="00015121">
        <w:rPr>
          <w:rFonts w:ascii="Times New Roman" w:hAnsi="Times New Roman"/>
          <w:spacing w:val="-2"/>
          <w:sz w:val="16"/>
          <w:szCs w:val="16"/>
        </w:rPr>
        <w:t>wendung einer auf diese Weise erlangten Aussage.</w:t>
      </w:r>
    </w:p>
    <w:p w14:paraId="7A597E9B" w14:textId="04069D86" w:rsidR="003F007D" w:rsidRPr="00FF6044" w:rsidRDefault="003F007D" w:rsidP="00671C56">
      <w:pPr>
        <w:widowControl/>
        <w:tabs>
          <w:tab w:val="left" w:pos="-720"/>
          <w:tab w:val="left" w:pos="284"/>
          <w:tab w:val="left" w:pos="567"/>
          <w:tab w:val="left" w:pos="851"/>
          <w:tab w:val="left" w:pos="1116"/>
          <w:tab w:val="left" w:pos="1404"/>
          <w:tab w:val="left" w:pos="1692"/>
          <w:tab w:val="left" w:pos="1980"/>
          <w:tab w:val="left" w:pos="2268"/>
          <w:tab w:val="left" w:pos="2880"/>
        </w:tabs>
        <w:spacing w:before="120" w:line="160" w:lineRule="exact"/>
        <w:ind w:left="284" w:right="-6" w:hanging="284"/>
        <w:jc w:val="both"/>
        <w:rPr>
          <w:rFonts w:ascii="Times New Roman" w:hAnsi="Times New Roman"/>
          <w:spacing w:val="-2"/>
          <w:sz w:val="16"/>
          <w:szCs w:val="16"/>
        </w:rPr>
      </w:pPr>
      <w:r w:rsidRPr="00015121">
        <w:rPr>
          <w:rFonts w:ascii="Times New Roman" w:hAnsi="Times New Roman"/>
          <w:b/>
          <w:spacing w:val="-2"/>
          <w:sz w:val="16"/>
          <w:szCs w:val="16"/>
        </w:rPr>
        <w:t>III.</w:t>
      </w:r>
      <w:r w:rsidRPr="00015121">
        <w:rPr>
          <w:rFonts w:ascii="Times New Roman" w:hAnsi="Times New Roman"/>
          <w:b/>
          <w:spacing w:val="-2"/>
          <w:sz w:val="16"/>
          <w:szCs w:val="16"/>
        </w:rPr>
        <w:tab/>
        <w:t>Beweisverwertungsverbot bei rechtmäßiger Zeugnisverweigerung erst in der Hauptverhandlung:</w:t>
      </w:r>
      <w:r w:rsidRPr="00015121">
        <w:rPr>
          <w:rFonts w:ascii="Times New Roman" w:hAnsi="Times New Roman"/>
          <w:spacing w:val="-2"/>
          <w:sz w:val="16"/>
          <w:szCs w:val="16"/>
        </w:rPr>
        <w:t xml:space="preserve"> Fraglich ist, ob und inwieweit </w:t>
      </w:r>
      <w:r w:rsidRPr="00015121">
        <w:rPr>
          <w:rFonts w:ascii="Times New Roman" w:hAnsi="Times New Roman"/>
          <w:b/>
          <w:spacing w:val="-2"/>
          <w:sz w:val="16"/>
          <w:szCs w:val="16"/>
        </w:rPr>
        <w:t>frühere Vernehmun</w:t>
      </w:r>
      <w:r w:rsidRPr="00FF6044">
        <w:rPr>
          <w:rFonts w:ascii="Times New Roman" w:hAnsi="Times New Roman"/>
          <w:b/>
          <w:spacing w:val="-2"/>
          <w:sz w:val="16"/>
          <w:szCs w:val="16"/>
        </w:rPr>
        <w:t>gen</w:t>
      </w:r>
      <w:r w:rsidRPr="00FF6044">
        <w:rPr>
          <w:rFonts w:ascii="Times New Roman" w:hAnsi="Times New Roman"/>
          <w:spacing w:val="-2"/>
          <w:sz w:val="16"/>
          <w:szCs w:val="16"/>
        </w:rPr>
        <w:t xml:space="preserve"> verwertet werden dürfen, wenn die Zeugen erst in der Hauptverhandlung von ihrem Recht zur Verweigerung des Zeugnisses Gebrauch machen.</w:t>
      </w:r>
    </w:p>
    <w:p w14:paraId="565B0395" w14:textId="68C41C2B" w:rsidR="004B6E6B" w:rsidRPr="004B6E6B" w:rsidRDefault="003F007D" w:rsidP="00671C56">
      <w:pPr>
        <w:widowControl/>
        <w:tabs>
          <w:tab w:val="left" w:pos="-720"/>
          <w:tab w:val="left" w:pos="567"/>
          <w:tab w:val="left" w:pos="851"/>
          <w:tab w:val="left" w:pos="1116"/>
          <w:tab w:val="left" w:pos="1404"/>
          <w:tab w:val="left" w:pos="1692"/>
          <w:tab w:val="left" w:pos="1980"/>
          <w:tab w:val="left" w:pos="2268"/>
          <w:tab w:val="left" w:pos="2880"/>
        </w:tabs>
        <w:spacing w:line="160" w:lineRule="exact"/>
        <w:ind w:left="567" w:right="-6" w:hanging="283"/>
        <w:jc w:val="both"/>
        <w:rPr>
          <w:rFonts w:ascii="Times New Roman" w:hAnsi="Times New Roman"/>
          <w:spacing w:val="-2"/>
          <w:sz w:val="16"/>
          <w:szCs w:val="16"/>
        </w:rPr>
      </w:pPr>
      <w:r w:rsidRPr="00CA0608">
        <w:rPr>
          <w:rFonts w:ascii="Times New Roman" w:hAnsi="Times New Roman"/>
          <w:spacing w:val="-2"/>
          <w:sz w:val="16"/>
          <w:szCs w:val="16"/>
          <w:u w:val="single"/>
        </w:rPr>
        <w:t xml:space="preserve">1. </w:t>
      </w:r>
      <w:r w:rsidRPr="00CA0608">
        <w:rPr>
          <w:rFonts w:ascii="Times New Roman" w:hAnsi="Times New Roman"/>
          <w:spacing w:val="-2"/>
          <w:sz w:val="16"/>
          <w:szCs w:val="16"/>
          <w:u w:val="single"/>
        </w:rPr>
        <w:tab/>
        <w:t>Zeugnisverweigerungsrechte gemäß §§ 52-53a StPO:</w:t>
      </w:r>
      <w:r w:rsidRPr="0006665A">
        <w:rPr>
          <w:rFonts w:ascii="Times New Roman" w:hAnsi="Times New Roman"/>
          <w:spacing w:val="-2"/>
          <w:sz w:val="16"/>
          <w:szCs w:val="16"/>
        </w:rPr>
        <w:t xml:space="preserve"> Dieser Fall wird (teilweise) durch </w:t>
      </w:r>
      <w:r w:rsidRPr="0006665A">
        <w:rPr>
          <w:rFonts w:ascii="Times New Roman" w:hAnsi="Times New Roman"/>
          <w:b/>
          <w:spacing w:val="-2"/>
          <w:sz w:val="16"/>
          <w:szCs w:val="16"/>
        </w:rPr>
        <w:t>§ 252 StPO</w:t>
      </w:r>
      <w:r w:rsidRPr="0006665A">
        <w:rPr>
          <w:rFonts w:ascii="Times New Roman" w:hAnsi="Times New Roman"/>
          <w:spacing w:val="-2"/>
          <w:sz w:val="16"/>
          <w:szCs w:val="16"/>
        </w:rPr>
        <w:t xml:space="preserve"> geregelt (vgl. dazu Arbeitsblatt Nr. 38). § 252 StPO stellt klar, dass die </w:t>
      </w:r>
      <w:r w:rsidRPr="00E21895">
        <w:rPr>
          <w:rFonts w:ascii="Times New Roman" w:hAnsi="Times New Roman"/>
          <w:b/>
          <w:spacing w:val="-2"/>
          <w:sz w:val="16"/>
          <w:szCs w:val="16"/>
        </w:rPr>
        <w:t>Verlesung</w:t>
      </w:r>
      <w:r w:rsidRPr="00E21895">
        <w:rPr>
          <w:rFonts w:ascii="Times New Roman" w:hAnsi="Times New Roman"/>
          <w:spacing w:val="-2"/>
          <w:sz w:val="16"/>
          <w:szCs w:val="16"/>
        </w:rPr>
        <w:t xml:space="preserve"> von Protokollen von Zeugenaussagen nicht zulässig ist, wenn der Zeuge erst in der Hauptverhandlung von se</w:t>
      </w:r>
      <w:r w:rsidRPr="006C54D8">
        <w:rPr>
          <w:rFonts w:ascii="Times New Roman" w:hAnsi="Times New Roman"/>
          <w:spacing w:val="-2"/>
          <w:sz w:val="16"/>
          <w:szCs w:val="16"/>
        </w:rPr>
        <w:t xml:space="preserve">inem Zeugnisverweigerungsrecht Gebrauch macht. Über den Wortlaut hinaus nimmt die </w:t>
      </w:r>
      <w:proofErr w:type="spellStart"/>
      <w:r w:rsidRPr="006C54D8">
        <w:rPr>
          <w:rFonts w:ascii="Times New Roman" w:hAnsi="Times New Roman"/>
          <w:spacing w:val="-2"/>
          <w:sz w:val="16"/>
          <w:szCs w:val="16"/>
        </w:rPr>
        <w:t>h.M</w:t>
      </w:r>
      <w:proofErr w:type="spellEnd"/>
      <w:r w:rsidRPr="006C54D8">
        <w:rPr>
          <w:rFonts w:ascii="Times New Roman" w:hAnsi="Times New Roman"/>
          <w:spacing w:val="-2"/>
          <w:sz w:val="16"/>
          <w:szCs w:val="16"/>
        </w:rPr>
        <w:t xml:space="preserve">. aber jedenfalls bei nicht-richterlichen Vernehmungen ein </w:t>
      </w:r>
      <w:r w:rsidRPr="001109AC">
        <w:rPr>
          <w:rFonts w:ascii="Times New Roman" w:hAnsi="Times New Roman"/>
          <w:b/>
          <w:spacing w:val="-2"/>
          <w:sz w:val="16"/>
          <w:szCs w:val="16"/>
        </w:rPr>
        <w:t>allgemeines Verwertungsverbot</w:t>
      </w:r>
      <w:r w:rsidRPr="00FE0F0C">
        <w:rPr>
          <w:rFonts w:ascii="Times New Roman" w:hAnsi="Times New Roman"/>
          <w:spacing w:val="-2"/>
          <w:sz w:val="16"/>
          <w:szCs w:val="16"/>
        </w:rPr>
        <w:t xml:space="preserve"> hinsichtlich der früheren Aussage an, sodass auch die Vernehmung der </w:t>
      </w:r>
      <w:proofErr w:type="spellStart"/>
      <w:r w:rsidRPr="00FE0F0C">
        <w:rPr>
          <w:rFonts w:ascii="Times New Roman" w:hAnsi="Times New Roman"/>
          <w:spacing w:val="-2"/>
          <w:sz w:val="16"/>
          <w:szCs w:val="16"/>
        </w:rPr>
        <w:t>Ver</w:t>
      </w:r>
      <w:r w:rsidRPr="0058721F">
        <w:rPr>
          <w:rFonts w:ascii="Times New Roman" w:hAnsi="Times New Roman"/>
          <w:spacing w:val="-2"/>
          <w:sz w:val="16"/>
          <w:szCs w:val="16"/>
        </w:rPr>
        <w:t>hörsperson</w:t>
      </w:r>
      <w:proofErr w:type="spellEnd"/>
      <w:r w:rsidRPr="0058721F">
        <w:rPr>
          <w:rFonts w:ascii="Times New Roman" w:hAnsi="Times New Roman"/>
          <w:spacing w:val="-2"/>
          <w:sz w:val="16"/>
          <w:szCs w:val="16"/>
        </w:rPr>
        <w:t xml:space="preserve"> untersagt ist. </w:t>
      </w:r>
      <w:r w:rsidR="00E45628" w:rsidRPr="0058721F">
        <w:rPr>
          <w:rFonts w:ascii="Times New Roman" w:hAnsi="Times New Roman"/>
          <w:spacing w:val="-2"/>
          <w:sz w:val="16"/>
          <w:szCs w:val="16"/>
        </w:rPr>
        <w:t xml:space="preserve">Eine Ausnahme gilt nach </w:t>
      </w:r>
      <w:proofErr w:type="spellStart"/>
      <w:r w:rsidR="00E45628" w:rsidRPr="0058721F">
        <w:rPr>
          <w:rFonts w:ascii="Times New Roman" w:hAnsi="Times New Roman"/>
          <w:spacing w:val="-2"/>
          <w:sz w:val="16"/>
          <w:szCs w:val="16"/>
        </w:rPr>
        <w:t>st.</w:t>
      </w:r>
      <w:proofErr w:type="spellEnd"/>
      <w:r w:rsidR="00E45628" w:rsidRPr="0058721F">
        <w:rPr>
          <w:rFonts w:ascii="Times New Roman" w:hAnsi="Times New Roman"/>
          <w:spacing w:val="-2"/>
          <w:sz w:val="16"/>
          <w:szCs w:val="16"/>
        </w:rPr>
        <w:t xml:space="preserve"> </w:t>
      </w:r>
      <w:proofErr w:type="spellStart"/>
      <w:r w:rsidR="00E45628" w:rsidRPr="0058721F">
        <w:rPr>
          <w:rFonts w:ascii="Times New Roman" w:hAnsi="Times New Roman"/>
          <w:spacing w:val="-2"/>
          <w:sz w:val="16"/>
          <w:szCs w:val="16"/>
        </w:rPr>
        <w:t>Rspr</w:t>
      </w:r>
      <w:proofErr w:type="spellEnd"/>
      <w:r w:rsidR="00E45628" w:rsidRPr="0058721F">
        <w:rPr>
          <w:rFonts w:ascii="Times New Roman" w:hAnsi="Times New Roman"/>
          <w:spacing w:val="-2"/>
          <w:sz w:val="16"/>
          <w:szCs w:val="16"/>
        </w:rPr>
        <w:t xml:space="preserve">. bei </w:t>
      </w:r>
      <w:r w:rsidR="00E45628" w:rsidRPr="0058721F">
        <w:rPr>
          <w:rFonts w:ascii="Times New Roman" w:hAnsi="Times New Roman"/>
          <w:b/>
          <w:spacing w:val="-2"/>
          <w:sz w:val="16"/>
          <w:szCs w:val="16"/>
        </w:rPr>
        <w:t>richterlichen</w:t>
      </w:r>
      <w:r w:rsidR="00E45628" w:rsidRPr="0058721F">
        <w:rPr>
          <w:rFonts w:ascii="Times New Roman" w:hAnsi="Times New Roman"/>
          <w:spacing w:val="-2"/>
          <w:sz w:val="16"/>
          <w:szCs w:val="16"/>
        </w:rPr>
        <w:t xml:space="preserve"> Vernehmungen. </w:t>
      </w:r>
      <w:r w:rsidR="004C7EE9" w:rsidRPr="0058721F">
        <w:rPr>
          <w:rFonts w:ascii="Times New Roman" w:hAnsi="Times New Roman"/>
          <w:spacing w:val="-2"/>
          <w:sz w:val="16"/>
          <w:szCs w:val="16"/>
        </w:rPr>
        <w:t>Hier</w:t>
      </w:r>
      <w:r w:rsidR="00E45628" w:rsidRPr="0058721F">
        <w:rPr>
          <w:rFonts w:ascii="Times New Roman" w:hAnsi="Times New Roman"/>
          <w:spacing w:val="-2"/>
          <w:sz w:val="16"/>
          <w:szCs w:val="16"/>
        </w:rPr>
        <w:t xml:space="preserve"> ist die Verwertung dann zulässig, wenn der das Zeugnis Verweigernde als Zeuge vernommen wurde, das Zeugnisverweigerungsrecht schon bei der damaligen Vernehmung bestand, der Zeuge damals ordnungsgemäß belehrt wurde und wirksam auf sein Recht verzichtet hat (</w:t>
      </w:r>
      <w:proofErr w:type="spellStart"/>
      <w:r w:rsidR="00E45628" w:rsidRPr="0058721F">
        <w:rPr>
          <w:rFonts w:ascii="Times New Roman" w:hAnsi="Times New Roman"/>
          <w:spacing w:val="-2"/>
          <w:sz w:val="16"/>
          <w:szCs w:val="16"/>
        </w:rPr>
        <w:t>str.</w:t>
      </w:r>
      <w:proofErr w:type="spellEnd"/>
      <w:r w:rsidR="00E45628" w:rsidRPr="0058721F">
        <w:rPr>
          <w:rFonts w:ascii="Times New Roman" w:hAnsi="Times New Roman"/>
          <w:spacing w:val="-2"/>
          <w:sz w:val="16"/>
          <w:szCs w:val="16"/>
        </w:rPr>
        <w:t xml:space="preserve">). </w:t>
      </w:r>
      <w:r w:rsidR="004044FD">
        <w:rPr>
          <w:rFonts w:ascii="Times New Roman" w:hAnsi="Times New Roman"/>
          <w:spacing w:val="-2"/>
          <w:sz w:val="16"/>
          <w:szCs w:val="16"/>
        </w:rPr>
        <w:t>Eine qualifizierte Belehrung dahingehend, dass die Aussage auch bei späterer Zeugnisverweigerung verwertbar bleibt, ist nach Ansicht des BGH (G</w:t>
      </w:r>
      <w:r w:rsidR="00317D42">
        <w:rPr>
          <w:rFonts w:ascii="Times New Roman" w:hAnsi="Times New Roman"/>
          <w:spacing w:val="-2"/>
          <w:sz w:val="16"/>
          <w:szCs w:val="16"/>
        </w:rPr>
        <w:t xml:space="preserve">roßer </w:t>
      </w:r>
      <w:r w:rsidR="004044FD">
        <w:rPr>
          <w:rFonts w:ascii="Times New Roman" w:hAnsi="Times New Roman"/>
          <w:spacing w:val="-2"/>
          <w:sz w:val="16"/>
          <w:szCs w:val="16"/>
        </w:rPr>
        <w:t>S</w:t>
      </w:r>
      <w:r w:rsidR="00317D42">
        <w:rPr>
          <w:rFonts w:ascii="Times New Roman" w:hAnsi="Times New Roman"/>
          <w:spacing w:val="-2"/>
          <w:sz w:val="16"/>
          <w:szCs w:val="16"/>
        </w:rPr>
        <w:t>enat</w:t>
      </w:r>
      <w:r w:rsidR="004044FD">
        <w:rPr>
          <w:rFonts w:ascii="Times New Roman" w:hAnsi="Times New Roman"/>
          <w:spacing w:val="-2"/>
          <w:sz w:val="16"/>
          <w:szCs w:val="16"/>
        </w:rPr>
        <w:t>) nicht erforderlich (</w:t>
      </w:r>
      <w:proofErr w:type="spellStart"/>
      <w:r w:rsidR="004044FD">
        <w:rPr>
          <w:rFonts w:ascii="Times New Roman" w:hAnsi="Times New Roman"/>
          <w:spacing w:val="-2"/>
          <w:sz w:val="16"/>
          <w:szCs w:val="16"/>
        </w:rPr>
        <w:t>str.</w:t>
      </w:r>
      <w:proofErr w:type="spellEnd"/>
      <w:r w:rsidR="004044FD">
        <w:rPr>
          <w:rFonts w:ascii="Times New Roman" w:hAnsi="Times New Roman"/>
          <w:spacing w:val="-2"/>
          <w:sz w:val="16"/>
          <w:szCs w:val="16"/>
        </w:rPr>
        <w:t xml:space="preserve">). </w:t>
      </w:r>
      <w:r w:rsidR="00E45628" w:rsidRPr="0058721F">
        <w:rPr>
          <w:rFonts w:ascii="Times New Roman" w:hAnsi="Times New Roman"/>
          <w:spacing w:val="-2"/>
          <w:sz w:val="16"/>
          <w:szCs w:val="16"/>
        </w:rPr>
        <w:t xml:space="preserve">In diesem Fall kann der Richter </w:t>
      </w:r>
      <w:r w:rsidR="00C27D38" w:rsidRPr="0058721F">
        <w:rPr>
          <w:rFonts w:ascii="Times New Roman" w:hAnsi="Times New Roman"/>
          <w:spacing w:val="-2"/>
          <w:sz w:val="16"/>
          <w:szCs w:val="16"/>
        </w:rPr>
        <w:t xml:space="preserve">als </w:t>
      </w:r>
      <w:r w:rsidR="0058721F">
        <w:rPr>
          <w:rFonts w:ascii="Times New Roman" w:hAnsi="Times New Roman"/>
          <w:spacing w:val="-2"/>
          <w:sz w:val="16"/>
          <w:szCs w:val="16"/>
        </w:rPr>
        <w:t>„</w:t>
      </w:r>
      <w:r w:rsidR="00C27D38" w:rsidRPr="0058721F">
        <w:rPr>
          <w:rFonts w:ascii="Times New Roman" w:hAnsi="Times New Roman"/>
          <w:spacing w:val="-2"/>
          <w:sz w:val="16"/>
          <w:szCs w:val="16"/>
        </w:rPr>
        <w:t>Zeuge</w:t>
      </w:r>
      <w:r w:rsidR="0058721F">
        <w:rPr>
          <w:rFonts w:ascii="Times New Roman" w:hAnsi="Times New Roman"/>
          <w:spacing w:val="-2"/>
          <w:sz w:val="16"/>
          <w:szCs w:val="16"/>
        </w:rPr>
        <w:t xml:space="preserve"> vom Hörensagen“</w:t>
      </w:r>
      <w:r w:rsidR="00C27D38" w:rsidRPr="0058721F">
        <w:rPr>
          <w:rFonts w:ascii="Times New Roman" w:hAnsi="Times New Roman"/>
          <w:spacing w:val="-2"/>
          <w:sz w:val="16"/>
          <w:szCs w:val="16"/>
        </w:rPr>
        <w:t xml:space="preserve"> </w:t>
      </w:r>
      <w:r w:rsidR="00E45628" w:rsidRPr="0058721F">
        <w:rPr>
          <w:rFonts w:ascii="Times New Roman" w:hAnsi="Times New Roman"/>
          <w:spacing w:val="-2"/>
          <w:sz w:val="16"/>
          <w:szCs w:val="16"/>
        </w:rPr>
        <w:t xml:space="preserve">über die frühere Aussage der Auskunftsperson vernommen werden. </w:t>
      </w:r>
      <w:r w:rsidR="002F7FA4" w:rsidRPr="0058721F">
        <w:rPr>
          <w:rFonts w:ascii="Times New Roman" w:hAnsi="Times New Roman"/>
          <w:spacing w:val="-2"/>
          <w:sz w:val="16"/>
          <w:szCs w:val="16"/>
        </w:rPr>
        <w:t xml:space="preserve">Der BGH begründet die Zulässigkeit der Vernehmung der richterlichen </w:t>
      </w:r>
      <w:proofErr w:type="spellStart"/>
      <w:r w:rsidR="002F7FA4" w:rsidRPr="0058721F">
        <w:rPr>
          <w:rFonts w:ascii="Times New Roman" w:hAnsi="Times New Roman"/>
          <w:spacing w:val="-2"/>
          <w:sz w:val="16"/>
          <w:szCs w:val="16"/>
        </w:rPr>
        <w:t>Verhörsperson</w:t>
      </w:r>
      <w:proofErr w:type="spellEnd"/>
      <w:r w:rsidR="002F7FA4" w:rsidRPr="0058721F">
        <w:rPr>
          <w:rFonts w:ascii="Times New Roman" w:hAnsi="Times New Roman"/>
          <w:spacing w:val="-2"/>
          <w:sz w:val="16"/>
          <w:szCs w:val="16"/>
        </w:rPr>
        <w:t xml:space="preserve"> mit der für den Zeugen erkennbaren und regelmäßig von ihm empfundenen </w:t>
      </w:r>
      <w:r w:rsidR="002F7FA4" w:rsidRPr="0058721F">
        <w:rPr>
          <w:rFonts w:ascii="Times New Roman" w:hAnsi="Times New Roman"/>
          <w:b/>
          <w:spacing w:val="-2"/>
          <w:sz w:val="16"/>
          <w:szCs w:val="16"/>
        </w:rPr>
        <w:t>erhöhten Bedeutung der richterlichen Vernehmung für das Strafverfahren</w:t>
      </w:r>
      <w:r w:rsidR="002F7FA4" w:rsidRPr="00B1649D">
        <w:rPr>
          <w:rFonts w:ascii="Times New Roman" w:hAnsi="Times New Roman"/>
          <w:spacing w:val="-2"/>
          <w:sz w:val="16"/>
          <w:szCs w:val="16"/>
        </w:rPr>
        <w:t>: Dies zeigt sich etwa in §</w:t>
      </w:r>
      <w:r w:rsidR="004864DA">
        <w:rPr>
          <w:rFonts w:ascii="Times New Roman" w:hAnsi="Times New Roman"/>
          <w:spacing w:val="-2"/>
          <w:sz w:val="16"/>
          <w:szCs w:val="16"/>
        </w:rPr>
        <w:t> </w:t>
      </w:r>
      <w:r w:rsidR="002F7FA4" w:rsidRPr="00B1649D">
        <w:rPr>
          <w:rFonts w:ascii="Times New Roman" w:hAnsi="Times New Roman"/>
          <w:spacing w:val="-2"/>
          <w:sz w:val="16"/>
          <w:szCs w:val="16"/>
        </w:rPr>
        <w:t>251 II StPO, der die Verlesung von Niederschriften über eine richterliche Vernehmung auch in Fällen zu</w:t>
      </w:r>
      <w:r w:rsidR="002F7FA4" w:rsidRPr="009D713B">
        <w:rPr>
          <w:rFonts w:ascii="Times New Roman" w:hAnsi="Times New Roman"/>
          <w:spacing w:val="-2"/>
          <w:sz w:val="16"/>
          <w:szCs w:val="16"/>
        </w:rPr>
        <w:t>lässt, in denen §§</w:t>
      </w:r>
      <w:r w:rsidR="002F7FA4" w:rsidRPr="00C016A2">
        <w:rPr>
          <w:rFonts w:ascii="Times New Roman" w:hAnsi="Times New Roman"/>
          <w:spacing w:val="-2"/>
          <w:sz w:val="16"/>
          <w:szCs w:val="16"/>
        </w:rPr>
        <w:t xml:space="preserve"> 250 S. 2, 251 I StPO dies bei sonstigen Vernehmungsprotokollen nicht erlauben. Gemäß</w:t>
      </w:r>
      <w:r w:rsidR="004044FD">
        <w:rPr>
          <w:rFonts w:ascii="Times New Roman" w:hAnsi="Times New Roman"/>
          <w:spacing w:val="-2"/>
          <w:sz w:val="16"/>
          <w:szCs w:val="16"/>
        </w:rPr>
        <w:t xml:space="preserve"> </w:t>
      </w:r>
      <w:r w:rsidR="002F7FA4" w:rsidRPr="00C016A2">
        <w:rPr>
          <w:rFonts w:ascii="Times New Roman" w:hAnsi="Times New Roman"/>
          <w:spacing w:val="-2"/>
          <w:sz w:val="16"/>
          <w:szCs w:val="16"/>
        </w:rPr>
        <w:t>§</w:t>
      </w:r>
      <w:r w:rsidR="004864DA">
        <w:rPr>
          <w:rFonts w:ascii="Times New Roman" w:hAnsi="Times New Roman"/>
          <w:spacing w:val="-2"/>
          <w:sz w:val="16"/>
          <w:szCs w:val="16"/>
        </w:rPr>
        <w:t> </w:t>
      </w:r>
      <w:r w:rsidR="002F7FA4" w:rsidRPr="00C016A2">
        <w:rPr>
          <w:rFonts w:ascii="Times New Roman" w:hAnsi="Times New Roman"/>
          <w:spacing w:val="-2"/>
          <w:sz w:val="16"/>
          <w:szCs w:val="16"/>
        </w:rPr>
        <w:t xml:space="preserve">168c II </w:t>
      </w:r>
      <w:r w:rsidR="006C54D8">
        <w:rPr>
          <w:rFonts w:ascii="Times New Roman" w:hAnsi="Times New Roman"/>
          <w:spacing w:val="-2"/>
          <w:sz w:val="16"/>
          <w:szCs w:val="16"/>
        </w:rPr>
        <w:t xml:space="preserve">1 </w:t>
      </w:r>
      <w:r w:rsidR="002F7FA4" w:rsidRPr="00C016A2">
        <w:rPr>
          <w:rFonts w:ascii="Times New Roman" w:hAnsi="Times New Roman"/>
          <w:spacing w:val="-2"/>
          <w:sz w:val="16"/>
          <w:szCs w:val="16"/>
        </w:rPr>
        <w:t xml:space="preserve">StPO ist bei der richterlichen Vernehmung eines Zeugen der </w:t>
      </w:r>
      <w:proofErr w:type="spellStart"/>
      <w:r w:rsidR="002F7FA4" w:rsidRPr="00C016A2">
        <w:rPr>
          <w:rFonts w:ascii="Times New Roman" w:hAnsi="Times New Roman"/>
          <w:spacing w:val="-2"/>
          <w:sz w:val="16"/>
          <w:szCs w:val="16"/>
        </w:rPr>
        <w:t>StA</w:t>
      </w:r>
      <w:proofErr w:type="spellEnd"/>
      <w:r w:rsidR="002F7FA4" w:rsidRPr="00C016A2">
        <w:rPr>
          <w:rFonts w:ascii="Times New Roman" w:hAnsi="Times New Roman"/>
          <w:spacing w:val="-2"/>
          <w:sz w:val="16"/>
          <w:szCs w:val="16"/>
        </w:rPr>
        <w:t>, dem Beschuldigten und dem Verteidiger die Anwesenheit gestattet; hieraus resultieren auch entsprechende Fragerechte</w:t>
      </w:r>
      <w:r w:rsidR="00882038">
        <w:rPr>
          <w:rFonts w:ascii="Times New Roman" w:hAnsi="Times New Roman"/>
          <w:spacing w:val="-2"/>
          <w:sz w:val="16"/>
          <w:szCs w:val="16"/>
        </w:rPr>
        <w:t>, §</w:t>
      </w:r>
      <w:r w:rsidR="004864DA">
        <w:rPr>
          <w:rFonts w:ascii="Times New Roman" w:hAnsi="Times New Roman"/>
          <w:spacing w:val="-2"/>
          <w:sz w:val="16"/>
          <w:szCs w:val="16"/>
        </w:rPr>
        <w:t> </w:t>
      </w:r>
      <w:r w:rsidR="00882038">
        <w:rPr>
          <w:rFonts w:ascii="Times New Roman" w:hAnsi="Times New Roman"/>
          <w:spacing w:val="-2"/>
          <w:sz w:val="16"/>
          <w:szCs w:val="16"/>
        </w:rPr>
        <w:t>168c II 2 StPO</w:t>
      </w:r>
      <w:r w:rsidR="002F7FA4" w:rsidRPr="00C016A2">
        <w:rPr>
          <w:rFonts w:ascii="Times New Roman" w:hAnsi="Times New Roman"/>
          <w:spacing w:val="-2"/>
          <w:sz w:val="16"/>
          <w:szCs w:val="16"/>
        </w:rPr>
        <w:t>. Eine entsprechende Regelung für nichtrichterliche Vernehmungen besteht nicht. Ferner ist nur ein Richter befugt, eine eidliche Vernehmung vorzunehmen (§</w:t>
      </w:r>
      <w:r w:rsidR="004864DA">
        <w:rPr>
          <w:rFonts w:ascii="Times New Roman" w:hAnsi="Times New Roman"/>
          <w:spacing w:val="-2"/>
          <w:sz w:val="16"/>
          <w:szCs w:val="16"/>
        </w:rPr>
        <w:t> </w:t>
      </w:r>
      <w:r w:rsidR="002F7FA4" w:rsidRPr="00C016A2">
        <w:rPr>
          <w:rFonts w:ascii="Times New Roman" w:hAnsi="Times New Roman"/>
          <w:spacing w:val="-2"/>
          <w:sz w:val="16"/>
          <w:szCs w:val="16"/>
        </w:rPr>
        <w:t xml:space="preserve">161a I 3 StPO). </w:t>
      </w:r>
      <w:r w:rsidR="002F7FA4" w:rsidRPr="00F17471">
        <w:rPr>
          <w:rFonts w:ascii="Times New Roman" w:hAnsi="Times New Roman"/>
          <w:spacing w:val="-2"/>
          <w:sz w:val="16"/>
          <w:szCs w:val="16"/>
        </w:rPr>
        <w:t>Daher kann sich ein Zeuge wegen falscher une</w:t>
      </w:r>
      <w:r w:rsidR="002F7FA4" w:rsidRPr="0077501C">
        <w:rPr>
          <w:rFonts w:ascii="Times New Roman" w:hAnsi="Times New Roman"/>
          <w:spacing w:val="-2"/>
          <w:sz w:val="16"/>
          <w:szCs w:val="16"/>
        </w:rPr>
        <w:t>idlicher Aussage (§</w:t>
      </w:r>
      <w:r w:rsidR="004864DA">
        <w:rPr>
          <w:rFonts w:ascii="Times New Roman" w:hAnsi="Times New Roman"/>
          <w:spacing w:val="-2"/>
          <w:sz w:val="16"/>
          <w:szCs w:val="16"/>
        </w:rPr>
        <w:t> </w:t>
      </w:r>
      <w:r w:rsidR="002F7FA4" w:rsidRPr="0077501C">
        <w:rPr>
          <w:rFonts w:ascii="Times New Roman" w:hAnsi="Times New Roman"/>
          <w:spacing w:val="-2"/>
          <w:sz w:val="16"/>
          <w:szCs w:val="16"/>
        </w:rPr>
        <w:t>153 StGB) oder Meineids (§</w:t>
      </w:r>
      <w:r w:rsidR="004864DA">
        <w:rPr>
          <w:rFonts w:ascii="Times New Roman" w:hAnsi="Times New Roman"/>
          <w:spacing w:val="-2"/>
          <w:sz w:val="16"/>
          <w:szCs w:val="16"/>
        </w:rPr>
        <w:t> </w:t>
      </w:r>
      <w:r w:rsidR="002F7FA4" w:rsidRPr="0077501C">
        <w:rPr>
          <w:rFonts w:ascii="Times New Roman" w:hAnsi="Times New Roman"/>
          <w:spacing w:val="-2"/>
          <w:sz w:val="16"/>
          <w:szCs w:val="16"/>
        </w:rPr>
        <w:t xml:space="preserve">154 StGB) nur strafbar machen, wenn er von einem Richter, nicht aber wenn er von einem Polizeibeamten oder </w:t>
      </w:r>
      <w:proofErr w:type="spellStart"/>
      <w:r w:rsidR="007E2DAF" w:rsidRPr="00D54F1F">
        <w:rPr>
          <w:rFonts w:ascii="Times New Roman" w:hAnsi="Times New Roman"/>
          <w:spacing w:val="-2"/>
          <w:sz w:val="16"/>
          <w:szCs w:val="16"/>
        </w:rPr>
        <w:t>StA</w:t>
      </w:r>
      <w:proofErr w:type="spellEnd"/>
      <w:r w:rsidR="002F7FA4" w:rsidRPr="00D54F1F">
        <w:rPr>
          <w:rFonts w:ascii="Times New Roman" w:hAnsi="Times New Roman"/>
          <w:spacing w:val="-2"/>
          <w:sz w:val="16"/>
          <w:szCs w:val="16"/>
        </w:rPr>
        <w:t xml:space="preserve"> vernommen wird. </w:t>
      </w:r>
      <w:r w:rsidR="00E45628" w:rsidRPr="00D54F1F">
        <w:rPr>
          <w:rFonts w:ascii="Times New Roman" w:hAnsi="Times New Roman"/>
          <w:spacing w:val="-2"/>
          <w:sz w:val="16"/>
          <w:szCs w:val="16"/>
        </w:rPr>
        <w:t>Weitergehend e</w:t>
      </w:r>
      <w:r w:rsidR="00E45628" w:rsidRPr="004B6E6B">
        <w:rPr>
          <w:rFonts w:ascii="Times New Roman" w:hAnsi="Times New Roman"/>
          <w:spacing w:val="-2"/>
          <w:sz w:val="16"/>
          <w:szCs w:val="16"/>
        </w:rPr>
        <w:t>rlaubt der BGH auch eine Verwertung früherer Aussagen, wenn der verweigerungsberechtigte Zeuge nach ausdrücklicher, qualifizierter Belehrung mitteilt, er mache von seinem Zeugnisverweigerungsrecht Gebrauch, gestatte jedoch die Ve</w:t>
      </w:r>
      <w:r w:rsidR="00C27D38" w:rsidRPr="004B6E6B">
        <w:rPr>
          <w:rFonts w:ascii="Times New Roman" w:hAnsi="Times New Roman"/>
          <w:spacing w:val="-2"/>
          <w:sz w:val="16"/>
          <w:szCs w:val="16"/>
        </w:rPr>
        <w:t xml:space="preserve">rwertung </w:t>
      </w:r>
      <w:r w:rsidR="0038613F">
        <w:rPr>
          <w:rFonts w:ascii="Times New Roman" w:hAnsi="Times New Roman"/>
          <w:spacing w:val="-2"/>
          <w:sz w:val="16"/>
          <w:szCs w:val="16"/>
        </w:rPr>
        <w:t>der</w:t>
      </w:r>
      <w:r w:rsidR="0038613F" w:rsidRPr="004B6E6B">
        <w:rPr>
          <w:rFonts w:ascii="Times New Roman" w:hAnsi="Times New Roman"/>
          <w:spacing w:val="-2"/>
          <w:sz w:val="16"/>
          <w:szCs w:val="16"/>
        </w:rPr>
        <w:t xml:space="preserve"> </w:t>
      </w:r>
      <w:r w:rsidR="00C27D38" w:rsidRPr="004B6E6B">
        <w:rPr>
          <w:rFonts w:ascii="Times New Roman" w:hAnsi="Times New Roman"/>
          <w:spacing w:val="-2"/>
          <w:sz w:val="16"/>
          <w:szCs w:val="16"/>
        </w:rPr>
        <w:t>früheren Aussage (</w:t>
      </w:r>
      <w:r w:rsidR="00363514" w:rsidRPr="004B6E6B">
        <w:rPr>
          <w:rFonts w:ascii="Times New Roman" w:hAnsi="Times New Roman"/>
          <w:spacing w:val="-2"/>
          <w:sz w:val="16"/>
          <w:szCs w:val="16"/>
        </w:rPr>
        <w:t xml:space="preserve">sog. </w:t>
      </w:r>
      <w:r w:rsidR="00C27D38" w:rsidRPr="004B6E6B">
        <w:rPr>
          <w:rFonts w:ascii="Times New Roman" w:hAnsi="Times New Roman"/>
          <w:spacing w:val="-2"/>
          <w:sz w:val="16"/>
          <w:szCs w:val="16"/>
        </w:rPr>
        <w:t>„Freigabeerklärung“).</w:t>
      </w:r>
      <w:r w:rsidR="004C7EE9" w:rsidRPr="00015121">
        <w:rPr>
          <w:rFonts w:ascii="Times New Roman" w:hAnsi="Times New Roman"/>
          <w:spacing w:val="-2"/>
          <w:sz w:val="16"/>
          <w:szCs w:val="16"/>
        </w:rPr>
        <w:t xml:space="preserve"> </w:t>
      </w:r>
      <w:r w:rsidR="00B708C8">
        <w:rPr>
          <w:rFonts w:ascii="Times New Roman" w:hAnsi="Times New Roman"/>
          <w:spacing w:val="-2"/>
          <w:sz w:val="16"/>
          <w:szCs w:val="16"/>
        </w:rPr>
        <w:t xml:space="preserve">Nach dem </w:t>
      </w:r>
      <w:r w:rsidR="004864DA">
        <w:rPr>
          <w:rFonts w:ascii="Times New Roman" w:hAnsi="Times New Roman"/>
          <w:spacing w:val="-2"/>
          <w:sz w:val="16"/>
          <w:szCs w:val="16"/>
        </w:rPr>
        <w:t xml:space="preserve">BGH </w:t>
      </w:r>
      <w:r w:rsidR="00B708C8">
        <w:rPr>
          <w:rFonts w:ascii="Times New Roman" w:hAnsi="Times New Roman"/>
          <w:spacing w:val="-2"/>
          <w:sz w:val="16"/>
          <w:szCs w:val="16"/>
        </w:rPr>
        <w:t>kann</w:t>
      </w:r>
      <w:r w:rsidR="004864DA">
        <w:rPr>
          <w:rFonts w:ascii="Times New Roman" w:hAnsi="Times New Roman"/>
          <w:spacing w:val="-2"/>
          <w:sz w:val="16"/>
          <w:szCs w:val="16"/>
        </w:rPr>
        <w:t xml:space="preserve"> diese Freigabeerklärung nicht auf einzelne Vernehmungen beschränkt werden (BGH NStZ 2024, 173). Die Freigabeerklärung ist</w:t>
      </w:r>
      <w:r w:rsidR="004C7EE9" w:rsidRPr="00015121">
        <w:rPr>
          <w:rFonts w:ascii="Times New Roman" w:hAnsi="Times New Roman"/>
          <w:spacing w:val="-2"/>
          <w:sz w:val="16"/>
          <w:szCs w:val="16"/>
        </w:rPr>
        <w:t xml:space="preserve"> eine wesentliche Förmlichkeit, die nach §</w:t>
      </w:r>
      <w:r w:rsidR="004864DA">
        <w:rPr>
          <w:rFonts w:ascii="Times New Roman" w:hAnsi="Times New Roman"/>
          <w:spacing w:val="-2"/>
          <w:sz w:val="16"/>
          <w:szCs w:val="16"/>
        </w:rPr>
        <w:t> </w:t>
      </w:r>
      <w:r w:rsidR="004C7EE9" w:rsidRPr="00015121">
        <w:rPr>
          <w:rFonts w:ascii="Times New Roman" w:hAnsi="Times New Roman"/>
          <w:spacing w:val="-2"/>
          <w:sz w:val="16"/>
          <w:szCs w:val="16"/>
        </w:rPr>
        <w:t xml:space="preserve">273 I StPO protokollieren </w:t>
      </w:r>
      <w:r w:rsidR="004864DA">
        <w:rPr>
          <w:rFonts w:ascii="Times New Roman" w:hAnsi="Times New Roman"/>
          <w:spacing w:val="-2"/>
          <w:sz w:val="16"/>
          <w:szCs w:val="16"/>
        </w:rPr>
        <w:t>werden muss</w:t>
      </w:r>
      <w:r w:rsidR="004C7EE9" w:rsidRPr="00015121">
        <w:rPr>
          <w:rFonts w:ascii="Times New Roman" w:hAnsi="Times New Roman"/>
          <w:spacing w:val="-2"/>
          <w:sz w:val="16"/>
          <w:szCs w:val="16"/>
        </w:rPr>
        <w:t>.</w:t>
      </w:r>
      <w:r w:rsidR="00501B24" w:rsidRPr="00015121">
        <w:rPr>
          <w:rFonts w:ascii="Times New Roman" w:hAnsi="Times New Roman"/>
          <w:spacing w:val="-2"/>
          <w:sz w:val="16"/>
          <w:szCs w:val="16"/>
        </w:rPr>
        <w:t xml:space="preserve"> </w:t>
      </w:r>
      <w:r w:rsidR="00E45628" w:rsidRPr="00015121">
        <w:rPr>
          <w:rFonts w:ascii="Times New Roman" w:hAnsi="Times New Roman"/>
          <w:spacing w:val="-2"/>
          <w:sz w:val="16"/>
          <w:szCs w:val="16"/>
        </w:rPr>
        <w:t>I</w:t>
      </w:r>
      <w:r w:rsidR="0038613F">
        <w:rPr>
          <w:rFonts w:ascii="Times New Roman" w:hAnsi="Times New Roman"/>
          <w:spacing w:val="-2"/>
          <w:sz w:val="16"/>
          <w:szCs w:val="16"/>
        </w:rPr>
        <w:t>.</w:t>
      </w:r>
      <w:r w:rsidR="00E45628" w:rsidRPr="00015121">
        <w:rPr>
          <w:rFonts w:ascii="Times New Roman" w:hAnsi="Times New Roman"/>
          <w:spacing w:val="-2"/>
          <w:sz w:val="16"/>
          <w:szCs w:val="16"/>
        </w:rPr>
        <w:t xml:space="preserve"> Ü</w:t>
      </w:r>
      <w:r w:rsidR="0038613F">
        <w:rPr>
          <w:rFonts w:ascii="Times New Roman" w:hAnsi="Times New Roman"/>
          <w:spacing w:val="-2"/>
          <w:sz w:val="16"/>
          <w:szCs w:val="16"/>
        </w:rPr>
        <w:t>.</w:t>
      </w:r>
      <w:r w:rsidR="00E45628" w:rsidRPr="00015121">
        <w:rPr>
          <w:rFonts w:ascii="Times New Roman" w:hAnsi="Times New Roman"/>
          <w:spacing w:val="-2"/>
          <w:sz w:val="16"/>
          <w:szCs w:val="16"/>
        </w:rPr>
        <w:t xml:space="preserve"> besteht das Verwertungsverbot auch bei vernehmungsähnlichen Situationen, </w:t>
      </w:r>
      <w:r w:rsidR="00E45628" w:rsidRPr="00015121">
        <w:rPr>
          <w:rFonts w:ascii="Times New Roman" w:hAnsi="Times New Roman"/>
          <w:b/>
          <w:spacing w:val="-2"/>
          <w:sz w:val="16"/>
          <w:szCs w:val="16"/>
        </w:rPr>
        <w:t xml:space="preserve">nicht </w:t>
      </w:r>
      <w:r w:rsidR="00E45628" w:rsidRPr="00015121">
        <w:rPr>
          <w:rFonts w:ascii="Times New Roman" w:hAnsi="Times New Roman"/>
          <w:spacing w:val="-2"/>
          <w:sz w:val="16"/>
          <w:szCs w:val="16"/>
        </w:rPr>
        <w:t xml:space="preserve">aber bei </w:t>
      </w:r>
      <w:r w:rsidR="00E45628" w:rsidRPr="00015121">
        <w:rPr>
          <w:rFonts w:ascii="Times New Roman" w:hAnsi="Times New Roman"/>
          <w:b/>
          <w:spacing w:val="-2"/>
          <w:sz w:val="16"/>
          <w:szCs w:val="16"/>
        </w:rPr>
        <w:t>Spontanäußerungen</w:t>
      </w:r>
      <w:r w:rsidR="00E45628" w:rsidRPr="00FF6044">
        <w:rPr>
          <w:rFonts w:ascii="Times New Roman" w:hAnsi="Times New Roman"/>
          <w:spacing w:val="-2"/>
          <w:sz w:val="16"/>
          <w:szCs w:val="16"/>
        </w:rPr>
        <w:t>.</w:t>
      </w:r>
    </w:p>
    <w:p w14:paraId="7CA54DF5" w14:textId="46799A60" w:rsidR="003F007D" w:rsidRPr="00015121" w:rsidRDefault="003F007D" w:rsidP="00671C56">
      <w:pPr>
        <w:widowControl/>
        <w:tabs>
          <w:tab w:val="left" w:pos="-720"/>
          <w:tab w:val="left" w:pos="567"/>
          <w:tab w:val="left" w:pos="851"/>
          <w:tab w:val="left" w:pos="1116"/>
          <w:tab w:val="left" w:pos="1404"/>
          <w:tab w:val="left" w:pos="1692"/>
          <w:tab w:val="left" w:pos="1980"/>
          <w:tab w:val="left" w:pos="2268"/>
          <w:tab w:val="left" w:pos="2880"/>
        </w:tabs>
        <w:spacing w:line="160" w:lineRule="exact"/>
        <w:ind w:left="567" w:right="-6" w:hanging="283"/>
        <w:jc w:val="both"/>
        <w:rPr>
          <w:rFonts w:ascii="Times New Roman" w:hAnsi="Times New Roman"/>
          <w:spacing w:val="-2"/>
          <w:sz w:val="16"/>
          <w:szCs w:val="16"/>
        </w:rPr>
      </w:pPr>
      <w:r w:rsidRPr="004B6E6B">
        <w:rPr>
          <w:rFonts w:ascii="Times New Roman" w:hAnsi="Times New Roman"/>
          <w:spacing w:val="-2"/>
          <w:sz w:val="16"/>
          <w:szCs w:val="16"/>
          <w:u w:val="single"/>
        </w:rPr>
        <w:t xml:space="preserve">2. </w:t>
      </w:r>
      <w:r w:rsidRPr="004B6E6B">
        <w:rPr>
          <w:rFonts w:ascii="Times New Roman" w:hAnsi="Times New Roman"/>
          <w:spacing w:val="-2"/>
          <w:sz w:val="16"/>
          <w:szCs w:val="16"/>
          <w:u w:val="single"/>
        </w:rPr>
        <w:tab/>
      </w:r>
      <w:r w:rsidR="00363514" w:rsidRPr="004B6E6B">
        <w:rPr>
          <w:rFonts w:ascii="Times New Roman" w:hAnsi="Times New Roman"/>
          <w:spacing w:val="-2"/>
          <w:sz w:val="16"/>
          <w:szCs w:val="16"/>
          <w:u w:val="single"/>
        </w:rPr>
        <w:t xml:space="preserve">Aussageverweigerungsrechte </w:t>
      </w:r>
      <w:r w:rsidRPr="004B6E6B">
        <w:rPr>
          <w:rFonts w:ascii="Times New Roman" w:hAnsi="Times New Roman"/>
          <w:spacing w:val="-2"/>
          <w:sz w:val="16"/>
          <w:szCs w:val="16"/>
          <w:u w:val="single"/>
        </w:rPr>
        <w:t>nach § 55 StPO:</w:t>
      </w:r>
      <w:r w:rsidRPr="004B6E6B">
        <w:rPr>
          <w:rFonts w:ascii="Times New Roman" w:hAnsi="Times New Roman"/>
          <w:spacing w:val="-2"/>
          <w:sz w:val="16"/>
          <w:szCs w:val="16"/>
        </w:rPr>
        <w:t xml:space="preserve"> Fraglich ist zudem, ob § 252 StPO auch im Falle der </w:t>
      </w:r>
      <w:r w:rsidR="00363514" w:rsidRPr="004B6E6B">
        <w:rPr>
          <w:rFonts w:ascii="Times New Roman" w:hAnsi="Times New Roman"/>
          <w:spacing w:val="-2"/>
          <w:sz w:val="16"/>
          <w:szCs w:val="16"/>
        </w:rPr>
        <w:t xml:space="preserve">Aussageverweigerung </w:t>
      </w:r>
      <w:r w:rsidRPr="004B6E6B">
        <w:rPr>
          <w:rFonts w:ascii="Times New Roman" w:hAnsi="Times New Roman"/>
          <w:spacing w:val="-2"/>
          <w:sz w:val="16"/>
          <w:szCs w:val="16"/>
        </w:rPr>
        <w:t xml:space="preserve">gemäß § 55 StPO in der Hauptverhandlung gilt. Die </w:t>
      </w:r>
      <w:proofErr w:type="spellStart"/>
      <w:r w:rsidR="0042556F">
        <w:rPr>
          <w:rFonts w:ascii="Times New Roman" w:hAnsi="Times New Roman"/>
          <w:spacing w:val="-2"/>
          <w:sz w:val="16"/>
          <w:szCs w:val="16"/>
        </w:rPr>
        <w:t>Rspr</w:t>
      </w:r>
      <w:proofErr w:type="spellEnd"/>
      <w:r w:rsidR="0042556F">
        <w:rPr>
          <w:rFonts w:ascii="Times New Roman" w:hAnsi="Times New Roman"/>
          <w:spacing w:val="-2"/>
          <w:sz w:val="16"/>
          <w:szCs w:val="16"/>
        </w:rPr>
        <w:t>.</w:t>
      </w:r>
      <w:r w:rsidR="0042556F" w:rsidRPr="004B6E6B">
        <w:rPr>
          <w:rFonts w:ascii="Times New Roman" w:hAnsi="Times New Roman"/>
          <w:spacing w:val="-2"/>
          <w:sz w:val="16"/>
          <w:szCs w:val="16"/>
        </w:rPr>
        <w:t xml:space="preserve"> </w:t>
      </w:r>
      <w:r w:rsidRPr="004B6E6B">
        <w:rPr>
          <w:rFonts w:ascii="Times New Roman" w:hAnsi="Times New Roman"/>
          <w:spacing w:val="-2"/>
          <w:sz w:val="16"/>
          <w:szCs w:val="16"/>
        </w:rPr>
        <w:t xml:space="preserve">lehnt dies ab. Denn einerseits bezieht sich § 252 StPO seinem Wortlaut nach nur auf die </w:t>
      </w:r>
      <w:r w:rsidRPr="004B6E6B">
        <w:rPr>
          <w:rFonts w:ascii="Times New Roman" w:hAnsi="Times New Roman"/>
          <w:b/>
          <w:spacing w:val="-2"/>
          <w:sz w:val="16"/>
          <w:szCs w:val="16"/>
        </w:rPr>
        <w:t>Zeugnis</w:t>
      </w:r>
      <w:r w:rsidRPr="004B6E6B">
        <w:rPr>
          <w:rFonts w:ascii="Times New Roman" w:hAnsi="Times New Roman"/>
          <w:spacing w:val="-2"/>
          <w:sz w:val="16"/>
          <w:szCs w:val="16"/>
        </w:rPr>
        <w:t>verweigerungsrechte und andererseits schützt § 55 StPO nur den Zeugen selbst, nicht aber den Beschuldigten. Hat der Zeuge nach ordnungsgemäßer Belehrung ausge</w:t>
      </w:r>
      <w:r w:rsidRPr="00015121">
        <w:rPr>
          <w:rFonts w:ascii="Times New Roman" w:hAnsi="Times New Roman"/>
          <w:spacing w:val="-2"/>
          <w:sz w:val="16"/>
          <w:szCs w:val="16"/>
        </w:rPr>
        <w:t xml:space="preserve">sagt, so hat er auf dieses Schutzrecht verzichtet (sehr </w:t>
      </w:r>
      <w:proofErr w:type="spellStart"/>
      <w:r w:rsidRPr="00015121">
        <w:rPr>
          <w:rFonts w:ascii="Times New Roman" w:hAnsi="Times New Roman"/>
          <w:spacing w:val="-2"/>
          <w:sz w:val="16"/>
          <w:szCs w:val="16"/>
        </w:rPr>
        <w:t>str.</w:t>
      </w:r>
      <w:proofErr w:type="spellEnd"/>
      <w:r w:rsidRPr="00015121">
        <w:rPr>
          <w:rFonts w:ascii="Times New Roman" w:hAnsi="Times New Roman"/>
          <w:spacing w:val="-2"/>
          <w:sz w:val="16"/>
          <w:szCs w:val="16"/>
        </w:rPr>
        <w:t>).</w:t>
      </w:r>
    </w:p>
    <w:p w14:paraId="6CACA03E" w14:textId="3BB05547" w:rsidR="003F007D" w:rsidRPr="00CA0608" w:rsidRDefault="003F007D" w:rsidP="00671C56">
      <w:pPr>
        <w:widowControl/>
        <w:tabs>
          <w:tab w:val="left" w:pos="-720"/>
          <w:tab w:val="left" w:pos="284"/>
          <w:tab w:val="left" w:pos="567"/>
          <w:tab w:val="left" w:pos="851"/>
          <w:tab w:val="left" w:pos="1116"/>
          <w:tab w:val="left" w:pos="1404"/>
          <w:tab w:val="left" w:pos="1692"/>
          <w:tab w:val="left" w:pos="1980"/>
          <w:tab w:val="left" w:pos="2268"/>
          <w:tab w:val="left" w:pos="2880"/>
        </w:tabs>
        <w:spacing w:before="120" w:line="160" w:lineRule="exact"/>
        <w:ind w:left="284" w:right="-6" w:hanging="284"/>
        <w:jc w:val="both"/>
        <w:rPr>
          <w:rFonts w:ascii="Times New Roman" w:hAnsi="Times New Roman"/>
          <w:spacing w:val="-2"/>
          <w:sz w:val="16"/>
          <w:szCs w:val="16"/>
        </w:rPr>
      </w:pPr>
      <w:r w:rsidRPr="00015121">
        <w:rPr>
          <w:rFonts w:ascii="Times New Roman" w:hAnsi="Times New Roman"/>
          <w:b/>
          <w:spacing w:val="-2"/>
          <w:sz w:val="16"/>
          <w:szCs w:val="16"/>
        </w:rPr>
        <w:t>IV.</w:t>
      </w:r>
      <w:r w:rsidRPr="00015121">
        <w:rPr>
          <w:rFonts w:ascii="Times New Roman" w:hAnsi="Times New Roman"/>
          <w:b/>
          <w:spacing w:val="-2"/>
          <w:sz w:val="16"/>
          <w:szCs w:val="16"/>
        </w:rPr>
        <w:tab/>
        <w:t>Beweisverwertungsverbot bei unterbliebener Belehrung über das Zeugnis- oder Aussageverweigerungsrecht:</w:t>
      </w:r>
      <w:r w:rsidRPr="00015121">
        <w:rPr>
          <w:rFonts w:ascii="Times New Roman" w:hAnsi="Times New Roman"/>
          <w:spacing w:val="-2"/>
          <w:sz w:val="16"/>
          <w:szCs w:val="16"/>
        </w:rPr>
        <w:t xml:space="preserve"> Zeugen sind gemäß § 52 III 1 StPO über ihr Re</w:t>
      </w:r>
      <w:r w:rsidRPr="00FF6044">
        <w:rPr>
          <w:rFonts w:ascii="Times New Roman" w:hAnsi="Times New Roman"/>
          <w:spacing w:val="-2"/>
          <w:sz w:val="16"/>
          <w:szCs w:val="16"/>
        </w:rPr>
        <w:t xml:space="preserve">cht, die Aussage oder ihr Zeugnis zu verweigern, zu </w:t>
      </w:r>
      <w:r w:rsidRPr="00FF6044">
        <w:rPr>
          <w:rFonts w:ascii="Times New Roman" w:hAnsi="Times New Roman"/>
          <w:b/>
          <w:spacing w:val="-2"/>
          <w:sz w:val="16"/>
          <w:szCs w:val="16"/>
        </w:rPr>
        <w:t>belehren</w:t>
      </w:r>
      <w:r w:rsidRPr="00FF6044">
        <w:rPr>
          <w:rFonts w:ascii="Times New Roman" w:hAnsi="Times New Roman"/>
          <w:spacing w:val="-2"/>
          <w:sz w:val="16"/>
          <w:szCs w:val="16"/>
        </w:rPr>
        <w:t>. Unterbleibt eine solche Belehrung und sagt der Zeuge aus, obgleich er die Aussage hätte verweigern können, so ist fraglich, ob die Aussage trotz dieses Verfahrensfehlers verwertet werden kann. D</w:t>
      </w:r>
      <w:r w:rsidRPr="00CA0608">
        <w:rPr>
          <w:rFonts w:ascii="Times New Roman" w:hAnsi="Times New Roman"/>
          <w:spacing w:val="-2"/>
          <w:sz w:val="16"/>
          <w:szCs w:val="16"/>
        </w:rPr>
        <w:t>a ein ausdrückliches Beweisverwertungsverbot nicht normiert ist, richtet sich die Beurteilung hier nach den in Rechtsprechung und Literatur entwickelten Theorien (vgl. Arbeitsblatt Nr. 26).</w:t>
      </w:r>
    </w:p>
    <w:p w14:paraId="358C6E9F" w14:textId="76C447C7" w:rsidR="003F007D" w:rsidRPr="0058721F" w:rsidRDefault="003F007D" w:rsidP="00671C56">
      <w:pPr>
        <w:widowControl/>
        <w:tabs>
          <w:tab w:val="left" w:pos="-720"/>
          <w:tab w:val="left" w:pos="567"/>
          <w:tab w:val="left" w:pos="851"/>
          <w:tab w:val="left" w:pos="1116"/>
          <w:tab w:val="left" w:pos="1404"/>
          <w:tab w:val="left" w:pos="1692"/>
          <w:tab w:val="left" w:pos="1980"/>
          <w:tab w:val="left" w:pos="2268"/>
          <w:tab w:val="left" w:pos="2880"/>
        </w:tabs>
        <w:spacing w:line="160" w:lineRule="exact"/>
        <w:ind w:left="567" w:right="-6" w:hanging="283"/>
        <w:jc w:val="both"/>
        <w:rPr>
          <w:rFonts w:ascii="Times New Roman" w:hAnsi="Times New Roman"/>
          <w:spacing w:val="-2"/>
          <w:sz w:val="16"/>
          <w:szCs w:val="16"/>
        </w:rPr>
      </w:pPr>
      <w:r w:rsidRPr="00CA0608">
        <w:rPr>
          <w:rFonts w:ascii="Times New Roman" w:hAnsi="Times New Roman"/>
          <w:spacing w:val="-2"/>
          <w:sz w:val="16"/>
          <w:szCs w:val="16"/>
          <w:u w:val="single"/>
        </w:rPr>
        <w:t xml:space="preserve">1. </w:t>
      </w:r>
      <w:r w:rsidR="00EC1146" w:rsidRPr="0058721F">
        <w:rPr>
          <w:rFonts w:ascii="Times New Roman" w:hAnsi="Times New Roman"/>
          <w:spacing w:val="-2"/>
          <w:sz w:val="16"/>
          <w:szCs w:val="16"/>
          <w:u w:val="single"/>
        </w:rPr>
        <w:tab/>
      </w:r>
      <w:r w:rsidRPr="0058721F">
        <w:rPr>
          <w:rFonts w:ascii="Times New Roman" w:hAnsi="Times New Roman"/>
          <w:spacing w:val="-2"/>
          <w:sz w:val="16"/>
          <w:szCs w:val="16"/>
          <w:u w:val="single"/>
        </w:rPr>
        <w:t>Unterbliebene Belehrung über Zeugnisverweigerungsrecht</w:t>
      </w:r>
      <w:r w:rsidRPr="0058721F">
        <w:rPr>
          <w:rFonts w:ascii="Times New Roman" w:hAnsi="Times New Roman"/>
          <w:spacing w:val="-2"/>
          <w:sz w:val="16"/>
          <w:szCs w:val="16"/>
        </w:rPr>
        <w:t xml:space="preserve">: </w:t>
      </w:r>
      <w:r w:rsidR="0048579A" w:rsidRPr="0058721F">
        <w:rPr>
          <w:rFonts w:ascii="Times New Roman" w:hAnsi="Times New Roman"/>
          <w:spacing w:val="-2"/>
          <w:sz w:val="16"/>
          <w:szCs w:val="16"/>
        </w:rPr>
        <w:t>Die erste</w:t>
      </w:r>
      <w:r w:rsidRPr="0058721F">
        <w:rPr>
          <w:rFonts w:ascii="Times New Roman" w:hAnsi="Times New Roman"/>
          <w:spacing w:val="-2"/>
          <w:sz w:val="16"/>
          <w:szCs w:val="16"/>
        </w:rPr>
        <w:t xml:space="preserve"> Fallgruppe ist die unterbliebene Belehrung gemäß </w:t>
      </w:r>
      <w:r w:rsidRPr="0058721F">
        <w:rPr>
          <w:rFonts w:ascii="Times New Roman" w:hAnsi="Times New Roman"/>
          <w:b/>
          <w:spacing w:val="-2"/>
          <w:sz w:val="16"/>
          <w:szCs w:val="16"/>
        </w:rPr>
        <w:t>§ 52 III StPO</w:t>
      </w:r>
      <w:r w:rsidRPr="0058721F">
        <w:rPr>
          <w:rFonts w:ascii="Times New Roman" w:hAnsi="Times New Roman"/>
          <w:spacing w:val="-2"/>
          <w:sz w:val="16"/>
          <w:szCs w:val="16"/>
        </w:rPr>
        <w:t xml:space="preserve"> über die Zeugnisverweigerungsrechte aus § 52 I StPO im Hinblick auf Angehörige des Beschuldigten (vgl. dazu gesondertes Arbeitsblatt Nr. 25). Wurde ein Zeuge nicht über sein umfassendes Recht </w:t>
      </w:r>
      <w:r w:rsidRPr="00882038">
        <w:rPr>
          <w:rFonts w:ascii="Times New Roman" w:hAnsi="Times New Roman"/>
          <w:spacing w:val="-2"/>
          <w:sz w:val="16"/>
          <w:szCs w:val="16"/>
        </w:rPr>
        <w:t xml:space="preserve">zu schweigen </w:t>
      </w:r>
      <w:r w:rsidRPr="001109AC">
        <w:rPr>
          <w:rFonts w:ascii="Times New Roman" w:hAnsi="Times New Roman"/>
          <w:spacing w:val="-2"/>
          <w:sz w:val="16"/>
          <w:szCs w:val="16"/>
        </w:rPr>
        <w:t xml:space="preserve">belehrt, so war die Vernehmung </w:t>
      </w:r>
      <w:r w:rsidRPr="001109AC">
        <w:rPr>
          <w:rFonts w:ascii="Times New Roman" w:hAnsi="Times New Roman"/>
          <w:b/>
          <w:spacing w:val="-2"/>
          <w:sz w:val="16"/>
          <w:szCs w:val="16"/>
        </w:rPr>
        <w:t>fehlerhaft</w:t>
      </w:r>
      <w:r w:rsidRPr="001109AC">
        <w:rPr>
          <w:rFonts w:ascii="Times New Roman" w:hAnsi="Times New Roman"/>
          <w:spacing w:val="-2"/>
          <w:sz w:val="16"/>
          <w:szCs w:val="16"/>
        </w:rPr>
        <w:t xml:space="preserve">. Auch </w:t>
      </w:r>
      <w:r w:rsidR="004044FD">
        <w:rPr>
          <w:rFonts w:ascii="Times New Roman" w:hAnsi="Times New Roman"/>
          <w:spacing w:val="-2"/>
          <w:sz w:val="16"/>
          <w:szCs w:val="16"/>
        </w:rPr>
        <w:t xml:space="preserve">besteht </w:t>
      </w:r>
      <w:proofErr w:type="spellStart"/>
      <w:r w:rsidR="004044FD">
        <w:rPr>
          <w:rFonts w:ascii="Times New Roman" w:hAnsi="Times New Roman"/>
          <w:spacing w:val="-2"/>
          <w:sz w:val="16"/>
          <w:szCs w:val="16"/>
        </w:rPr>
        <w:t>i.E.</w:t>
      </w:r>
      <w:proofErr w:type="spellEnd"/>
      <w:r w:rsidRPr="001109AC">
        <w:rPr>
          <w:rFonts w:ascii="Times New Roman" w:hAnsi="Times New Roman"/>
          <w:spacing w:val="-2"/>
          <w:sz w:val="16"/>
          <w:szCs w:val="16"/>
        </w:rPr>
        <w:t xml:space="preserve"> ein </w:t>
      </w:r>
      <w:r w:rsidRPr="001109AC">
        <w:rPr>
          <w:rFonts w:ascii="Times New Roman" w:hAnsi="Times New Roman"/>
          <w:b/>
          <w:spacing w:val="-2"/>
          <w:sz w:val="16"/>
          <w:szCs w:val="16"/>
        </w:rPr>
        <w:t>Verwertungsverbot</w:t>
      </w:r>
      <w:r w:rsidRPr="001109AC">
        <w:rPr>
          <w:rFonts w:ascii="Times New Roman" w:hAnsi="Times New Roman"/>
          <w:spacing w:val="-2"/>
          <w:sz w:val="16"/>
          <w:szCs w:val="16"/>
        </w:rPr>
        <w:t xml:space="preserve">. Der Schutzbereich der Norm, Rücksicht auf den Familienfrieden zu nehmen, bezieht den Beschuldigten mit ein, betrifft folglich seinen </w:t>
      </w:r>
      <w:r w:rsidRPr="00FE0F0C">
        <w:rPr>
          <w:rFonts w:ascii="Times New Roman" w:hAnsi="Times New Roman"/>
          <w:b/>
          <w:spacing w:val="-2"/>
          <w:sz w:val="16"/>
          <w:szCs w:val="16"/>
        </w:rPr>
        <w:t>Rechtskreis</w:t>
      </w:r>
      <w:r w:rsidRPr="00FE0F0C">
        <w:rPr>
          <w:rFonts w:ascii="Times New Roman" w:hAnsi="Times New Roman"/>
          <w:spacing w:val="-2"/>
          <w:sz w:val="16"/>
          <w:szCs w:val="16"/>
        </w:rPr>
        <w:t xml:space="preserve"> und ist ferner ein bedeutendes, auch grundrechtlich</w:t>
      </w:r>
      <w:r w:rsidRPr="0058721F">
        <w:rPr>
          <w:rFonts w:ascii="Times New Roman" w:hAnsi="Times New Roman"/>
          <w:spacing w:val="-2"/>
          <w:sz w:val="16"/>
          <w:szCs w:val="16"/>
        </w:rPr>
        <w:t xml:space="preserve"> gesichertes Gut. Etwas anderes gilt wiederum nur dann, wenn dem </w:t>
      </w:r>
      <w:r w:rsidR="00756508" w:rsidRPr="0058721F">
        <w:rPr>
          <w:rFonts w:ascii="Times New Roman" w:hAnsi="Times New Roman"/>
          <w:spacing w:val="-2"/>
          <w:sz w:val="16"/>
          <w:szCs w:val="16"/>
        </w:rPr>
        <w:t>Zeugnisverweigerungsberechtigten das Recht bekannt war oder wenn er auch bei ordnungsgemäßer Belehrung ausgesagt hätte. Das Verwertungsverbot besteht nicht bei Spontanäußerungen.</w:t>
      </w:r>
    </w:p>
    <w:p w14:paraId="677CAC97" w14:textId="77777777" w:rsidR="003F007D" w:rsidRPr="0058721F" w:rsidRDefault="003F007D" w:rsidP="00671C56">
      <w:pPr>
        <w:spacing w:line="160" w:lineRule="exact"/>
        <w:ind w:left="567" w:right="-6" w:hanging="283"/>
        <w:jc w:val="both"/>
        <w:rPr>
          <w:rFonts w:ascii="Times New Roman" w:hAnsi="Times New Roman"/>
          <w:spacing w:val="-2"/>
          <w:sz w:val="16"/>
          <w:szCs w:val="16"/>
        </w:rPr>
      </w:pPr>
      <w:r w:rsidRPr="0058721F">
        <w:rPr>
          <w:rFonts w:ascii="Times New Roman" w:hAnsi="Times New Roman"/>
          <w:spacing w:val="-2"/>
          <w:sz w:val="16"/>
          <w:szCs w:val="16"/>
          <w:u w:val="single"/>
        </w:rPr>
        <w:t xml:space="preserve">2. </w:t>
      </w:r>
      <w:r w:rsidR="00EC1146" w:rsidRPr="0058721F">
        <w:rPr>
          <w:rFonts w:ascii="Times New Roman" w:hAnsi="Times New Roman"/>
          <w:spacing w:val="-2"/>
          <w:sz w:val="16"/>
          <w:szCs w:val="16"/>
          <w:u w:val="single"/>
        </w:rPr>
        <w:tab/>
      </w:r>
      <w:r w:rsidRPr="0058721F">
        <w:rPr>
          <w:rFonts w:ascii="Times New Roman" w:hAnsi="Times New Roman"/>
          <w:spacing w:val="-2"/>
          <w:sz w:val="16"/>
          <w:szCs w:val="16"/>
          <w:u w:val="single"/>
        </w:rPr>
        <w:t>Unterbliebene Belehrung über Aussageverweigerungsrecht</w:t>
      </w:r>
      <w:r w:rsidRPr="0058721F">
        <w:rPr>
          <w:rFonts w:ascii="Times New Roman" w:hAnsi="Times New Roman"/>
          <w:spacing w:val="-2"/>
          <w:sz w:val="16"/>
          <w:szCs w:val="16"/>
        </w:rPr>
        <w:t xml:space="preserve">: Eine weitere Fallgruppe ist die unterbliebene Belehrung über das Recht zur Aussageverweigerung aus § 55 StPO. Auch hierüber sind die Zeugen gemäß </w:t>
      </w:r>
      <w:r w:rsidRPr="0058721F">
        <w:rPr>
          <w:rFonts w:ascii="Times New Roman" w:hAnsi="Times New Roman"/>
          <w:b/>
          <w:spacing w:val="-2"/>
          <w:sz w:val="16"/>
          <w:szCs w:val="16"/>
        </w:rPr>
        <w:t>§ 55 II StPO</w:t>
      </w:r>
      <w:r w:rsidRPr="0058721F">
        <w:rPr>
          <w:rFonts w:ascii="Times New Roman" w:hAnsi="Times New Roman"/>
          <w:spacing w:val="-2"/>
          <w:sz w:val="16"/>
          <w:szCs w:val="16"/>
        </w:rPr>
        <w:t xml:space="preserve"> zu belehren. Unterbleibt die Belehrung, so ist wiederum fraglich, ob eine Aussage, die der Zeuge dennoch getätigt hat, verwertet werden kann. Teilweise wird ein Verwertungsverbot angenommen, da durch § 55 StPO auch das Interesse des Beschuldigten an konfliktfreien und wahrheitsgemäßen Aussagen der Zeugen geschützt sei. Die </w:t>
      </w:r>
      <w:proofErr w:type="spellStart"/>
      <w:r w:rsidRPr="0058721F">
        <w:rPr>
          <w:rFonts w:ascii="Times New Roman" w:hAnsi="Times New Roman"/>
          <w:spacing w:val="-2"/>
          <w:sz w:val="16"/>
          <w:szCs w:val="16"/>
        </w:rPr>
        <w:t>h.M</w:t>
      </w:r>
      <w:proofErr w:type="spellEnd"/>
      <w:r w:rsidRPr="0058721F">
        <w:rPr>
          <w:rFonts w:ascii="Times New Roman" w:hAnsi="Times New Roman"/>
          <w:spacing w:val="-2"/>
          <w:sz w:val="16"/>
          <w:szCs w:val="16"/>
        </w:rPr>
        <w:t xml:space="preserve">. lehnt ein Beweisverwertungsverbot aber ab, denn berührt sei nicht der </w:t>
      </w:r>
      <w:r w:rsidRPr="0058721F">
        <w:rPr>
          <w:rFonts w:ascii="Times New Roman" w:hAnsi="Times New Roman"/>
          <w:b/>
          <w:spacing w:val="-2"/>
          <w:sz w:val="16"/>
          <w:szCs w:val="16"/>
        </w:rPr>
        <w:t>Rechtskreis</w:t>
      </w:r>
      <w:r w:rsidRPr="0058721F">
        <w:rPr>
          <w:rFonts w:ascii="Times New Roman" w:hAnsi="Times New Roman"/>
          <w:spacing w:val="-2"/>
          <w:sz w:val="16"/>
          <w:szCs w:val="16"/>
        </w:rPr>
        <w:t xml:space="preserve"> des Beschuldigten, sondern vielmehr solle allein der Zeuge davor geschützt werden, sich selbst zu belasten. Daher dient der Schutzbereich der Vorschrift nicht dem Beschuldigten.</w:t>
      </w:r>
    </w:p>
    <w:p w14:paraId="34F60D19" w14:textId="77777777" w:rsidR="003F007D" w:rsidRPr="0058721F" w:rsidRDefault="003F007D" w:rsidP="00671C56">
      <w:pPr>
        <w:spacing w:before="120" w:line="160" w:lineRule="exact"/>
        <w:ind w:right="-6"/>
        <w:jc w:val="both"/>
        <w:rPr>
          <w:rFonts w:ascii="Times New Roman" w:hAnsi="Times New Roman"/>
          <w:b/>
          <w:spacing w:val="-2"/>
          <w:sz w:val="16"/>
          <w:szCs w:val="16"/>
        </w:rPr>
      </w:pPr>
      <w:r w:rsidRPr="0058721F">
        <w:rPr>
          <w:rFonts w:ascii="Times New Roman" w:hAnsi="Times New Roman"/>
          <w:b/>
          <w:spacing w:val="-2"/>
          <w:sz w:val="16"/>
          <w:szCs w:val="16"/>
        </w:rPr>
        <w:t>V. Beweisverwertungsverbote im Zusammenhang mit den §§ 53, 54 StPO:</w:t>
      </w:r>
    </w:p>
    <w:p w14:paraId="5E6155AA" w14:textId="77777777" w:rsidR="003F007D" w:rsidRPr="00FE0F0C" w:rsidRDefault="003F007D" w:rsidP="00671C56">
      <w:pPr>
        <w:tabs>
          <w:tab w:val="center" w:pos="5248"/>
        </w:tabs>
        <w:spacing w:line="160" w:lineRule="exact"/>
        <w:ind w:left="567" w:right="-6" w:hanging="283"/>
        <w:jc w:val="both"/>
        <w:rPr>
          <w:rFonts w:ascii="Times New Roman" w:hAnsi="Times New Roman"/>
          <w:spacing w:val="-2"/>
          <w:sz w:val="16"/>
          <w:szCs w:val="16"/>
        </w:rPr>
      </w:pPr>
      <w:r w:rsidRPr="0058721F">
        <w:rPr>
          <w:rFonts w:ascii="Times New Roman" w:hAnsi="Times New Roman"/>
          <w:spacing w:val="-2"/>
          <w:sz w:val="16"/>
          <w:szCs w:val="16"/>
          <w:u w:val="single"/>
        </w:rPr>
        <w:t xml:space="preserve">1. </w:t>
      </w:r>
      <w:r w:rsidR="00EC1146" w:rsidRPr="0058721F">
        <w:rPr>
          <w:rFonts w:ascii="Times New Roman" w:hAnsi="Times New Roman"/>
          <w:spacing w:val="-2"/>
          <w:sz w:val="16"/>
          <w:szCs w:val="16"/>
          <w:u w:val="single"/>
        </w:rPr>
        <w:tab/>
      </w:r>
      <w:r w:rsidRPr="0058721F">
        <w:rPr>
          <w:rFonts w:ascii="Times New Roman" w:hAnsi="Times New Roman"/>
          <w:spacing w:val="-2"/>
          <w:sz w:val="16"/>
          <w:szCs w:val="16"/>
          <w:u w:val="single"/>
        </w:rPr>
        <w:t>Verletzung der Schweigepflicht im Sinne des § 53 StPO:</w:t>
      </w:r>
      <w:r w:rsidRPr="0058721F">
        <w:rPr>
          <w:rFonts w:ascii="Times New Roman" w:hAnsi="Times New Roman"/>
          <w:spacing w:val="-2"/>
          <w:sz w:val="16"/>
          <w:szCs w:val="16"/>
        </w:rPr>
        <w:t xml:space="preserve"> Bei § 53 StPO besteht keine Belehrungspflicht. Eine solche kann nach </w:t>
      </w:r>
      <w:proofErr w:type="spellStart"/>
      <w:r w:rsidRPr="0058721F">
        <w:rPr>
          <w:rFonts w:ascii="Times New Roman" w:hAnsi="Times New Roman"/>
          <w:spacing w:val="-2"/>
          <w:sz w:val="16"/>
          <w:szCs w:val="16"/>
        </w:rPr>
        <w:t>h.M</w:t>
      </w:r>
      <w:proofErr w:type="spellEnd"/>
      <w:r w:rsidRPr="0058721F">
        <w:rPr>
          <w:rFonts w:ascii="Times New Roman" w:hAnsi="Times New Roman"/>
          <w:spacing w:val="-2"/>
          <w:sz w:val="16"/>
          <w:szCs w:val="16"/>
        </w:rPr>
        <w:t xml:space="preserve">. aber dann bestehen, wenn offensichtlich ist, dass der Zeuge sich entgegen § 53 StPO für verpflichtet hält, auszusagen. In diesem Falle wird bei Verletzung dieser Aufklärungspflicht durch das Gericht ein </w:t>
      </w:r>
      <w:r w:rsidRPr="0058721F">
        <w:rPr>
          <w:rFonts w:ascii="Times New Roman" w:hAnsi="Times New Roman"/>
          <w:b/>
          <w:spacing w:val="-2"/>
          <w:sz w:val="16"/>
          <w:szCs w:val="16"/>
        </w:rPr>
        <w:t>Verwertungsverbot</w:t>
      </w:r>
      <w:r w:rsidRPr="0058721F">
        <w:rPr>
          <w:rFonts w:ascii="Times New Roman" w:hAnsi="Times New Roman"/>
          <w:spacing w:val="-2"/>
          <w:sz w:val="16"/>
          <w:szCs w:val="16"/>
        </w:rPr>
        <w:t xml:space="preserve"> angenommen. Anders ist es aber, wenn der Zeuge sich nicht für verpflichtet hält, sondern eigenmächtig entgegen einer bestehenden Schweigepflicht aussagt und sich dadurch gemäß § 203 StGB strafbar macht. Teilweise wird in diesem Fall ein Verwertungsverbot angenommen</w:t>
      </w:r>
      <w:r w:rsidR="001109AC">
        <w:rPr>
          <w:rFonts w:ascii="Times New Roman" w:hAnsi="Times New Roman"/>
          <w:spacing w:val="-2"/>
          <w:sz w:val="16"/>
          <w:szCs w:val="16"/>
        </w:rPr>
        <w:t>. D</w:t>
      </w:r>
      <w:r w:rsidRPr="00FE0F0C">
        <w:rPr>
          <w:rFonts w:ascii="Times New Roman" w:hAnsi="Times New Roman"/>
          <w:spacing w:val="-2"/>
          <w:sz w:val="16"/>
          <w:szCs w:val="16"/>
        </w:rPr>
        <w:t xml:space="preserve">ie </w:t>
      </w:r>
      <w:proofErr w:type="spellStart"/>
      <w:r w:rsidRPr="00FE0F0C">
        <w:rPr>
          <w:rFonts w:ascii="Times New Roman" w:hAnsi="Times New Roman"/>
          <w:spacing w:val="-2"/>
          <w:sz w:val="16"/>
          <w:szCs w:val="16"/>
        </w:rPr>
        <w:t>h.M</w:t>
      </w:r>
      <w:proofErr w:type="spellEnd"/>
      <w:r w:rsidRPr="00FE0F0C">
        <w:rPr>
          <w:rFonts w:ascii="Times New Roman" w:hAnsi="Times New Roman"/>
          <w:spacing w:val="-2"/>
          <w:sz w:val="16"/>
          <w:szCs w:val="16"/>
        </w:rPr>
        <w:t>. lehnt dies aber ab, da § 53 StPO nur ein Recht, nicht aber eine Pflicht konstatiere.</w:t>
      </w:r>
    </w:p>
    <w:p w14:paraId="572055F0" w14:textId="77777777" w:rsidR="003F007D" w:rsidRPr="0058721F" w:rsidRDefault="003F007D" w:rsidP="00671C56">
      <w:pPr>
        <w:tabs>
          <w:tab w:val="center" w:pos="5248"/>
        </w:tabs>
        <w:spacing w:line="160" w:lineRule="exact"/>
        <w:ind w:left="567" w:right="-6" w:hanging="283"/>
        <w:jc w:val="both"/>
        <w:rPr>
          <w:rFonts w:ascii="Times New Roman" w:hAnsi="Times New Roman"/>
          <w:spacing w:val="-2"/>
          <w:sz w:val="16"/>
          <w:szCs w:val="16"/>
        </w:rPr>
      </w:pPr>
      <w:r w:rsidRPr="0058721F">
        <w:rPr>
          <w:rFonts w:ascii="Times New Roman" w:hAnsi="Times New Roman"/>
          <w:spacing w:val="-2"/>
          <w:sz w:val="16"/>
          <w:szCs w:val="16"/>
          <w:u w:val="single"/>
        </w:rPr>
        <w:t xml:space="preserve">2. </w:t>
      </w:r>
      <w:r w:rsidRPr="0058721F">
        <w:rPr>
          <w:rFonts w:ascii="Times New Roman" w:hAnsi="Times New Roman"/>
          <w:spacing w:val="-2"/>
          <w:sz w:val="16"/>
          <w:szCs w:val="16"/>
          <w:u w:val="single"/>
        </w:rPr>
        <w:tab/>
        <w:t>Fehlende Genehmigung nach § 54 StPO:</w:t>
      </w:r>
      <w:r w:rsidRPr="0058721F">
        <w:rPr>
          <w:rFonts w:ascii="Times New Roman" w:hAnsi="Times New Roman"/>
          <w:spacing w:val="-2"/>
          <w:sz w:val="16"/>
          <w:szCs w:val="16"/>
        </w:rPr>
        <w:t xml:space="preserve"> kein Verwertungsverbot, weil diese Vorschrift wiederum nicht dem Schutz des Angeklagten dient.</w:t>
      </w:r>
    </w:p>
    <w:p w14:paraId="0E8DC9B5" w14:textId="77777777" w:rsidR="00A119E9" w:rsidRPr="0058721F" w:rsidRDefault="00A119E9" w:rsidP="003F007D">
      <w:pPr>
        <w:widowControl/>
        <w:tabs>
          <w:tab w:val="left" w:pos="-720"/>
          <w:tab w:val="left" w:pos="0"/>
          <w:tab w:val="left" w:pos="288"/>
          <w:tab w:val="left" w:pos="567"/>
          <w:tab w:val="left" w:pos="864"/>
          <w:tab w:val="left" w:pos="1116"/>
          <w:tab w:val="left" w:pos="1404"/>
          <w:tab w:val="left" w:pos="1692"/>
          <w:tab w:val="left" w:pos="1980"/>
          <w:tab w:val="left" w:pos="2268"/>
          <w:tab w:val="left" w:pos="2880"/>
        </w:tabs>
        <w:spacing w:line="228" w:lineRule="auto"/>
        <w:ind w:left="1980" w:right="-6" w:hanging="1980"/>
        <w:jc w:val="both"/>
        <w:rPr>
          <w:rFonts w:ascii="Times New Roman" w:hAnsi="Times New Roman"/>
          <w:b/>
          <w:spacing w:val="-2"/>
          <w:sz w:val="12"/>
          <w:szCs w:val="12"/>
        </w:rPr>
      </w:pPr>
    </w:p>
    <w:p w14:paraId="707FDF58" w14:textId="1B0CBF66" w:rsidR="003F007D" w:rsidRPr="0023039C" w:rsidRDefault="003F007D" w:rsidP="0023039C">
      <w:pPr>
        <w:widowControl/>
        <w:tabs>
          <w:tab w:val="left" w:pos="-720"/>
          <w:tab w:val="left" w:pos="0"/>
          <w:tab w:val="left" w:pos="288"/>
          <w:tab w:val="left" w:pos="567"/>
          <w:tab w:val="left" w:pos="864"/>
          <w:tab w:val="left" w:pos="1116"/>
          <w:tab w:val="left" w:pos="1404"/>
          <w:tab w:val="left" w:pos="1692"/>
          <w:tab w:val="left" w:pos="1980"/>
          <w:tab w:val="left" w:pos="2268"/>
          <w:tab w:val="left" w:pos="2880"/>
        </w:tabs>
        <w:spacing w:line="132" w:lineRule="exact"/>
        <w:ind w:left="1980" w:hanging="1980"/>
        <w:jc w:val="both"/>
        <w:rPr>
          <w:rFonts w:ascii="Times New Roman" w:hAnsi="Times New Roman"/>
          <w:spacing w:val="-2"/>
          <w:sz w:val="13"/>
          <w:szCs w:val="13"/>
        </w:rPr>
      </w:pPr>
      <w:r w:rsidRPr="0023039C">
        <w:rPr>
          <w:rFonts w:ascii="Times New Roman" w:hAnsi="Times New Roman"/>
          <w:b/>
          <w:spacing w:val="-2"/>
          <w:sz w:val="13"/>
          <w:szCs w:val="13"/>
        </w:rPr>
        <w:t>Literatur/Lehrbücher:</w:t>
      </w:r>
      <w:r w:rsidRPr="0023039C">
        <w:rPr>
          <w:rFonts w:ascii="Times New Roman" w:hAnsi="Times New Roman"/>
          <w:b/>
          <w:spacing w:val="-2"/>
          <w:sz w:val="13"/>
          <w:szCs w:val="13"/>
        </w:rPr>
        <w:tab/>
      </w:r>
      <w:r w:rsidR="00E4652E" w:rsidRPr="0023039C">
        <w:rPr>
          <w:rFonts w:ascii="Times New Roman" w:hAnsi="Times New Roman"/>
          <w:i/>
          <w:spacing w:val="-2"/>
          <w:sz w:val="13"/>
          <w:szCs w:val="13"/>
        </w:rPr>
        <w:t>Heinrich/Reinbacher</w:t>
      </w:r>
      <w:r w:rsidR="00E4652E" w:rsidRPr="0023039C">
        <w:rPr>
          <w:rFonts w:ascii="Times New Roman" w:hAnsi="Times New Roman"/>
          <w:spacing w:val="-2"/>
          <w:sz w:val="13"/>
          <w:szCs w:val="13"/>
        </w:rPr>
        <w:t xml:space="preserve">, Examinatorium Strafprozessrecht, </w:t>
      </w:r>
      <w:r w:rsidR="003C3824" w:rsidRPr="0023039C">
        <w:rPr>
          <w:rFonts w:ascii="Times New Roman" w:hAnsi="Times New Roman"/>
          <w:spacing w:val="-2"/>
          <w:sz w:val="13"/>
          <w:szCs w:val="13"/>
        </w:rPr>
        <w:t>4</w:t>
      </w:r>
      <w:r w:rsidR="00015121" w:rsidRPr="0023039C">
        <w:rPr>
          <w:rFonts w:ascii="Times New Roman" w:hAnsi="Times New Roman"/>
          <w:spacing w:val="-2"/>
          <w:sz w:val="13"/>
          <w:szCs w:val="13"/>
        </w:rPr>
        <w:t>. Auflage 20</w:t>
      </w:r>
      <w:r w:rsidR="0097241E" w:rsidRPr="0023039C">
        <w:rPr>
          <w:rFonts w:ascii="Times New Roman" w:hAnsi="Times New Roman"/>
          <w:spacing w:val="-2"/>
          <w:sz w:val="13"/>
          <w:szCs w:val="13"/>
        </w:rPr>
        <w:t>2</w:t>
      </w:r>
      <w:r w:rsidR="003C3824" w:rsidRPr="0023039C">
        <w:rPr>
          <w:rFonts w:ascii="Times New Roman" w:hAnsi="Times New Roman"/>
          <w:spacing w:val="-2"/>
          <w:sz w:val="13"/>
          <w:szCs w:val="13"/>
        </w:rPr>
        <w:t>3</w:t>
      </w:r>
      <w:r w:rsidR="00015121" w:rsidRPr="0023039C">
        <w:rPr>
          <w:rFonts w:ascii="Times New Roman" w:hAnsi="Times New Roman"/>
          <w:spacing w:val="-2"/>
          <w:sz w:val="13"/>
          <w:szCs w:val="13"/>
        </w:rPr>
        <w:t xml:space="preserve">, </w:t>
      </w:r>
      <w:r w:rsidR="00E4652E" w:rsidRPr="0023039C">
        <w:rPr>
          <w:rFonts w:ascii="Times New Roman" w:hAnsi="Times New Roman"/>
          <w:spacing w:val="-2"/>
          <w:sz w:val="13"/>
          <w:szCs w:val="13"/>
        </w:rPr>
        <w:t>Problem</w:t>
      </w:r>
      <w:r w:rsidR="000169CE">
        <w:rPr>
          <w:rFonts w:ascii="Times New Roman" w:hAnsi="Times New Roman"/>
          <w:spacing w:val="-2"/>
          <w:sz w:val="13"/>
          <w:szCs w:val="13"/>
        </w:rPr>
        <w:t> </w:t>
      </w:r>
      <w:r w:rsidR="00E4652E" w:rsidRPr="0023039C">
        <w:rPr>
          <w:rFonts w:ascii="Times New Roman" w:hAnsi="Times New Roman"/>
          <w:spacing w:val="-2"/>
          <w:sz w:val="13"/>
          <w:szCs w:val="13"/>
        </w:rPr>
        <w:t>28.</w:t>
      </w:r>
    </w:p>
    <w:p w14:paraId="74A834D1" w14:textId="77777777" w:rsidR="003F007D" w:rsidRPr="0023039C" w:rsidRDefault="003F007D" w:rsidP="0023039C">
      <w:pPr>
        <w:widowControl/>
        <w:tabs>
          <w:tab w:val="left" w:pos="-720"/>
          <w:tab w:val="left" w:pos="288"/>
          <w:tab w:val="left" w:pos="567"/>
          <w:tab w:val="left" w:pos="864"/>
          <w:tab w:val="left" w:pos="1116"/>
          <w:tab w:val="left" w:pos="1404"/>
          <w:tab w:val="left" w:pos="2268"/>
          <w:tab w:val="left" w:pos="2880"/>
        </w:tabs>
        <w:spacing w:line="132" w:lineRule="exact"/>
        <w:ind w:left="1418" w:hanging="1418"/>
        <w:jc w:val="both"/>
        <w:rPr>
          <w:rFonts w:ascii="Times New Roman" w:hAnsi="Times New Roman"/>
          <w:spacing w:val="-2"/>
          <w:sz w:val="13"/>
          <w:szCs w:val="13"/>
        </w:rPr>
      </w:pPr>
      <w:r w:rsidRPr="0023039C">
        <w:rPr>
          <w:rFonts w:ascii="Times New Roman" w:hAnsi="Times New Roman"/>
          <w:b/>
          <w:spacing w:val="-2"/>
          <w:sz w:val="13"/>
          <w:szCs w:val="13"/>
        </w:rPr>
        <w:t>Literatur/Aufsätze:</w:t>
      </w:r>
      <w:r w:rsidRPr="0023039C">
        <w:rPr>
          <w:rFonts w:ascii="Times New Roman" w:hAnsi="Times New Roman"/>
          <w:b/>
          <w:spacing w:val="-2"/>
          <w:sz w:val="13"/>
          <w:szCs w:val="13"/>
        </w:rPr>
        <w:tab/>
      </w:r>
      <w:r w:rsidRPr="0023039C">
        <w:rPr>
          <w:rFonts w:ascii="Times New Roman" w:hAnsi="Times New Roman"/>
          <w:b/>
          <w:spacing w:val="-2"/>
          <w:sz w:val="13"/>
          <w:szCs w:val="13"/>
        </w:rPr>
        <w:tab/>
      </w:r>
      <w:r w:rsidRPr="0023039C">
        <w:rPr>
          <w:rFonts w:ascii="Times New Roman" w:hAnsi="Times New Roman"/>
          <w:i/>
          <w:spacing w:val="-2"/>
          <w:sz w:val="13"/>
          <w:szCs w:val="13"/>
        </w:rPr>
        <w:t>Bosch</w:t>
      </w:r>
      <w:r w:rsidRPr="0023039C">
        <w:rPr>
          <w:rFonts w:ascii="Times New Roman" w:hAnsi="Times New Roman"/>
          <w:spacing w:val="-2"/>
          <w:sz w:val="13"/>
          <w:szCs w:val="13"/>
        </w:rPr>
        <w:t xml:space="preserve">, Verwertbarkeit von Spontanäußerungen trotz Zeugnisverweigerung, JA 2008, 662; </w:t>
      </w:r>
      <w:r w:rsidRPr="0023039C">
        <w:rPr>
          <w:rFonts w:ascii="Times New Roman" w:hAnsi="Times New Roman"/>
          <w:i/>
          <w:spacing w:val="-2"/>
          <w:sz w:val="13"/>
          <w:szCs w:val="13"/>
        </w:rPr>
        <w:t>Eichel</w:t>
      </w:r>
      <w:r w:rsidRPr="0023039C">
        <w:rPr>
          <w:rFonts w:ascii="Times New Roman" w:hAnsi="Times New Roman"/>
          <w:spacing w:val="-2"/>
          <w:sz w:val="13"/>
          <w:szCs w:val="13"/>
        </w:rPr>
        <w:t>, Wann Schweigen wirklich Gold ist – die Unterschiede der Verwertung früherer Aussagen von Angeklagten und Zeugen bei Aussageverweigerung in der Hauptverhandlung, JA 2008, 631;</w:t>
      </w:r>
      <w:r w:rsidR="00052649" w:rsidRPr="0023039C">
        <w:rPr>
          <w:rFonts w:ascii="Arial" w:hAnsi="Arial" w:cs="Times New Roman"/>
          <w:bCs/>
          <w:i/>
          <w:color w:val="339966"/>
          <w:sz w:val="13"/>
          <w:szCs w:val="13"/>
        </w:rPr>
        <w:t xml:space="preserve"> </w:t>
      </w:r>
      <w:r w:rsidR="00052649" w:rsidRPr="0023039C">
        <w:rPr>
          <w:rFonts w:ascii="Times New Roman" w:hAnsi="Times New Roman"/>
          <w:bCs/>
          <w:i/>
          <w:spacing w:val="-2"/>
          <w:sz w:val="13"/>
          <w:szCs w:val="13"/>
        </w:rPr>
        <w:t>El-Ghazi/</w:t>
      </w:r>
      <w:proofErr w:type="spellStart"/>
      <w:r w:rsidR="00052649" w:rsidRPr="0023039C">
        <w:rPr>
          <w:rFonts w:ascii="Times New Roman" w:hAnsi="Times New Roman"/>
          <w:bCs/>
          <w:i/>
          <w:spacing w:val="-2"/>
          <w:sz w:val="13"/>
          <w:szCs w:val="13"/>
        </w:rPr>
        <w:t>Merold</w:t>
      </w:r>
      <w:proofErr w:type="spellEnd"/>
      <w:r w:rsidR="00052649" w:rsidRPr="0023039C">
        <w:rPr>
          <w:rFonts w:ascii="Times New Roman" w:hAnsi="Times New Roman"/>
          <w:bCs/>
          <w:spacing w:val="-2"/>
          <w:sz w:val="13"/>
          <w:szCs w:val="13"/>
        </w:rPr>
        <w:t>, Die Reichweite des Beweisverwertungsverbotes nach § 252 StPO, JA 2012, 44;</w:t>
      </w:r>
      <w:r w:rsidRPr="0023039C">
        <w:rPr>
          <w:rFonts w:ascii="Times New Roman" w:hAnsi="Times New Roman"/>
          <w:spacing w:val="-2"/>
          <w:sz w:val="13"/>
          <w:szCs w:val="13"/>
        </w:rPr>
        <w:t xml:space="preserve"> </w:t>
      </w:r>
      <w:r w:rsidR="00CA007D" w:rsidRPr="0023039C">
        <w:rPr>
          <w:rFonts w:ascii="Times New Roman" w:hAnsi="Times New Roman"/>
          <w:i/>
          <w:spacing w:val="-2"/>
          <w:sz w:val="13"/>
          <w:szCs w:val="13"/>
        </w:rPr>
        <w:t>Jäger</w:t>
      </w:r>
      <w:r w:rsidR="00CA007D" w:rsidRPr="0023039C">
        <w:rPr>
          <w:rFonts w:ascii="Times New Roman" w:hAnsi="Times New Roman"/>
          <w:spacing w:val="-2"/>
          <w:sz w:val="13"/>
          <w:szCs w:val="13"/>
        </w:rPr>
        <w:t xml:space="preserve">, § 252 StPO </w:t>
      </w:r>
      <w:proofErr w:type="spellStart"/>
      <w:r w:rsidR="00CA007D" w:rsidRPr="0023039C">
        <w:rPr>
          <w:rFonts w:ascii="Times New Roman" w:hAnsi="Times New Roman"/>
          <w:spacing w:val="-2"/>
          <w:sz w:val="13"/>
          <w:szCs w:val="13"/>
        </w:rPr>
        <w:t>reloaded</w:t>
      </w:r>
      <w:proofErr w:type="spellEnd"/>
      <w:r w:rsidR="00CA007D" w:rsidRPr="0023039C">
        <w:rPr>
          <w:rFonts w:ascii="Times New Roman" w:hAnsi="Times New Roman"/>
          <w:spacing w:val="-2"/>
          <w:sz w:val="13"/>
          <w:szCs w:val="13"/>
        </w:rPr>
        <w:t xml:space="preserve">, JA 2014, 948; </w:t>
      </w:r>
      <w:r w:rsidR="000B4D70" w:rsidRPr="0023039C">
        <w:rPr>
          <w:rFonts w:ascii="Times New Roman" w:hAnsi="Times New Roman"/>
          <w:i/>
          <w:spacing w:val="-2"/>
          <w:sz w:val="13"/>
          <w:szCs w:val="13"/>
        </w:rPr>
        <w:t>Kraatz</w:t>
      </w:r>
      <w:r w:rsidR="000B4D70" w:rsidRPr="0023039C">
        <w:rPr>
          <w:rFonts w:ascii="Times New Roman" w:hAnsi="Times New Roman"/>
          <w:spacing w:val="-2"/>
          <w:sz w:val="13"/>
          <w:szCs w:val="13"/>
        </w:rPr>
        <w:t>, Das Beweisverwertungsverbot des §</w:t>
      </w:r>
      <w:r w:rsidR="003822A5" w:rsidRPr="0023039C">
        <w:rPr>
          <w:rFonts w:ascii="Times New Roman" w:hAnsi="Times New Roman"/>
          <w:spacing w:val="-2"/>
          <w:sz w:val="13"/>
          <w:szCs w:val="13"/>
        </w:rPr>
        <w:t> </w:t>
      </w:r>
      <w:r w:rsidR="000B4D70" w:rsidRPr="0023039C">
        <w:rPr>
          <w:rFonts w:ascii="Times New Roman" w:hAnsi="Times New Roman"/>
          <w:spacing w:val="-2"/>
          <w:sz w:val="13"/>
          <w:szCs w:val="13"/>
        </w:rPr>
        <w:t xml:space="preserve">252, JURA 2011, 170; </w:t>
      </w:r>
      <w:proofErr w:type="spellStart"/>
      <w:r w:rsidR="00052649" w:rsidRPr="0023039C">
        <w:rPr>
          <w:rFonts w:ascii="Times New Roman" w:hAnsi="Times New Roman"/>
          <w:i/>
          <w:spacing w:val="-2"/>
          <w:sz w:val="13"/>
          <w:szCs w:val="13"/>
        </w:rPr>
        <w:t>ders</w:t>
      </w:r>
      <w:proofErr w:type="spellEnd"/>
      <w:r w:rsidR="00052649" w:rsidRPr="0023039C">
        <w:rPr>
          <w:rFonts w:ascii="Times New Roman" w:hAnsi="Times New Roman"/>
          <w:i/>
          <w:spacing w:val="-2"/>
          <w:sz w:val="13"/>
          <w:szCs w:val="13"/>
        </w:rPr>
        <w:t>.</w:t>
      </w:r>
      <w:r w:rsidR="00CA007D" w:rsidRPr="0023039C">
        <w:rPr>
          <w:rFonts w:ascii="Times New Roman" w:hAnsi="Times New Roman"/>
          <w:spacing w:val="-2"/>
          <w:sz w:val="13"/>
          <w:szCs w:val="13"/>
        </w:rPr>
        <w:t xml:space="preserve">, Der Verzicht auf das Verwertungsverbot des § 252 StPO oder – Der Zeuge als Herr des Verfahrens?, JA 2014, 773; </w:t>
      </w:r>
      <w:r w:rsidR="00CA007D" w:rsidRPr="0023039C">
        <w:rPr>
          <w:rFonts w:ascii="Times New Roman" w:hAnsi="Times New Roman"/>
          <w:i/>
          <w:spacing w:val="-2"/>
          <w:sz w:val="13"/>
          <w:szCs w:val="13"/>
        </w:rPr>
        <w:t>Kretschmer</w:t>
      </w:r>
      <w:r w:rsidR="00CA007D" w:rsidRPr="0023039C">
        <w:rPr>
          <w:rFonts w:ascii="Times New Roman" w:hAnsi="Times New Roman"/>
          <w:spacing w:val="-2"/>
          <w:sz w:val="13"/>
          <w:szCs w:val="13"/>
        </w:rPr>
        <w:t xml:space="preserve">, Zu den Grenzen des aus § 252 StPO abzuleitenden Verwertungsverbots in Fällen unlauterer Verfahrensmanipulation durch den </w:t>
      </w:r>
      <w:proofErr w:type="spellStart"/>
      <w:r w:rsidR="00CA007D" w:rsidRPr="0023039C">
        <w:rPr>
          <w:rFonts w:ascii="Times New Roman" w:hAnsi="Times New Roman"/>
          <w:spacing w:val="-2"/>
          <w:sz w:val="13"/>
          <w:szCs w:val="13"/>
        </w:rPr>
        <w:t>angehörigen</w:t>
      </w:r>
      <w:proofErr w:type="spellEnd"/>
      <w:r w:rsidR="00CA007D" w:rsidRPr="0023039C">
        <w:rPr>
          <w:rFonts w:ascii="Times New Roman" w:hAnsi="Times New Roman"/>
          <w:spacing w:val="-2"/>
          <w:sz w:val="13"/>
          <w:szCs w:val="13"/>
        </w:rPr>
        <w:t xml:space="preserve"> Zeugen, JURA 2000, 461; </w:t>
      </w:r>
      <w:proofErr w:type="spellStart"/>
      <w:r w:rsidR="000B4D70" w:rsidRPr="0023039C">
        <w:rPr>
          <w:rFonts w:ascii="Times New Roman" w:hAnsi="Times New Roman"/>
          <w:i/>
          <w:spacing w:val="-2"/>
          <w:sz w:val="13"/>
          <w:szCs w:val="13"/>
        </w:rPr>
        <w:t>Ladiges</w:t>
      </w:r>
      <w:proofErr w:type="spellEnd"/>
      <w:r w:rsidR="000B4D70" w:rsidRPr="0023039C">
        <w:rPr>
          <w:rFonts w:ascii="Times New Roman" w:hAnsi="Times New Roman"/>
          <w:spacing w:val="-2"/>
          <w:sz w:val="13"/>
          <w:szCs w:val="13"/>
        </w:rPr>
        <w:t xml:space="preserve">, Zeugnisverweigerungsrecht und Zwischenrechtsbehelf, </w:t>
      </w:r>
      <w:proofErr w:type="spellStart"/>
      <w:r w:rsidR="000B4D70" w:rsidRPr="0023039C">
        <w:rPr>
          <w:rFonts w:ascii="Times New Roman" w:hAnsi="Times New Roman"/>
          <w:spacing w:val="-2"/>
          <w:sz w:val="13"/>
          <w:szCs w:val="13"/>
        </w:rPr>
        <w:t>JuS</w:t>
      </w:r>
      <w:proofErr w:type="spellEnd"/>
      <w:r w:rsidR="000B4D70" w:rsidRPr="0023039C">
        <w:rPr>
          <w:rFonts w:ascii="Times New Roman" w:hAnsi="Times New Roman"/>
          <w:spacing w:val="-2"/>
          <w:sz w:val="13"/>
          <w:szCs w:val="13"/>
        </w:rPr>
        <w:t xml:space="preserve"> 2011, 226</w:t>
      </w:r>
      <w:r w:rsidR="00225E32" w:rsidRPr="0023039C">
        <w:rPr>
          <w:rFonts w:ascii="Times New Roman" w:hAnsi="Times New Roman"/>
          <w:spacing w:val="-2"/>
          <w:sz w:val="13"/>
          <w:szCs w:val="13"/>
        </w:rPr>
        <w:t xml:space="preserve">; </w:t>
      </w:r>
      <w:r w:rsidR="00225E32" w:rsidRPr="0023039C">
        <w:rPr>
          <w:rFonts w:ascii="Times New Roman" w:hAnsi="Times New Roman"/>
          <w:i/>
          <w:spacing w:val="-2"/>
          <w:sz w:val="13"/>
          <w:szCs w:val="13"/>
        </w:rPr>
        <w:t>Moldenhauer/Wenske</w:t>
      </w:r>
      <w:r w:rsidR="00225E32" w:rsidRPr="0023039C">
        <w:rPr>
          <w:rFonts w:ascii="Times New Roman" w:hAnsi="Times New Roman"/>
          <w:spacing w:val="-2"/>
          <w:sz w:val="13"/>
          <w:szCs w:val="13"/>
        </w:rPr>
        <w:t>, Aktuelle Entwicklungen der Rechtsprechung zum Recht der Zeugnisverweigerung, JA 2017, 860</w:t>
      </w:r>
      <w:r w:rsidR="008A2BD3" w:rsidRPr="0023039C">
        <w:rPr>
          <w:rFonts w:ascii="Times New Roman" w:hAnsi="Times New Roman"/>
          <w:spacing w:val="-2"/>
          <w:sz w:val="13"/>
          <w:szCs w:val="13"/>
        </w:rPr>
        <w:t xml:space="preserve">; </w:t>
      </w:r>
      <w:r w:rsidR="00400F59" w:rsidRPr="0023039C">
        <w:rPr>
          <w:rFonts w:ascii="Times New Roman" w:hAnsi="Times New Roman"/>
          <w:i/>
          <w:spacing w:val="-2"/>
          <w:sz w:val="13"/>
          <w:szCs w:val="13"/>
        </w:rPr>
        <w:t>Neuber</w:t>
      </w:r>
      <w:r w:rsidR="00400F59" w:rsidRPr="0023039C">
        <w:rPr>
          <w:rFonts w:ascii="Times New Roman" w:hAnsi="Times New Roman"/>
          <w:spacing w:val="-2"/>
          <w:sz w:val="13"/>
          <w:szCs w:val="13"/>
        </w:rPr>
        <w:t xml:space="preserve">, Unselbstständige Beweisverwertungsverbote im Strafprozess –Die Abwägungslehre auf dem methodischen Prüfstand, NStZ 2019, 113; </w:t>
      </w:r>
      <w:r w:rsidR="00CA007D" w:rsidRPr="0023039C">
        <w:rPr>
          <w:rFonts w:ascii="Times New Roman" w:hAnsi="Times New Roman"/>
          <w:i/>
          <w:spacing w:val="-2"/>
          <w:sz w:val="13"/>
          <w:szCs w:val="13"/>
        </w:rPr>
        <w:t>Petersohn</w:t>
      </w:r>
      <w:r w:rsidR="00CA007D" w:rsidRPr="0023039C">
        <w:rPr>
          <w:rFonts w:ascii="Times New Roman" w:hAnsi="Times New Roman"/>
          <w:spacing w:val="-2"/>
          <w:sz w:val="13"/>
          <w:szCs w:val="13"/>
        </w:rPr>
        <w:t xml:space="preserve">, Unterbliebene Belehrung im Vorverfahren und Berufung auf das Zeugnisverweigerungsrecht in der Hauptverhandlung, </w:t>
      </w:r>
      <w:proofErr w:type="spellStart"/>
      <w:r w:rsidR="00CA007D" w:rsidRPr="0023039C">
        <w:rPr>
          <w:rFonts w:ascii="Times New Roman" w:hAnsi="Times New Roman"/>
          <w:spacing w:val="-2"/>
          <w:sz w:val="13"/>
          <w:szCs w:val="13"/>
        </w:rPr>
        <w:t>JuS</w:t>
      </w:r>
      <w:proofErr w:type="spellEnd"/>
      <w:r w:rsidR="00CA007D" w:rsidRPr="0023039C">
        <w:rPr>
          <w:rFonts w:ascii="Times New Roman" w:hAnsi="Times New Roman"/>
          <w:spacing w:val="-2"/>
          <w:sz w:val="13"/>
          <w:szCs w:val="13"/>
        </w:rPr>
        <w:t xml:space="preserve"> 2004, 379; </w:t>
      </w:r>
      <w:r w:rsidR="000539AB" w:rsidRPr="0023039C">
        <w:rPr>
          <w:rFonts w:ascii="Times New Roman" w:hAnsi="Times New Roman"/>
          <w:i/>
          <w:spacing w:val="-2"/>
          <w:sz w:val="13"/>
          <w:szCs w:val="13"/>
        </w:rPr>
        <w:t>Schmitt</w:t>
      </w:r>
      <w:r w:rsidR="000539AB" w:rsidRPr="0023039C">
        <w:rPr>
          <w:rFonts w:ascii="Times New Roman" w:hAnsi="Times New Roman"/>
          <w:spacing w:val="-2"/>
          <w:sz w:val="13"/>
          <w:szCs w:val="13"/>
        </w:rPr>
        <w:t>, Zum Verzicht auf das Verwertungsverbot des § 252 StPO, NStZ 2013, 213</w:t>
      </w:r>
      <w:r w:rsidR="000C73FE" w:rsidRPr="0023039C">
        <w:rPr>
          <w:rFonts w:ascii="Times New Roman" w:hAnsi="Times New Roman"/>
          <w:spacing w:val="-2"/>
          <w:sz w:val="13"/>
          <w:szCs w:val="13"/>
        </w:rPr>
        <w:t>;</w:t>
      </w:r>
      <w:r w:rsidR="00CA007D" w:rsidRPr="0023039C">
        <w:rPr>
          <w:rFonts w:ascii="Times New Roman" w:hAnsi="Times New Roman"/>
          <w:i/>
          <w:spacing w:val="-2"/>
          <w:sz w:val="13"/>
          <w:szCs w:val="13"/>
        </w:rPr>
        <w:t xml:space="preserve"> Volk</w:t>
      </w:r>
      <w:r w:rsidR="00CA007D" w:rsidRPr="0023039C">
        <w:rPr>
          <w:rFonts w:ascii="Times New Roman" w:hAnsi="Times New Roman"/>
          <w:spacing w:val="-2"/>
          <w:sz w:val="13"/>
          <w:szCs w:val="13"/>
        </w:rPr>
        <w:t xml:space="preserve">, Die „Vernehmung“ durch den Verteidiger und das Verwertungsverbot des § 252 StPO, </w:t>
      </w:r>
      <w:proofErr w:type="spellStart"/>
      <w:r w:rsidR="00CA007D" w:rsidRPr="0023039C">
        <w:rPr>
          <w:rFonts w:ascii="Times New Roman" w:hAnsi="Times New Roman"/>
          <w:spacing w:val="-2"/>
          <w:sz w:val="13"/>
          <w:szCs w:val="13"/>
        </w:rPr>
        <w:t>JuS</w:t>
      </w:r>
      <w:proofErr w:type="spellEnd"/>
      <w:r w:rsidR="00CA007D" w:rsidRPr="0023039C">
        <w:rPr>
          <w:rFonts w:ascii="Times New Roman" w:hAnsi="Times New Roman"/>
          <w:spacing w:val="-2"/>
          <w:sz w:val="13"/>
          <w:szCs w:val="13"/>
        </w:rPr>
        <w:t xml:space="preserve"> 2001, 130.</w:t>
      </w:r>
    </w:p>
    <w:p w14:paraId="73FF2DE2" w14:textId="62F2E20C" w:rsidR="003F007D" w:rsidRPr="0023039C" w:rsidRDefault="003F007D" w:rsidP="0023039C">
      <w:pPr>
        <w:widowControl/>
        <w:tabs>
          <w:tab w:val="left" w:pos="-720"/>
          <w:tab w:val="left" w:pos="288"/>
          <w:tab w:val="left" w:pos="567"/>
          <w:tab w:val="left" w:pos="864"/>
          <w:tab w:val="left" w:pos="1116"/>
          <w:tab w:val="left" w:pos="1418"/>
          <w:tab w:val="left" w:pos="1692"/>
          <w:tab w:val="left" w:pos="2268"/>
          <w:tab w:val="left" w:pos="2880"/>
        </w:tabs>
        <w:spacing w:line="132" w:lineRule="exact"/>
        <w:ind w:left="1418" w:hanging="1418"/>
        <w:jc w:val="both"/>
        <w:rPr>
          <w:rFonts w:ascii="Times New Roman" w:hAnsi="Times New Roman"/>
          <w:spacing w:val="-2"/>
          <w:sz w:val="13"/>
          <w:szCs w:val="13"/>
        </w:rPr>
      </w:pPr>
      <w:r w:rsidRPr="0023039C">
        <w:rPr>
          <w:rFonts w:ascii="Times New Roman" w:hAnsi="Times New Roman"/>
          <w:b/>
          <w:spacing w:val="-2"/>
          <w:sz w:val="13"/>
          <w:szCs w:val="13"/>
        </w:rPr>
        <w:t>Literatur/Fälle:</w:t>
      </w:r>
      <w:r w:rsidRPr="0023039C">
        <w:rPr>
          <w:rFonts w:ascii="Times New Roman" w:hAnsi="Times New Roman"/>
          <w:b/>
          <w:spacing w:val="-2"/>
          <w:sz w:val="13"/>
          <w:szCs w:val="13"/>
        </w:rPr>
        <w:tab/>
      </w:r>
      <w:r w:rsidRPr="0023039C">
        <w:rPr>
          <w:rFonts w:ascii="Times New Roman" w:hAnsi="Times New Roman"/>
          <w:b/>
          <w:spacing w:val="-2"/>
          <w:sz w:val="13"/>
          <w:szCs w:val="13"/>
        </w:rPr>
        <w:tab/>
      </w:r>
      <w:r w:rsidR="000169CE">
        <w:rPr>
          <w:rFonts w:ascii="Times New Roman" w:hAnsi="Times New Roman"/>
          <w:b/>
          <w:spacing w:val="-2"/>
          <w:sz w:val="13"/>
          <w:szCs w:val="13"/>
        </w:rPr>
        <w:tab/>
      </w:r>
      <w:r w:rsidRPr="0023039C">
        <w:rPr>
          <w:rFonts w:ascii="Times New Roman" w:hAnsi="Times New Roman"/>
          <w:i/>
          <w:spacing w:val="-2"/>
          <w:sz w:val="13"/>
          <w:szCs w:val="13"/>
        </w:rPr>
        <w:t>Kroiß</w:t>
      </w:r>
      <w:r w:rsidRPr="0023039C">
        <w:rPr>
          <w:rFonts w:ascii="Times New Roman" w:hAnsi="Times New Roman"/>
          <w:spacing w:val="-2"/>
          <w:sz w:val="13"/>
          <w:szCs w:val="13"/>
        </w:rPr>
        <w:t xml:space="preserve">, Plädoyer des Verteidigers, </w:t>
      </w:r>
      <w:proofErr w:type="spellStart"/>
      <w:r w:rsidRPr="0023039C">
        <w:rPr>
          <w:rFonts w:ascii="Times New Roman" w:hAnsi="Times New Roman"/>
          <w:spacing w:val="-2"/>
          <w:sz w:val="13"/>
          <w:szCs w:val="13"/>
        </w:rPr>
        <w:t>JuS</w:t>
      </w:r>
      <w:proofErr w:type="spellEnd"/>
      <w:r w:rsidRPr="0023039C">
        <w:rPr>
          <w:rFonts w:ascii="Times New Roman" w:hAnsi="Times New Roman"/>
          <w:spacing w:val="-2"/>
          <w:sz w:val="13"/>
          <w:szCs w:val="13"/>
        </w:rPr>
        <w:t xml:space="preserve"> 2005, 256; </w:t>
      </w:r>
      <w:r w:rsidRPr="0023039C">
        <w:rPr>
          <w:rFonts w:ascii="Times New Roman" w:hAnsi="Times New Roman"/>
          <w:i/>
          <w:spacing w:val="-2"/>
          <w:sz w:val="13"/>
          <w:szCs w:val="13"/>
        </w:rPr>
        <w:t>Ostermann</w:t>
      </w:r>
      <w:r w:rsidRPr="0023039C">
        <w:rPr>
          <w:rFonts w:ascii="Times New Roman" w:hAnsi="Times New Roman"/>
          <w:spacing w:val="-2"/>
          <w:sz w:val="13"/>
          <w:szCs w:val="13"/>
        </w:rPr>
        <w:t xml:space="preserve">, Der Fall Engel, </w:t>
      </w:r>
      <w:proofErr w:type="spellStart"/>
      <w:r w:rsidRPr="0023039C">
        <w:rPr>
          <w:rFonts w:ascii="Times New Roman" w:hAnsi="Times New Roman"/>
          <w:spacing w:val="-2"/>
          <w:sz w:val="13"/>
          <w:szCs w:val="13"/>
        </w:rPr>
        <w:t>JuS</w:t>
      </w:r>
      <w:proofErr w:type="spellEnd"/>
      <w:r w:rsidRPr="0023039C">
        <w:rPr>
          <w:rFonts w:ascii="Times New Roman" w:hAnsi="Times New Roman"/>
          <w:spacing w:val="-2"/>
          <w:sz w:val="13"/>
          <w:szCs w:val="13"/>
        </w:rPr>
        <w:t xml:space="preserve"> 1993, 1052.</w:t>
      </w:r>
    </w:p>
    <w:p w14:paraId="1F902FF7" w14:textId="3A55724D" w:rsidR="00657727" w:rsidRPr="0023039C" w:rsidRDefault="003F007D" w:rsidP="0023039C">
      <w:pPr>
        <w:widowControl/>
        <w:tabs>
          <w:tab w:val="left" w:pos="-720"/>
          <w:tab w:val="left" w:pos="288"/>
          <w:tab w:val="left" w:pos="567"/>
          <w:tab w:val="left" w:pos="864"/>
          <w:tab w:val="left" w:pos="1116"/>
          <w:tab w:val="left" w:pos="1418"/>
          <w:tab w:val="left" w:pos="1692"/>
          <w:tab w:val="left" w:pos="2268"/>
          <w:tab w:val="left" w:pos="2880"/>
        </w:tabs>
        <w:spacing w:line="132" w:lineRule="exact"/>
        <w:ind w:left="1418" w:hanging="1418"/>
        <w:jc w:val="both"/>
        <w:rPr>
          <w:rFonts w:ascii="Times New Roman" w:hAnsi="Times New Roman"/>
          <w:sz w:val="13"/>
          <w:szCs w:val="13"/>
        </w:rPr>
      </w:pPr>
      <w:r w:rsidRPr="0023039C">
        <w:rPr>
          <w:rFonts w:ascii="Times New Roman" w:hAnsi="Times New Roman"/>
          <w:b/>
          <w:spacing w:val="-2"/>
          <w:sz w:val="13"/>
          <w:szCs w:val="13"/>
        </w:rPr>
        <w:t xml:space="preserve">Rechtsprechung: </w:t>
      </w:r>
      <w:r w:rsidRPr="0023039C">
        <w:rPr>
          <w:rFonts w:ascii="Times New Roman" w:hAnsi="Times New Roman"/>
          <w:b/>
          <w:spacing w:val="-2"/>
          <w:sz w:val="13"/>
          <w:szCs w:val="13"/>
        </w:rPr>
        <w:tab/>
      </w:r>
      <w:r w:rsidRPr="0023039C">
        <w:rPr>
          <w:rFonts w:ascii="Times New Roman" w:hAnsi="Times New Roman"/>
          <w:b/>
          <w:spacing w:val="-2"/>
          <w:sz w:val="13"/>
          <w:szCs w:val="13"/>
        </w:rPr>
        <w:tab/>
      </w:r>
      <w:r w:rsidR="000B4D70" w:rsidRPr="0023039C">
        <w:rPr>
          <w:rFonts w:ascii="Times New Roman" w:hAnsi="Times New Roman"/>
          <w:b/>
          <w:spacing w:val="-2"/>
          <w:sz w:val="13"/>
          <w:szCs w:val="13"/>
        </w:rPr>
        <w:t xml:space="preserve">BGHSt 11, 213 </w:t>
      </w:r>
      <w:r w:rsidR="000B4D70" w:rsidRPr="0023039C">
        <w:rPr>
          <w:rFonts w:ascii="Times New Roman" w:hAnsi="Times New Roman"/>
          <w:spacing w:val="-2"/>
          <w:sz w:val="13"/>
          <w:szCs w:val="13"/>
        </w:rPr>
        <w:t>– Belehrungsfehler bei § 55 StPO („Rechtskreistheorie“);</w:t>
      </w:r>
      <w:r w:rsidR="00052649" w:rsidRPr="0023039C">
        <w:rPr>
          <w:rFonts w:ascii="Arial" w:hAnsi="Arial" w:cs="Times New Roman"/>
          <w:b/>
          <w:bCs/>
          <w:color w:val="339966"/>
          <w:sz w:val="13"/>
          <w:szCs w:val="13"/>
        </w:rPr>
        <w:t xml:space="preserve"> </w:t>
      </w:r>
      <w:r w:rsidR="00052649" w:rsidRPr="0023039C">
        <w:rPr>
          <w:rFonts w:ascii="Times New Roman" w:hAnsi="Times New Roman"/>
          <w:b/>
          <w:bCs/>
          <w:spacing w:val="-2"/>
          <w:sz w:val="13"/>
          <w:szCs w:val="13"/>
        </w:rPr>
        <w:t xml:space="preserve">BGHSt 38, 214 </w:t>
      </w:r>
      <w:r w:rsidR="00052649" w:rsidRPr="0023039C">
        <w:rPr>
          <w:rFonts w:ascii="Times New Roman" w:hAnsi="Times New Roman"/>
          <w:bCs/>
          <w:spacing w:val="-2"/>
          <w:sz w:val="13"/>
          <w:szCs w:val="13"/>
        </w:rPr>
        <w:t xml:space="preserve">– Belehrungsfehler </w:t>
      </w:r>
      <w:r w:rsidR="00B93C70" w:rsidRPr="0023039C">
        <w:rPr>
          <w:rFonts w:ascii="Times New Roman" w:hAnsi="Times New Roman"/>
          <w:bCs/>
          <w:spacing w:val="-2"/>
          <w:sz w:val="13"/>
          <w:szCs w:val="13"/>
        </w:rPr>
        <w:t>(Beweisverwertungsverbot bei Verstoß gegen Belehrungspflicht, Widerspruchslösung)</w:t>
      </w:r>
      <w:r w:rsidR="00052649" w:rsidRPr="0023039C">
        <w:rPr>
          <w:rFonts w:ascii="Times New Roman" w:hAnsi="Times New Roman"/>
          <w:bCs/>
          <w:spacing w:val="-2"/>
          <w:sz w:val="13"/>
          <w:szCs w:val="13"/>
        </w:rPr>
        <w:t xml:space="preserve">; </w:t>
      </w:r>
      <w:r w:rsidRPr="0023039C">
        <w:rPr>
          <w:rFonts w:ascii="Times New Roman" w:hAnsi="Times New Roman"/>
          <w:b/>
          <w:spacing w:val="-2"/>
          <w:sz w:val="13"/>
          <w:szCs w:val="13"/>
        </w:rPr>
        <w:t xml:space="preserve">BGHSt 45, 203 – </w:t>
      </w:r>
      <w:r w:rsidRPr="0023039C">
        <w:rPr>
          <w:rFonts w:ascii="Times New Roman" w:hAnsi="Times New Roman"/>
          <w:spacing w:val="-2"/>
          <w:sz w:val="13"/>
          <w:szCs w:val="13"/>
        </w:rPr>
        <w:t>Explorationsgespräch</w:t>
      </w:r>
      <w:r w:rsidRPr="0023039C">
        <w:rPr>
          <w:rFonts w:ascii="Times New Roman" w:hAnsi="Times New Roman"/>
          <w:b/>
          <w:spacing w:val="-2"/>
          <w:sz w:val="13"/>
          <w:szCs w:val="13"/>
        </w:rPr>
        <w:t xml:space="preserve"> </w:t>
      </w:r>
      <w:r w:rsidRPr="0023039C">
        <w:rPr>
          <w:rFonts w:ascii="Times New Roman" w:hAnsi="Times New Roman"/>
          <w:spacing w:val="-2"/>
          <w:sz w:val="13"/>
          <w:szCs w:val="13"/>
        </w:rPr>
        <w:t xml:space="preserve">(Verwertbarkeit </w:t>
      </w:r>
      <w:r w:rsidR="00363514" w:rsidRPr="0023039C">
        <w:rPr>
          <w:rFonts w:ascii="Times New Roman" w:hAnsi="Times New Roman"/>
          <w:spacing w:val="-2"/>
          <w:sz w:val="13"/>
          <w:szCs w:val="13"/>
        </w:rPr>
        <w:t xml:space="preserve">von </w:t>
      </w:r>
      <w:r w:rsidRPr="0023039C">
        <w:rPr>
          <w:rFonts w:ascii="Times New Roman" w:hAnsi="Times New Roman"/>
          <w:spacing w:val="-2"/>
          <w:sz w:val="13"/>
          <w:szCs w:val="13"/>
        </w:rPr>
        <w:t xml:space="preserve">Zeugenangaben trotz Berufens auf Zeugnisverweigerungsrecht); </w:t>
      </w:r>
      <w:r w:rsidRPr="0023039C">
        <w:rPr>
          <w:rFonts w:ascii="Times New Roman" w:hAnsi="Times New Roman"/>
          <w:b/>
          <w:spacing w:val="-2"/>
          <w:sz w:val="13"/>
          <w:szCs w:val="13"/>
        </w:rPr>
        <w:t xml:space="preserve">BGHSt 49, 72 – </w:t>
      </w:r>
      <w:r w:rsidRPr="0023039C">
        <w:rPr>
          <w:rFonts w:ascii="Times New Roman" w:hAnsi="Times New Roman"/>
          <w:spacing w:val="-2"/>
          <w:sz w:val="13"/>
          <w:szCs w:val="13"/>
        </w:rPr>
        <w:t>Videoband (Verwertungsverbot bei Nichtanwesenheit des Angeklagten);</w:t>
      </w:r>
      <w:r w:rsidR="00052649" w:rsidRPr="0023039C">
        <w:rPr>
          <w:rFonts w:ascii="Arial" w:hAnsi="Arial" w:cs="Times New Roman"/>
          <w:b/>
          <w:bCs/>
          <w:color w:val="339966"/>
          <w:sz w:val="13"/>
          <w:szCs w:val="13"/>
        </w:rPr>
        <w:t xml:space="preserve"> </w:t>
      </w:r>
      <w:r w:rsidR="00052649" w:rsidRPr="0023039C">
        <w:rPr>
          <w:rFonts w:ascii="Times New Roman" w:hAnsi="Times New Roman"/>
          <w:b/>
          <w:bCs/>
          <w:spacing w:val="-2"/>
          <w:sz w:val="13"/>
          <w:szCs w:val="13"/>
        </w:rPr>
        <w:t xml:space="preserve">BGHSt 51, 140 </w:t>
      </w:r>
      <w:r w:rsidR="00052649" w:rsidRPr="0023039C">
        <w:rPr>
          <w:rFonts w:ascii="Times New Roman" w:hAnsi="Times New Roman"/>
          <w:bCs/>
          <w:spacing w:val="-2"/>
          <w:sz w:val="13"/>
          <w:szCs w:val="13"/>
        </w:rPr>
        <w:t xml:space="preserve">– Anstaltsseelsorger (Zeugnisverweigerungsrecht eines Laienseelsorgers); </w:t>
      </w:r>
      <w:r w:rsidR="004044FD" w:rsidRPr="0023039C">
        <w:rPr>
          <w:rFonts w:ascii="Times New Roman" w:hAnsi="Times New Roman"/>
          <w:b/>
          <w:bCs/>
          <w:spacing w:val="-2"/>
          <w:sz w:val="13"/>
          <w:szCs w:val="13"/>
        </w:rPr>
        <w:t>BGHSt 61, 221</w:t>
      </w:r>
      <w:r w:rsidR="004044FD" w:rsidRPr="0023039C">
        <w:rPr>
          <w:rFonts w:ascii="Times New Roman" w:hAnsi="Times New Roman"/>
          <w:bCs/>
          <w:spacing w:val="-2"/>
          <w:sz w:val="13"/>
          <w:szCs w:val="13"/>
        </w:rPr>
        <w:t xml:space="preserve"> – Ermittlungsrichterprivileg (qualifizierte Belehrung nicht erforderlich); </w:t>
      </w:r>
      <w:r w:rsidR="00B93C70" w:rsidRPr="0023039C">
        <w:rPr>
          <w:rFonts w:ascii="Times New Roman" w:hAnsi="Times New Roman"/>
          <w:b/>
          <w:spacing w:val="-2"/>
          <w:sz w:val="13"/>
          <w:szCs w:val="13"/>
        </w:rPr>
        <w:t>BGH StV 1998, 360</w:t>
      </w:r>
      <w:r w:rsidR="00B93C70" w:rsidRPr="0023039C">
        <w:rPr>
          <w:rFonts w:ascii="Times New Roman" w:hAnsi="Times New Roman"/>
          <w:spacing w:val="-2"/>
          <w:sz w:val="13"/>
          <w:szCs w:val="13"/>
        </w:rPr>
        <w:t xml:space="preserve"> – Belehrung (Zeugnisverweigerungsrecht des Angehörigen bei Inanspruchnahme der Hilfe des Jugendamtes und des Vormundschaftsrichters);</w:t>
      </w:r>
      <w:r w:rsidR="00B93C70" w:rsidRPr="0023039C">
        <w:rPr>
          <w:rFonts w:ascii="Times New Roman" w:hAnsi="Times New Roman"/>
          <w:b/>
          <w:spacing w:val="-2"/>
          <w:sz w:val="13"/>
          <w:szCs w:val="13"/>
        </w:rPr>
        <w:t xml:space="preserve"> </w:t>
      </w:r>
      <w:r w:rsidRPr="0023039C">
        <w:rPr>
          <w:rFonts w:ascii="Times New Roman" w:hAnsi="Times New Roman"/>
          <w:b/>
          <w:spacing w:val="-2"/>
          <w:sz w:val="13"/>
          <w:szCs w:val="13"/>
        </w:rPr>
        <w:t xml:space="preserve">BGH NJW 2005, 765 – </w:t>
      </w:r>
      <w:r w:rsidRPr="0023039C">
        <w:rPr>
          <w:rFonts w:ascii="Times New Roman" w:hAnsi="Times New Roman"/>
          <w:spacing w:val="-2"/>
          <w:sz w:val="13"/>
          <w:szCs w:val="13"/>
        </w:rPr>
        <w:t xml:space="preserve">Jugendgerichtshilfe (Vernehmungsbegriff); </w:t>
      </w:r>
      <w:r w:rsidR="00052649" w:rsidRPr="0023039C">
        <w:rPr>
          <w:rFonts w:ascii="Times New Roman" w:hAnsi="Times New Roman"/>
          <w:b/>
          <w:spacing w:val="-2"/>
          <w:sz w:val="13"/>
          <w:szCs w:val="13"/>
        </w:rPr>
        <w:t xml:space="preserve">BGH NJW 2012, 3192 </w:t>
      </w:r>
      <w:r w:rsidR="00052649" w:rsidRPr="0023039C">
        <w:rPr>
          <w:rFonts w:ascii="Times New Roman" w:hAnsi="Times New Roman"/>
          <w:spacing w:val="-2"/>
          <w:sz w:val="13"/>
          <w:szCs w:val="13"/>
        </w:rPr>
        <w:t>– Protokollverlesung nach Zeugnisverweigerung (Verzicht auf Verwertungsverbot);</w:t>
      </w:r>
      <w:r w:rsidR="00052649" w:rsidRPr="0023039C">
        <w:rPr>
          <w:rFonts w:ascii="Times New Roman" w:hAnsi="Times New Roman"/>
          <w:b/>
          <w:spacing w:val="-2"/>
          <w:sz w:val="13"/>
          <w:szCs w:val="13"/>
        </w:rPr>
        <w:t xml:space="preserve"> BGH NStZ 2013, 247</w:t>
      </w:r>
      <w:r w:rsidR="00052649" w:rsidRPr="0023039C">
        <w:rPr>
          <w:rFonts w:ascii="Times New Roman" w:hAnsi="Times New Roman"/>
          <w:spacing w:val="-2"/>
          <w:sz w:val="13"/>
          <w:szCs w:val="13"/>
        </w:rPr>
        <w:t xml:space="preserve"> – Tonbandaufnahmen (Zeugnisverweigerung in der Hauptverhandlung), vgl. </w:t>
      </w:r>
      <w:r w:rsidR="00CD430F" w:rsidRPr="0023039C">
        <w:rPr>
          <w:rFonts w:ascii="Times New Roman" w:hAnsi="Times New Roman"/>
          <w:i/>
          <w:iCs/>
          <w:spacing w:val="-2"/>
          <w:sz w:val="13"/>
          <w:szCs w:val="13"/>
        </w:rPr>
        <w:t>Eckoldt/Gölzer</w:t>
      </w:r>
      <w:r w:rsidR="00CD430F" w:rsidRPr="0023039C">
        <w:rPr>
          <w:rFonts w:ascii="Times New Roman" w:hAnsi="Times New Roman"/>
          <w:spacing w:val="-2"/>
          <w:sz w:val="13"/>
          <w:szCs w:val="13"/>
        </w:rPr>
        <w:t xml:space="preserve">, </w:t>
      </w:r>
      <w:r w:rsidR="00052649" w:rsidRPr="0023039C">
        <w:rPr>
          <w:rFonts w:ascii="Times New Roman" w:hAnsi="Times New Roman"/>
          <w:spacing w:val="-2"/>
          <w:sz w:val="13"/>
          <w:szCs w:val="13"/>
        </w:rPr>
        <w:t xml:space="preserve">famos </w:t>
      </w:r>
      <w:r w:rsidR="00B91DB7" w:rsidRPr="0023039C">
        <w:rPr>
          <w:rFonts w:ascii="Times New Roman" w:hAnsi="Times New Roman"/>
          <w:spacing w:val="-2"/>
          <w:sz w:val="13"/>
          <w:szCs w:val="13"/>
        </w:rPr>
        <w:t>0</w:t>
      </w:r>
      <w:r w:rsidR="00052649" w:rsidRPr="0023039C">
        <w:rPr>
          <w:rFonts w:ascii="Times New Roman" w:hAnsi="Times New Roman"/>
          <w:spacing w:val="-2"/>
          <w:sz w:val="13"/>
          <w:szCs w:val="13"/>
        </w:rPr>
        <w:t>3/2013;</w:t>
      </w:r>
      <w:r w:rsidR="00052649" w:rsidRPr="0023039C">
        <w:rPr>
          <w:rFonts w:ascii="Times New Roman" w:hAnsi="Times New Roman"/>
          <w:b/>
          <w:spacing w:val="-2"/>
          <w:sz w:val="13"/>
          <w:szCs w:val="13"/>
        </w:rPr>
        <w:t xml:space="preserve"> </w:t>
      </w:r>
      <w:r w:rsidR="00D348DE" w:rsidRPr="0023039C">
        <w:rPr>
          <w:rFonts w:ascii="Times New Roman" w:hAnsi="Times New Roman"/>
          <w:b/>
          <w:spacing w:val="-2"/>
          <w:sz w:val="13"/>
          <w:szCs w:val="13"/>
        </w:rPr>
        <w:t xml:space="preserve">BGH NStZ 2013, 725 </w:t>
      </w:r>
      <w:r w:rsidR="00D348DE" w:rsidRPr="0023039C">
        <w:rPr>
          <w:rFonts w:ascii="Times New Roman" w:hAnsi="Times New Roman"/>
          <w:spacing w:val="-2"/>
          <w:sz w:val="13"/>
          <w:szCs w:val="13"/>
        </w:rPr>
        <w:t xml:space="preserve">– Handyaufnahme (Reichweite des Verwertungsverbotes nach § 252 StPO); </w:t>
      </w:r>
      <w:r w:rsidR="00052649" w:rsidRPr="0023039C">
        <w:rPr>
          <w:rFonts w:ascii="Times New Roman" w:hAnsi="Times New Roman"/>
          <w:b/>
          <w:spacing w:val="-2"/>
          <w:sz w:val="13"/>
          <w:szCs w:val="13"/>
        </w:rPr>
        <w:t>BGH NStZ 2015, 232</w:t>
      </w:r>
      <w:r w:rsidR="00052649" w:rsidRPr="0023039C">
        <w:rPr>
          <w:rFonts w:ascii="Times New Roman" w:hAnsi="Times New Roman"/>
          <w:spacing w:val="-2"/>
          <w:sz w:val="13"/>
          <w:szCs w:val="13"/>
        </w:rPr>
        <w:t xml:space="preserve"> – „Qualifizierte“ Belehrung (</w:t>
      </w:r>
      <w:r w:rsidR="00363514" w:rsidRPr="0023039C">
        <w:rPr>
          <w:rFonts w:ascii="Times New Roman" w:hAnsi="Times New Roman"/>
          <w:spacing w:val="-2"/>
          <w:sz w:val="13"/>
          <w:szCs w:val="13"/>
        </w:rPr>
        <w:t>B</w:t>
      </w:r>
      <w:r w:rsidR="004B6E6B" w:rsidRPr="0023039C">
        <w:rPr>
          <w:rFonts w:ascii="Times New Roman" w:hAnsi="Times New Roman"/>
          <w:spacing w:val="-2"/>
          <w:sz w:val="13"/>
          <w:szCs w:val="13"/>
        </w:rPr>
        <w:t>elehrun</w:t>
      </w:r>
      <w:r w:rsidR="00363514" w:rsidRPr="0023039C">
        <w:rPr>
          <w:rFonts w:ascii="Times New Roman" w:hAnsi="Times New Roman"/>
          <w:spacing w:val="-2"/>
          <w:sz w:val="13"/>
          <w:szCs w:val="13"/>
        </w:rPr>
        <w:t xml:space="preserve">g </w:t>
      </w:r>
      <w:r w:rsidR="00052649" w:rsidRPr="0023039C">
        <w:rPr>
          <w:rFonts w:ascii="Times New Roman" w:hAnsi="Times New Roman"/>
          <w:spacing w:val="-2"/>
          <w:sz w:val="13"/>
          <w:szCs w:val="13"/>
        </w:rPr>
        <w:t>über rechtliche Folgen einer Gestattung der Verwertung frühere</w:t>
      </w:r>
      <w:r w:rsidR="00363514" w:rsidRPr="0023039C">
        <w:rPr>
          <w:rFonts w:ascii="Times New Roman" w:hAnsi="Times New Roman"/>
          <w:spacing w:val="-2"/>
          <w:sz w:val="13"/>
          <w:szCs w:val="13"/>
        </w:rPr>
        <w:t>r</w:t>
      </w:r>
      <w:r w:rsidR="00052649" w:rsidRPr="0023039C">
        <w:rPr>
          <w:rFonts w:ascii="Times New Roman" w:hAnsi="Times New Roman"/>
          <w:spacing w:val="-2"/>
          <w:sz w:val="13"/>
          <w:szCs w:val="13"/>
        </w:rPr>
        <w:t xml:space="preserve"> Angaben);</w:t>
      </w:r>
      <w:r w:rsidRPr="0023039C">
        <w:rPr>
          <w:rFonts w:ascii="Times New Roman" w:hAnsi="Times New Roman"/>
          <w:spacing w:val="-2"/>
          <w:sz w:val="13"/>
          <w:szCs w:val="13"/>
        </w:rPr>
        <w:t xml:space="preserve"> </w:t>
      </w:r>
      <w:r w:rsidR="00795691" w:rsidRPr="0023039C">
        <w:rPr>
          <w:rFonts w:ascii="Times New Roman" w:hAnsi="Times New Roman"/>
          <w:b/>
          <w:spacing w:val="-2"/>
          <w:sz w:val="13"/>
          <w:szCs w:val="13"/>
        </w:rPr>
        <w:t>BGH NJW 2017, 94 –</w:t>
      </w:r>
      <w:r w:rsidR="00795691" w:rsidRPr="0023039C">
        <w:rPr>
          <w:rFonts w:ascii="Times New Roman" w:hAnsi="Times New Roman"/>
          <w:spacing w:val="-2"/>
          <w:sz w:val="13"/>
          <w:szCs w:val="13"/>
        </w:rPr>
        <w:t xml:space="preserve"> Umfang der Belehrung bei ermittlungsrichterlicher Vernehmung eines Angehörigen (keine Erforderlichkeit einer weitergehenden Belehrung durch den vernehmenden Richter über die Möglichkeit der Einführung und Verwertung dieser Aussage); </w:t>
      </w:r>
      <w:r w:rsidR="00C30899" w:rsidRPr="0023039C">
        <w:rPr>
          <w:rFonts w:ascii="Times New Roman" w:hAnsi="Times New Roman"/>
          <w:b/>
          <w:spacing w:val="-2"/>
          <w:sz w:val="13"/>
          <w:szCs w:val="13"/>
        </w:rPr>
        <w:t>BGH NStZ-RR 2021, 142</w:t>
      </w:r>
      <w:r w:rsidR="00C30899" w:rsidRPr="0023039C">
        <w:rPr>
          <w:rFonts w:ascii="Times New Roman" w:hAnsi="Times New Roman"/>
          <w:spacing w:val="-2"/>
          <w:sz w:val="13"/>
          <w:szCs w:val="13"/>
        </w:rPr>
        <w:t xml:space="preserve"> – Zeugnisverweigerungsrecht (Sitzungsstaatsanwältin als Zeugin); </w:t>
      </w:r>
      <w:r w:rsidR="0042556F" w:rsidRPr="0023039C">
        <w:rPr>
          <w:rFonts w:ascii="Times New Roman" w:hAnsi="Times New Roman"/>
          <w:b/>
          <w:bCs/>
          <w:spacing w:val="-2"/>
          <w:sz w:val="13"/>
          <w:szCs w:val="13"/>
        </w:rPr>
        <w:t>BGH NStZ 2024, 56</w:t>
      </w:r>
      <w:r w:rsidR="0042556F">
        <w:rPr>
          <w:rFonts w:ascii="Times New Roman" w:hAnsi="Times New Roman"/>
          <w:spacing w:val="-2"/>
          <w:sz w:val="13"/>
          <w:szCs w:val="13"/>
        </w:rPr>
        <w:t xml:space="preserve"> – </w:t>
      </w:r>
      <w:r w:rsidR="00F4670E">
        <w:rPr>
          <w:rFonts w:ascii="Times New Roman" w:hAnsi="Times New Roman"/>
          <w:spacing w:val="-2"/>
          <w:sz w:val="13"/>
          <w:szCs w:val="13"/>
        </w:rPr>
        <w:t xml:space="preserve">Verwertbarkeit einer rechtsfehlerhaften audio-visuellen Zeugenvernehmung (nachträglich Zeugnisverweigerung); </w:t>
      </w:r>
      <w:r w:rsidR="0042556F" w:rsidRPr="00465CA3">
        <w:rPr>
          <w:rFonts w:ascii="Times New Roman" w:hAnsi="Times New Roman"/>
          <w:b/>
          <w:bCs/>
          <w:spacing w:val="-2"/>
          <w:sz w:val="13"/>
          <w:szCs w:val="13"/>
        </w:rPr>
        <w:t>BGH NStZ 2024, 173</w:t>
      </w:r>
      <w:r w:rsidR="0042556F">
        <w:rPr>
          <w:rFonts w:ascii="Times New Roman" w:hAnsi="Times New Roman"/>
          <w:spacing w:val="-2"/>
          <w:sz w:val="13"/>
          <w:szCs w:val="13"/>
        </w:rPr>
        <w:t xml:space="preserve"> – </w:t>
      </w:r>
      <w:r w:rsidR="00EE4A64">
        <w:rPr>
          <w:rFonts w:ascii="Times New Roman" w:hAnsi="Times New Roman"/>
          <w:spacing w:val="-2"/>
          <w:sz w:val="13"/>
          <w:szCs w:val="13"/>
        </w:rPr>
        <w:t>Freigabeerklärung (</w:t>
      </w:r>
      <w:r w:rsidR="00EE4A64" w:rsidRPr="00427784">
        <w:rPr>
          <w:rFonts w:ascii="Times New Roman" w:hAnsi="Times New Roman"/>
          <w:spacing w:val="-2"/>
          <w:sz w:val="13"/>
          <w:szCs w:val="13"/>
        </w:rPr>
        <w:t>Unzulässigkeit der selektiven Gestattung der Verwertung früherer Vernehmungen</w:t>
      </w:r>
      <w:r w:rsidR="00EE4A64">
        <w:rPr>
          <w:rFonts w:ascii="Times New Roman" w:hAnsi="Times New Roman"/>
          <w:spacing w:val="-2"/>
          <w:sz w:val="13"/>
          <w:szCs w:val="13"/>
        </w:rPr>
        <w:t>)</w:t>
      </w:r>
      <w:r w:rsidR="0042556F">
        <w:rPr>
          <w:rFonts w:ascii="Times New Roman" w:hAnsi="Times New Roman"/>
          <w:spacing w:val="-2"/>
          <w:sz w:val="13"/>
          <w:szCs w:val="13"/>
        </w:rPr>
        <w:t xml:space="preserve">, vgl. </w:t>
      </w:r>
      <w:r w:rsidR="0042556F" w:rsidRPr="00465CA3">
        <w:rPr>
          <w:rFonts w:ascii="Times New Roman" w:hAnsi="Times New Roman"/>
          <w:i/>
          <w:iCs/>
          <w:spacing w:val="-2"/>
          <w:sz w:val="13"/>
          <w:szCs w:val="13"/>
        </w:rPr>
        <w:t>Hack/Salzer</w:t>
      </w:r>
      <w:r w:rsidR="0042556F">
        <w:rPr>
          <w:rFonts w:ascii="Times New Roman" w:hAnsi="Times New Roman"/>
          <w:spacing w:val="-2"/>
          <w:sz w:val="13"/>
          <w:szCs w:val="13"/>
        </w:rPr>
        <w:t xml:space="preserve">, famos 04/2024; </w:t>
      </w:r>
      <w:r w:rsidRPr="0023039C">
        <w:rPr>
          <w:rFonts w:ascii="Times New Roman" w:hAnsi="Times New Roman"/>
          <w:b/>
          <w:spacing w:val="-2"/>
          <w:sz w:val="13"/>
          <w:szCs w:val="13"/>
        </w:rPr>
        <w:t>OLG Saarbrücken NJW 2008, 1396</w:t>
      </w:r>
      <w:r w:rsidRPr="0023039C">
        <w:rPr>
          <w:rFonts w:ascii="Times New Roman" w:hAnsi="Times New Roman"/>
          <w:spacing w:val="-2"/>
          <w:sz w:val="13"/>
          <w:szCs w:val="13"/>
        </w:rPr>
        <w:t xml:space="preserve"> – Spontanäußerung (Verwertbarkeit de</w:t>
      </w:r>
      <w:r w:rsidR="000B4D70" w:rsidRPr="0023039C">
        <w:rPr>
          <w:rFonts w:ascii="Times New Roman" w:hAnsi="Times New Roman"/>
          <w:spacing w:val="-2"/>
          <w:sz w:val="13"/>
          <w:szCs w:val="13"/>
        </w:rPr>
        <w:t>r Spontanäußerung einer Zeugin)</w:t>
      </w:r>
      <w:r w:rsidR="00D3291C">
        <w:rPr>
          <w:rFonts w:ascii="Times New Roman" w:hAnsi="Times New Roman"/>
          <w:spacing w:val="-2"/>
          <w:sz w:val="13"/>
          <w:szCs w:val="13"/>
        </w:rPr>
        <w:t>.</w:t>
      </w:r>
    </w:p>
    <w:sectPr w:rsidR="00657727" w:rsidRPr="0023039C" w:rsidSect="003F007D">
      <w:pgSz w:w="11900" w:h="16840"/>
      <w:pgMar w:top="567" w:right="624" w:bottom="454" w:left="107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41D9" w14:textId="77777777" w:rsidR="007F5349" w:rsidRDefault="007F5349" w:rsidP="00F578A1">
      <w:r>
        <w:separator/>
      </w:r>
    </w:p>
  </w:endnote>
  <w:endnote w:type="continuationSeparator" w:id="0">
    <w:p w14:paraId="32E75943" w14:textId="77777777" w:rsidR="007F5349" w:rsidRDefault="007F5349" w:rsidP="00F5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55AE8" w14:textId="77777777" w:rsidR="007F5349" w:rsidRDefault="007F5349" w:rsidP="00F578A1">
      <w:r>
        <w:separator/>
      </w:r>
    </w:p>
  </w:footnote>
  <w:footnote w:type="continuationSeparator" w:id="0">
    <w:p w14:paraId="1C115F9F" w14:textId="77777777" w:rsidR="007F5349" w:rsidRDefault="007F5349" w:rsidP="00F57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886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56D32B1"/>
    <w:multiLevelType w:val="hybridMultilevel"/>
    <w:tmpl w:val="8674B266"/>
    <w:lvl w:ilvl="0" w:tplc="C3866A1A">
      <w:start w:val="1"/>
      <w:numFmt w:val="decimal"/>
      <w:lvlText w:val="%1."/>
      <w:lvlJc w:val="left"/>
      <w:pPr>
        <w:tabs>
          <w:tab w:val="num" w:pos="927"/>
        </w:tabs>
        <w:ind w:left="927" w:hanging="360"/>
      </w:pPr>
      <w:rPr>
        <w:rFonts w:hint="default"/>
        <w:u w:val="single"/>
      </w:rPr>
    </w:lvl>
    <w:lvl w:ilvl="1" w:tplc="00190407" w:tentative="1">
      <w:start w:val="1"/>
      <w:numFmt w:val="lowerLetter"/>
      <w:lvlText w:val="%2."/>
      <w:lvlJc w:val="left"/>
      <w:pPr>
        <w:tabs>
          <w:tab w:val="num" w:pos="1647"/>
        </w:tabs>
        <w:ind w:left="1647" w:hanging="360"/>
      </w:pPr>
    </w:lvl>
    <w:lvl w:ilvl="2" w:tplc="001B0407" w:tentative="1">
      <w:start w:val="1"/>
      <w:numFmt w:val="lowerRoman"/>
      <w:lvlText w:val="%3."/>
      <w:lvlJc w:val="right"/>
      <w:pPr>
        <w:tabs>
          <w:tab w:val="num" w:pos="2367"/>
        </w:tabs>
        <w:ind w:left="2367" w:hanging="180"/>
      </w:pPr>
    </w:lvl>
    <w:lvl w:ilvl="3" w:tplc="000F0407" w:tentative="1">
      <w:start w:val="1"/>
      <w:numFmt w:val="decimal"/>
      <w:lvlText w:val="%4."/>
      <w:lvlJc w:val="left"/>
      <w:pPr>
        <w:tabs>
          <w:tab w:val="num" w:pos="3087"/>
        </w:tabs>
        <w:ind w:left="3087" w:hanging="360"/>
      </w:pPr>
    </w:lvl>
    <w:lvl w:ilvl="4" w:tplc="00190407" w:tentative="1">
      <w:start w:val="1"/>
      <w:numFmt w:val="lowerLetter"/>
      <w:lvlText w:val="%5."/>
      <w:lvlJc w:val="left"/>
      <w:pPr>
        <w:tabs>
          <w:tab w:val="num" w:pos="3807"/>
        </w:tabs>
        <w:ind w:left="3807" w:hanging="360"/>
      </w:pPr>
    </w:lvl>
    <w:lvl w:ilvl="5" w:tplc="001B0407" w:tentative="1">
      <w:start w:val="1"/>
      <w:numFmt w:val="lowerRoman"/>
      <w:lvlText w:val="%6."/>
      <w:lvlJc w:val="right"/>
      <w:pPr>
        <w:tabs>
          <w:tab w:val="num" w:pos="4527"/>
        </w:tabs>
        <w:ind w:left="4527" w:hanging="180"/>
      </w:pPr>
    </w:lvl>
    <w:lvl w:ilvl="6" w:tplc="000F0407" w:tentative="1">
      <w:start w:val="1"/>
      <w:numFmt w:val="decimal"/>
      <w:lvlText w:val="%7."/>
      <w:lvlJc w:val="left"/>
      <w:pPr>
        <w:tabs>
          <w:tab w:val="num" w:pos="5247"/>
        </w:tabs>
        <w:ind w:left="5247" w:hanging="360"/>
      </w:pPr>
    </w:lvl>
    <w:lvl w:ilvl="7" w:tplc="00190407" w:tentative="1">
      <w:start w:val="1"/>
      <w:numFmt w:val="lowerLetter"/>
      <w:lvlText w:val="%8."/>
      <w:lvlJc w:val="left"/>
      <w:pPr>
        <w:tabs>
          <w:tab w:val="num" w:pos="5967"/>
        </w:tabs>
        <w:ind w:left="5967" w:hanging="360"/>
      </w:pPr>
    </w:lvl>
    <w:lvl w:ilvl="8" w:tplc="001B0407" w:tentative="1">
      <w:start w:val="1"/>
      <w:numFmt w:val="lowerRoman"/>
      <w:lvlText w:val="%9."/>
      <w:lvlJc w:val="right"/>
      <w:pPr>
        <w:tabs>
          <w:tab w:val="num" w:pos="6687"/>
        </w:tabs>
        <w:ind w:left="6687" w:hanging="180"/>
      </w:pPr>
    </w:lvl>
  </w:abstractNum>
  <w:num w:numId="1" w16cid:durableId="1513375970">
    <w:abstractNumId w:val="1"/>
  </w:num>
  <w:num w:numId="2" w16cid:durableId="159104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CB"/>
    <w:rsid w:val="00015121"/>
    <w:rsid w:val="000169CE"/>
    <w:rsid w:val="00032494"/>
    <w:rsid w:val="00043A9B"/>
    <w:rsid w:val="00051402"/>
    <w:rsid w:val="00052649"/>
    <w:rsid w:val="000539AB"/>
    <w:rsid w:val="0006665A"/>
    <w:rsid w:val="000B4D70"/>
    <w:rsid w:val="000C43A0"/>
    <w:rsid w:val="000C73FE"/>
    <w:rsid w:val="001109AC"/>
    <w:rsid w:val="00133CA1"/>
    <w:rsid w:val="00154670"/>
    <w:rsid w:val="001A445A"/>
    <w:rsid w:val="001B2E46"/>
    <w:rsid w:val="0020109E"/>
    <w:rsid w:val="00201110"/>
    <w:rsid w:val="00225E32"/>
    <w:rsid w:val="0023039C"/>
    <w:rsid w:val="002A305F"/>
    <w:rsid w:val="002B1951"/>
    <w:rsid w:val="002D3931"/>
    <w:rsid w:val="002E0352"/>
    <w:rsid w:val="002F7FA4"/>
    <w:rsid w:val="00303786"/>
    <w:rsid w:val="003075F9"/>
    <w:rsid w:val="00317D42"/>
    <w:rsid w:val="0032652A"/>
    <w:rsid w:val="00327EA4"/>
    <w:rsid w:val="00340AD8"/>
    <w:rsid w:val="00355BEC"/>
    <w:rsid w:val="00363514"/>
    <w:rsid w:val="003822A5"/>
    <w:rsid w:val="00382C25"/>
    <w:rsid w:val="00385228"/>
    <w:rsid w:val="0038613F"/>
    <w:rsid w:val="0039470D"/>
    <w:rsid w:val="003C3824"/>
    <w:rsid w:val="003D5B9E"/>
    <w:rsid w:val="003E254F"/>
    <w:rsid w:val="003F007D"/>
    <w:rsid w:val="003F5503"/>
    <w:rsid w:val="00400F59"/>
    <w:rsid w:val="004044FD"/>
    <w:rsid w:val="00404B82"/>
    <w:rsid w:val="00410134"/>
    <w:rsid w:val="0042556F"/>
    <w:rsid w:val="0046150B"/>
    <w:rsid w:val="00467187"/>
    <w:rsid w:val="0048579A"/>
    <w:rsid w:val="004864DA"/>
    <w:rsid w:val="004B6E6B"/>
    <w:rsid w:val="004C3221"/>
    <w:rsid w:val="004C7EE9"/>
    <w:rsid w:val="004E74D1"/>
    <w:rsid w:val="00501B24"/>
    <w:rsid w:val="0052079B"/>
    <w:rsid w:val="00534A4F"/>
    <w:rsid w:val="0058721F"/>
    <w:rsid w:val="00593231"/>
    <w:rsid w:val="00593B6C"/>
    <w:rsid w:val="006106CB"/>
    <w:rsid w:val="00657727"/>
    <w:rsid w:val="00660DDE"/>
    <w:rsid w:val="0066379C"/>
    <w:rsid w:val="00666FF2"/>
    <w:rsid w:val="00671C56"/>
    <w:rsid w:val="006A0006"/>
    <w:rsid w:val="006A5C45"/>
    <w:rsid w:val="006B0135"/>
    <w:rsid w:val="006C54D8"/>
    <w:rsid w:val="006E4127"/>
    <w:rsid w:val="006E6C92"/>
    <w:rsid w:val="00701B60"/>
    <w:rsid w:val="00717A55"/>
    <w:rsid w:val="00751A30"/>
    <w:rsid w:val="00756508"/>
    <w:rsid w:val="00766CDB"/>
    <w:rsid w:val="007747C5"/>
    <w:rsid w:val="0077501C"/>
    <w:rsid w:val="00784045"/>
    <w:rsid w:val="00795691"/>
    <w:rsid w:val="007B1456"/>
    <w:rsid w:val="007E2DAF"/>
    <w:rsid w:val="007F5349"/>
    <w:rsid w:val="00855772"/>
    <w:rsid w:val="008606FD"/>
    <w:rsid w:val="00882038"/>
    <w:rsid w:val="0088235B"/>
    <w:rsid w:val="008A2BD3"/>
    <w:rsid w:val="008B37FE"/>
    <w:rsid w:val="008D0E9E"/>
    <w:rsid w:val="00932E95"/>
    <w:rsid w:val="0093553F"/>
    <w:rsid w:val="00953FDB"/>
    <w:rsid w:val="0097241E"/>
    <w:rsid w:val="009A1C95"/>
    <w:rsid w:val="009C61EA"/>
    <w:rsid w:val="009D38F3"/>
    <w:rsid w:val="009D713B"/>
    <w:rsid w:val="009F2EA2"/>
    <w:rsid w:val="00A119E9"/>
    <w:rsid w:val="00A22EB4"/>
    <w:rsid w:val="00A826E7"/>
    <w:rsid w:val="00A9277D"/>
    <w:rsid w:val="00A93CB7"/>
    <w:rsid w:val="00AA1030"/>
    <w:rsid w:val="00AA61A6"/>
    <w:rsid w:val="00AC25AB"/>
    <w:rsid w:val="00B1649D"/>
    <w:rsid w:val="00B2443C"/>
    <w:rsid w:val="00B708C8"/>
    <w:rsid w:val="00B8369F"/>
    <w:rsid w:val="00B85C22"/>
    <w:rsid w:val="00B87411"/>
    <w:rsid w:val="00B91DB7"/>
    <w:rsid w:val="00B93C70"/>
    <w:rsid w:val="00BA2449"/>
    <w:rsid w:val="00BC4AA9"/>
    <w:rsid w:val="00BE0094"/>
    <w:rsid w:val="00C016A2"/>
    <w:rsid w:val="00C0534C"/>
    <w:rsid w:val="00C113C1"/>
    <w:rsid w:val="00C22D47"/>
    <w:rsid w:val="00C27D38"/>
    <w:rsid w:val="00C30899"/>
    <w:rsid w:val="00C53C4D"/>
    <w:rsid w:val="00C80C64"/>
    <w:rsid w:val="00C90493"/>
    <w:rsid w:val="00C92C9A"/>
    <w:rsid w:val="00CA007D"/>
    <w:rsid w:val="00CA0608"/>
    <w:rsid w:val="00CA6D17"/>
    <w:rsid w:val="00CD0984"/>
    <w:rsid w:val="00CD430F"/>
    <w:rsid w:val="00D101F0"/>
    <w:rsid w:val="00D24BD3"/>
    <w:rsid w:val="00D3291C"/>
    <w:rsid w:val="00D34015"/>
    <w:rsid w:val="00D348DE"/>
    <w:rsid w:val="00D5401B"/>
    <w:rsid w:val="00D54F1F"/>
    <w:rsid w:val="00D61564"/>
    <w:rsid w:val="00D740E8"/>
    <w:rsid w:val="00DD6961"/>
    <w:rsid w:val="00DE098E"/>
    <w:rsid w:val="00E21895"/>
    <w:rsid w:val="00E25162"/>
    <w:rsid w:val="00E45628"/>
    <w:rsid w:val="00E4652E"/>
    <w:rsid w:val="00E87617"/>
    <w:rsid w:val="00EC1146"/>
    <w:rsid w:val="00EC684E"/>
    <w:rsid w:val="00ED321D"/>
    <w:rsid w:val="00EE4A64"/>
    <w:rsid w:val="00EE6A4E"/>
    <w:rsid w:val="00F17471"/>
    <w:rsid w:val="00F4670E"/>
    <w:rsid w:val="00F578A1"/>
    <w:rsid w:val="00F63EC9"/>
    <w:rsid w:val="00F67978"/>
    <w:rsid w:val="00F969FB"/>
    <w:rsid w:val="00FB59A5"/>
    <w:rsid w:val="00FC12A4"/>
    <w:rsid w:val="00FD08CE"/>
    <w:rsid w:val="00FD7508"/>
    <w:rsid w:val="00FE0F0C"/>
    <w:rsid w:val="00FE311C"/>
    <w:rsid w:val="00FF60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E2C3BD"/>
  <w15:chartTrackingRefBased/>
  <w15:docId w15:val="{91B90198-F907-4249-B61F-1B1F129A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3DCD"/>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A93DCD"/>
  </w:style>
  <w:style w:type="paragraph" w:styleId="Sprechblasentext">
    <w:name w:val="Balloon Text"/>
    <w:basedOn w:val="Standard"/>
    <w:semiHidden/>
    <w:rsid w:val="00B90A14"/>
    <w:rPr>
      <w:rFonts w:ascii="Tahoma" w:hAnsi="Tahoma" w:cs="Tahoma"/>
      <w:sz w:val="16"/>
      <w:szCs w:val="16"/>
    </w:rPr>
  </w:style>
  <w:style w:type="character" w:styleId="Kommentarzeichen">
    <w:name w:val="annotation reference"/>
    <w:uiPriority w:val="99"/>
    <w:semiHidden/>
    <w:unhideWhenUsed/>
    <w:rsid w:val="00B2443C"/>
    <w:rPr>
      <w:sz w:val="18"/>
      <w:szCs w:val="18"/>
    </w:rPr>
  </w:style>
  <w:style w:type="paragraph" w:styleId="Kommentartext">
    <w:name w:val="annotation text"/>
    <w:basedOn w:val="Standard"/>
    <w:link w:val="KommentartextZchn"/>
    <w:uiPriority w:val="99"/>
    <w:semiHidden/>
    <w:unhideWhenUsed/>
    <w:rsid w:val="00B2443C"/>
  </w:style>
  <w:style w:type="character" w:customStyle="1" w:styleId="KommentartextZchn">
    <w:name w:val="Kommentartext Zchn"/>
    <w:link w:val="Kommentartext"/>
    <w:uiPriority w:val="99"/>
    <w:semiHidden/>
    <w:rsid w:val="00B2443C"/>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B2443C"/>
    <w:rPr>
      <w:b/>
      <w:bCs/>
      <w:sz w:val="20"/>
      <w:szCs w:val="20"/>
    </w:rPr>
  </w:style>
  <w:style w:type="character" w:customStyle="1" w:styleId="KommentarthemaZchn">
    <w:name w:val="Kommentarthema Zchn"/>
    <w:link w:val="Kommentarthema"/>
    <w:uiPriority w:val="99"/>
    <w:semiHidden/>
    <w:rsid w:val="00B2443C"/>
    <w:rPr>
      <w:rFonts w:ascii="Dutch Roman 12pt" w:hAnsi="Dutch Roman 12pt" w:cs="Arial Narrow"/>
      <w:b/>
      <w:bCs/>
      <w:sz w:val="24"/>
      <w:szCs w:val="24"/>
    </w:rPr>
  </w:style>
  <w:style w:type="paragraph" w:styleId="Kopfzeile">
    <w:name w:val="header"/>
    <w:basedOn w:val="Standard"/>
    <w:link w:val="KopfzeileZchn"/>
    <w:uiPriority w:val="99"/>
    <w:unhideWhenUsed/>
    <w:rsid w:val="00F578A1"/>
    <w:pPr>
      <w:tabs>
        <w:tab w:val="center" w:pos="4536"/>
        <w:tab w:val="right" w:pos="9072"/>
      </w:tabs>
    </w:pPr>
  </w:style>
  <w:style w:type="character" w:customStyle="1" w:styleId="KopfzeileZchn">
    <w:name w:val="Kopfzeile Zchn"/>
    <w:link w:val="Kopfzeile"/>
    <w:uiPriority w:val="99"/>
    <w:rsid w:val="00F578A1"/>
    <w:rPr>
      <w:rFonts w:ascii="Dutch Roman 12pt" w:hAnsi="Dutch Roman 12pt" w:cs="Arial Narrow"/>
      <w:sz w:val="24"/>
      <w:szCs w:val="24"/>
    </w:rPr>
  </w:style>
  <w:style w:type="paragraph" w:styleId="Fuzeile">
    <w:name w:val="footer"/>
    <w:basedOn w:val="Standard"/>
    <w:link w:val="FuzeileZchn"/>
    <w:uiPriority w:val="99"/>
    <w:unhideWhenUsed/>
    <w:rsid w:val="00F578A1"/>
    <w:pPr>
      <w:tabs>
        <w:tab w:val="center" w:pos="4536"/>
        <w:tab w:val="right" w:pos="9072"/>
      </w:tabs>
    </w:pPr>
  </w:style>
  <w:style w:type="character" w:customStyle="1" w:styleId="FuzeileZchn">
    <w:name w:val="Fußzeile Zchn"/>
    <w:link w:val="Fuzeile"/>
    <w:uiPriority w:val="99"/>
    <w:rsid w:val="00F578A1"/>
    <w:rPr>
      <w:rFonts w:ascii="Dutch Roman 12pt" w:hAnsi="Dutch Roman 12pt" w:cs="Arial Narrow"/>
      <w:sz w:val="24"/>
      <w:szCs w:val="24"/>
    </w:rPr>
  </w:style>
  <w:style w:type="paragraph" w:styleId="berarbeitung">
    <w:name w:val="Revision"/>
    <w:hidden/>
    <w:uiPriority w:val="71"/>
    <w:rsid w:val="00A93CB7"/>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76559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30E66B-1051-4066-8C08-1861DD16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1670</Words>
  <Characters>10526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Prof</vt:lpstr>
    </vt:vector>
  </TitlesOfParts>
  <Company>Humboldt-Universität zu Berlin</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subject/>
  <dc:creator>Juristische Fakultät</dc:creator>
  <cp:keywords/>
  <cp:lastModifiedBy>Judith Schult</cp:lastModifiedBy>
  <cp:revision>2</cp:revision>
  <cp:lastPrinted>2020-10-28T16:40:00Z</cp:lastPrinted>
  <dcterms:created xsi:type="dcterms:W3CDTF">2024-10-10T12:09:00Z</dcterms:created>
  <dcterms:modified xsi:type="dcterms:W3CDTF">2024-10-10T12:09:00Z</dcterms:modified>
</cp:coreProperties>
</file>