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5EFE" w14:textId="439859F9" w:rsidR="00B7170C" w:rsidRPr="006519A2" w:rsidRDefault="00B7170C" w:rsidP="006519A2">
      <w:pPr>
        <w:tabs>
          <w:tab w:val="right" w:pos="10206"/>
        </w:tabs>
        <w:jc w:val="both"/>
        <w:rPr>
          <w:b/>
          <w:spacing w:val="-3"/>
        </w:rPr>
      </w:pPr>
      <w:r>
        <w:rPr>
          <w:b/>
          <w:spacing w:val="-3"/>
        </w:rPr>
        <w:t xml:space="preserve">Prof. Dr. </w:t>
      </w:r>
      <w:r w:rsidR="00C47557">
        <w:rPr>
          <w:b/>
          <w:spacing w:val="-3"/>
        </w:rPr>
        <w:t xml:space="preserve">Dr. h.c. </w:t>
      </w:r>
      <w:r>
        <w:rPr>
          <w:b/>
          <w:spacing w:val="-3"/>
        </w:rPr>
        <w:t>Bernd Heinrich/</w:t>
      </w:r>
      <w:r w:rsidR="00CC14EC">
        <w:rPr>
          <w:b/>
          <w:spacing w:val="-3"/>
        </w:rPr>
        <w:t>Prof</w:t>
      </w:r>
      <w:r w:rsidR="005B031A">
        <w:rPr>
          <w:b/>
          <w:spacing w:val="-3"/>
        </w:rPr>
        <w:t xml:space="preserve">. </w:t>
      </w:r>
      <w:r>
        <w:rPr>
          <w:b/>
          <w:spacing w:val="-3"/>
        </w:rPr>
        <w:t>Dr. Tobias Reinbacher</w:t>
      </w:r>
      <w:r>
        <w:rPr>
          <w:b/>
          <w:spacing w:val="-3"/>
        </w:rPr>
        <w:tab/>
        <w:t xml:space="preserve">Stand: 1. </w:t>
      </w:r>
      <w:r w:rsidR="0055431A">
        <w:rPr>
          <w:b/>
          <w:spacing w:val="-3"/>
        </w:rPr>
        <w:t>Oktober</w:t>
      </w:r>
      <w:r w:rsidR="006A09A7">
        <w:rPr>
          <w:b/>
          <w:spacing w:val="-3"/>
        </w:rPr>
        <w:t xml:space="preserve"> </w:t>
      </w:r>
      <w:r w:rsidR="00B239F0">
        <w:rPr>
          <w:b/>
          <w:spacing w:val="-3"/>
        </w:rPr>
        <w:t>202</w:t>
      </w:r>
      <w:r w:rsidR="002C2746">
        <w:rPr>
          <w:b/>
          <w:spacing w:val="-3"/>
        </w:rPr>
        <w:t>4</w:t>
      </w:r>
    </w:p>
    <w:p w14:paraId="7C860E76" w14:textId="0E29CABE" w:rsidR="00B7170C" w:rsidRDefault="00B7170C" w:rsidP="00B7170C">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2C2746">
        <w:rPr>
          <w:b/>
          <w:spacing w:val="-3"/>
        </w:rPr>
        <w:t> </w:t>
      </w:r>
      <w:r>
        <w:rPr>
          <w:b/>
          <w:spacing w:val="-3"/>
        </w:rPr>
        <w:t>29</w:t>
      </w:r>
    </w:p>
    <w:p w14:paraId="3DE5BD0D" w14:textId="77777777" w:rsidR="00B7170C" w:rsidRPr="009068E4" w:rsidRDefault="00B7170C" w:rsidP="00B7170C">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52"/>
          <w:szCs w:val="52"/>
        </w:rPr>
      </w:pPr>
      <w:r w:rsidRPr="009068E4">
        <w:rPr>
          <w:b/>
          <w:spacing w:val="-7"/>
          <w:sz w:val="52"/>
          <w:szCs w:val="52"/>
        </w:rPr>
        <w:t xml:space="preserve">Beweisverwertungsverbote IV – </w:t>
      </w:r>
    </w:p>
    <w:p w14:paraId="3192830D" w14:textId="77777777" w:rsidR="00B7170C" w:rsidRPr="009068E4" w:rsidRDefault="00B7170C" w:rsidP="00B7170C">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9068E4">
        <w:rPr>
          <w:b/>
          <w:spacing w:val="-7"/>
          <w:sz w:val="52"/>
          <w:szCs w:val="52"/>
        </w:rPr>
        <w:t>Schutz der Intimsphäre</w:t>
      </w:r>
    </w:p>
    <w:p w14:paraId="5CBA4FB4" w14:textId="77777777" w:rsidR="00B7170C" w:rsidRDefault="00B7170C">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B44208">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B239F0">
        <w:rPr>
          <w:rFonts w:ascii="Times New Roman" w:hAnsi="Times New Roman"/>
          <w:noProof/>
          <w:vanish/>
          <w:spacing w:val="-7"/>
          <w:sz w:val="60"/>
        </w:rPr>
        <w:t>1</w:t>
      </w:r>
      <w:r>
        <w:rPr>
          <w:rFonts w:ascii="Times New Roman" w:hAnsi="Times New Roman"/>
          <w:vanish/>
          <w:spacing w:val="-7"/>
          <w:sz w:val="60"/>
        </w:rPr>
        <w:fldChar w:fldCharType="end"/>
      </w:r>
    </w:p>
    <w:p w14:paraId="72909F41" w14:textId="77777777" w:rsidR="00B7170C" w:rsidRPr="008F15D3" w:rsidRDefault="00B7170C">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2"/>
        </w:rPr>
      </w:pPr>
    </w:p>
    <w:p w14:paraId="313A6BE9" w14:textId="1B7E57D1" w:rsidR="00B7170C" w:rsidRPr="00455CFC" w:rsidRDefault="00F70D71" w:rsidP="00F70D71">
      <w:pPr>
        <w:widowControl/>
        <w:tabs>
          <w:tab w:val="left" w:pos="-720"/>
          <w:tab w:val="left" w:pos="284"/>
          <w:tab w:val="left" w:pos="864"/>
          <w:tab w:val="left" w:pos="1116"/>
          <w:tab w:val="left" w:pos="1404"/>
          <w:tab w:val="left" w:pos="1692"/>
          <w:tab w:val="left" w:pos="1980"/>
          <w:tab w:val="left" w:pos="2268"/>
          <w:tab w:val="left" w:pos="2880"/>
        </w:tabs>
        <w:spacing w:line="160" w:lineRule="exact"/>
        <w:ind w:left="284" w:hanging="284"/>
        <w:jc w:val="both"/>
        <w:rPr>
          <w:rFonts w:ascii="Times New Roman" w:hAnsi="Times New Roman"/>
          <w:spacing w:val="-2"/>
          <w:sz w:val="16"/>
          <w:szCs w:val="16"/>
        </w:rPr>
      </w:pPr>
      <w:r w:rsidRPr="00F70D71">
        <w:rPr>
          <w:rFonts w:ascii="Times New Roman" w:hAnsi="Times New Roman"/>
          <w:b/>
          <w:spacing w:val="-2"/>
          <w:sz w:val="16"/>
          <w:szCs w:val="16"/>
        </w:rPr>
        <w:t>I.</w:t>
      </w:r>
      <w:r>
        <w:rPr>
          <w:rFonts w:ascii="Times New Roman" w:hAnsi="Times New Roman"/>
          <w:b/>
          <w:spacing w:val="-2"/>
          <w:sz w:val="16"/>
          <w:szCs w:val="16"/>
        </w:rPr>
        <w:t xml:space="preserve"> </w:t>
      </w:r>
      <w:r>
        <w:rPr>
          <w:rFonts w:ascii="Times New Roman" w:hAnsi="Times New Roman"/>
          <w:b/>
          <w:spacing w:val="-2"/>
          <w:sz w:val="16"/>
          <w:szCs w:val="16"/>
        </w:rPr>
        <w:tab/>
      </w:r>
      <w:r w:rsidR="00B7170C" w:rsidRPr="00455CFC">
        <w:rPr>
          <w:rFonts w:ascii="Times New Roman" w:hAnsi="Times New Roman"/>
          <w:b/>
          <w:spacing w:val="-2"/>
          <w:sz w:val="16"/>
          <w:szCs w:val="16"/>
        </w:rPr>
        <w:t xml:space="preserve">Allgemeines: </w:t>
      </w:r>
      <w:r w:rsidR="00B7170C" w:rsidRPr="00455CFC">
        <w:rPr>
          <w:rFonts w:ascii="Times New Roman" w:hAnsi="Times New Roman"/>
          <w:spacing w:val="-2"/>
          <w:sz w:val="16"/>
          <w:szCs w:val="16"/>
        </w:rPr>
        <w:t xml:space="preserve">Im Ermittlungsverfahren kann es bei der Gewinnung von Beweismitteln </w:t>
      </w:r>
      <w:r w:rsidR="003B6841" w:rsidRPr="00455CFC">
        <w:rPr>
          <w:rFonts w:ascii="Times New Roman" w:hAnsi="Times New Roman"/>
          <w:spacing w:val="-2"/>
          <w:sz w:val="16"/>
          <w:szCs w:val="16"/>
        </w:rPr>
        <w:t xml:space="preserve">häufig </w:t>
      </w:r>
      <w:r w:rsidR="00B7170C" w:rsidRPr="00455CFC">
        <w:rPr>
          <w:rFonts w:ascii="Times New Roman" w:hAnsi="Times New Roman"/>
          <w:spacing w:val="-2"/>
          <w:sz w:val="16"/>
          <w:szCs w:val="16"/>
        </w:rPr>
        <w:t xml:space="preserve">zu Eingriffen in die Privatsphäre des Beschuldigten kommen. Man denke an das Abhören von Wohnungen, das Aufzeichnen von Gesprächen, das Anfertigen von Bildaufnahmen oder den Zugriff auf Tagebuchaufzeichnungen. Hier stellt sich in besonderem Maße die Frage nach der Verwertbarkeit solcher Materialien. Ausgangspunkt der Erwägungen ist diesbezüglich die </w:t>
      </w:r>
      <w:r>
        <w:rPr>
          <w:rFonts w:ascii="Times New Roman" w:hAnsi="Times New Roman"/>
          <w:b/>
          <w:spacing w:val="-2"/>
          <w:sz w:val="16"/>
          <w:szCs w:val="16"/>
        </w:rPr>
        <w:t>Drei</w:t>
      </w:r>
      <w:r w:rsidR="00B7170C" w:rsidRPr="00455CFC">
        <w:rPr>
          <w:rFonts w:ascii="Times New Roman" w:hAnsi="Times New Roman"/>
          <w:b/>
          <w:spacing w:val="-2"/>
          <w:sz w:val="16"/>
          <w:szCs w:val="16"/>
        </w:rPr>
        <w:t>-Stufen-Theorie</w:t>
      </w:r>
      <w:r w:rsidR="00B7170C" w:rsidRPr="00455CFC">
        <w:rPr>
          <w:rFonts w:ascii="Times New Roman" w:hAnsi="Times New Roman"/>
          <w:spacing w:val="-2"/>
          <w:sz w:val="16"/>
          <w:szCs w:val="16"/>
        </w:rPr>
        <w:t xml:space="preserve"> des BVerfG. Hiernach ist die Privatsphäre zwar grundsätzlich als Ausfluss des </w:t>
      </w:r>
      <w:r w:rsidR="00B7170C" w:rsidRPr="00455CFC">
        <w:rPr>
          <w:rFonts w:ascii="Times New Roman" w:hAnsi="Times New Roman"/>
          <w:b/>
          <w:spacing w:val="-2"/>
          <w:sz w:val="16"/>
          <w:szCs w:val="16"/>
        </w:rPr>
        <w:t>Allgemeinen Persönlichkeitsrechts</w:t>
      </w:r>
      <w:r w:rsidR="00B7170C" w:rsidRPr="00455CFC">
        <w:rPr>
          <w:rFonts w:ascii="Times New Roman" w:hAnsi="Times New Roman"/>
          <w:spacing w:val="-2"/>
          <w:sz w:val="16"/>
          <w:szCs w:val="16"/>
        </w:rPr>
        <w:t xml:space="preserve"> aus Art. </w:t>
      </w:r>
      <w:r w:rsidR="003618A8">
        <w:rPr>
          <w:rFonts w:ascii="Times New Roman" w:hAnsi="Times New Roman"/>
          <w:spacing w:val="-2"/>
          <w:sz w:val="16"/>
          <w:szCs w:val="16"/>
        </w:rPr>
        <w:t>2</w:t>
      </w:r>
      <w:r w:rsidR="00B7170C" w:rsidRPr="00455CFC">
        <w:rPr>
          <w:rFonts w:ascii="Times New Roman" w:hAnsi="Times New Roman"/>
          <w:spacing w:val="-2"/>
          <w:sz w:val="16"/>
          <w:szCs w:val="16"/>
        </w:rPr>
        <w:t xml:space="preserve"> I GG </w:t>
      </w:r>
      <w:proofErr w:type="spellStart"/>
      <w:r w:rsidR="00B7170C" w:rsidRPr="00455CFC">
        <w:rPr>
          <w:rFonts w:ascii="Times New Roman" w:hAnsi="Times New Roman"/>
          <w:spacing w:val="-2"/>
          <w:sz w:val="16"/>
          <w:szCs w:val="16"/>
        </w:rPr>
        <w:t>i</w:t>
      </w:r>
      <w:r w:rsidR="003B6841">
        <w:rPr>
          <w:rFonts w:ascii="Times New Roman" w:hAnsi="Times New Roman"/>
          <w:spacing w:val="-2"/>
          <w:sz w:val="16"/>
          <w:szCs w:val="16"/>
        </w:rPr>
        <w:t>.</w:t>
      </w:r>
      <w:r w:rsidR="00B7170C" w:rsidRPr="00455CFC">
        <w:rPr>
          <w:rFonts w:ascii="Times New Roman" w:hAnsi="Times New Roman"/>
          <w:spacing w:val="-2"/>
          <w:sz w:val="16"/>
          <w:szCs w:val="16"/>
        </w:rPr>
        <w:t>V</w:t>
      </w:r>
      <w:r w:rsidR="003B6841">
        <w:rPr>
          <w:rFonts w:ascii="Times New Roman" w:hAnsi="Times New Roman"/>
          <w:spacing w:val="-2"/>
          <w:sz w:val="16"/>
          <w:szCs w:val="16"/>
        </w:rPr>
        <w:t>.</w:t>
      </w:r>
      <w:r w:rsidR="00B7170C" w:rsidRPr="00455CFC">
        <w:rPr>
          <w:rFonts w:ascii="Times New Roman" w:hAnsi="Times New Roman"/>
          <w:spacing w:val="-2"/>
          <w:sz w:val="16"/>
          <w:szCs w:val="16"/>
        </w:rPr>
        <w:t>m</w:t>
      </w:r>
      <w:proofErr w:type="spellEnd"/>
      <w:r w:rsidR="003B6841">
        <w:rPr>
          <w:rFonts w:ascii="Times New Roman" w:hAnsi="Times New Roman"/>
          <w:spacing w:val="-2"/>
          <w:sz w:val="16"/>
          <w:szCs w:val="16"/>
        </w:rPr>
        <w:t>.</w:t>
      </w:r>
      <w:r w:rsidR="00B7170C" w:rsidRPr="00455CFC">
        <w:rPr>
          <w:rFonts w:ascii="Times New Roman" w:hAnsi="Times New Roman"/>
          <w:spacing w:val="-2"/>
          <w:sz w:val="16"/>
          <w:szCs w:val="16"/>
        </w:rPr>
        <w:t xml:space="preserve"> Art. </w:t>
      </w:r>
      <w:r w:rsidR="003618A8">
        <w:rPr>
          <w:rFonts w:ascii="Times New Roman" w:hAnsi="Times New Roman"/>
          <w:spacing w:val="-2"/>
          <w:sz w:val="16"/>
          <w:szCs w:val="16"/>
        </w:rPr>
        <w:t>1</w:t>
      </w:r>
      <w:r w:rsidR="00B7170C" w:rsidRPr="00455CFC">
        <w:rPr>
          <w:rFonts w:ascii="Times New Roman" w:hAnsi="Times New Roman"/>
          <w:spacing w:val="-2"/>
          <w:sz w:val="16"/>
          <w:szCs w:val="16"/>
        </w:rPr>
        <w:t> </w:t>
      </w:r>
      <w:r>
        <w:rPr>
          <w:rFonts w:ascii="Times New Roman" w:hAnsi="Times New Roman"/>
          <w:spacing w:val="-2"/>
          <w:sz w:val="16"/>
          <w:szCs w:val="16"/>
        </w:rPr>
        <w:t>I</w:t>
      </w:r>
      <w:r w:rsidR="00B7170C" w:rsidRPr="00455CFC">
        <w:rPr>
          <w:rFonts w:ascii="Times New Roman" w:hAnsi="Times New Roman"/>
          <w:spacing w:val="-2"/>
          <w:sz w:val="16"/>
          <w:szCs w:val="16"/>
        </w:rPr>
        <w:t> GG verfassungsrechtlich geschützt. Auch hier kann aber das Strafverfolgungsinteresse des Staates nicht ohne Berücksichtigung bleiben. Daher ist die Privatsphäre nicht immer unantastbar, sondern in abgestufter Form unterschiedlich stark geschützt.</w:t>
      </w:r>
    </w:p>
    <w:p w14:paraId="294AA7AE" w14:textId="58FBB408" w:rsidR="00B7170C" w:rsidRPr="00455CFC" w:rsidRDefault="00B7170C" w:rsidP="00CB7AE4">
      <w:pPr>
        <w:widowControl/>
        <w:tabs>
          <w:tab w:val="left" w:pos="-720"/>
          <w:tab w:val="left" w:pos="567"/>
          <w:tab w:val="left" w:pos="864"/>
          <w:tab w:val="left" w:pos="1116"/>
          <w:tab w:val="left" w:pos="1404"/>
          <w:tab w:val="left" w:pos="1692"/>
          <w:tab w:val="left" w:pos="1980"/>
          <w:tab w:val="left" w:pos="2268"/>
          <w:tab w:val="left" w:pos="2880"/>
        </w:tabs>
        <w:spacing w:line="160" w:lineRule="exact"/>
        <w:ind w:left="709" w:hanging="142"/>
        <w:jc w:val="both"/>
        <w:rPr>
          <w:rFonts w:ascii="Times New Roman" w:hAnsi="Times New Roman"/>
          <w:spacing w:val="-2"/>
          <w:sz w:val="16"/>
          <w:szCs w:val="16"/>
        </w:rPr>
      </w:pPr>
      <w:r w:rsidRPr="00455CFC">
        <w:rPr>
          <w:rFonts w:ascii="Times New Roman" w:hAnsi="Times New Roman"/>
          <w:spacing w:val="-2"/>
          <w:sz w:val="16"/>
          <w:szCs w:val="16"/>
        </w:rPr>
        <w:t xml:space="preserve">– Die </w:t>
      </w:r>
      <w:r w:rsidRPr="00455CFC">
        <w:rPr>
          <w:rFonts w:ascii="Times New Roman" w:hAnsi="Times New Roman"/>
          <w:b/>
          <w:spacing w:val="-2"/>
          <w:sz w:val="16"/>
          <w:szCs w:val="16"/>
        </w:rPr>
        <w:t>erste Stufe</w:t>
      </w:r>
      <w:r w:rsidRPr="00455CFC">
        <w:rPr>
          <w:rFonts w:ascii="Times New Roman" w:hAnsi="Times New Roman"/>
          <w:spacing w:val="-2"/>
          <w:sz w:val="16"/>
          <w:szCs w:val="16"/>
        </w:rPr>
        <w:t>, die „</w:t>
      </w:r>
      <w:r w:rsidRPr="00455CFC">
        <w:rPr>
          <w:rFonts w:ascii="Times New Roman" w:hAnsi="Times New Roman"/>
          <w:b/>
          <w:spacing w:val="-2"/>
          <w:sz w:val="16"/>
          <w:szCs w:val="16"/>
        </w:rPr>
        <w:t>Sozialsphäre</w:t>
      </w:r>
      <w:r w:rsidRPr="00455CFC">
        <w:rPr>
          <w:rFonts w:ascii="Times New Roman" w:hAnsi="Times New Roman"/>
          <w:spacing w:val="-2"/>
          <w:sz w:val="16"/>
          <w:szCs w:val="16"/>
        </w:rPr>
        <w:t xml:space="preserve">“, betrifft allgemeine soziale Kontakte, wozu auch Geschäftsgespräche gehören können; diese Sphäre genießt </w:t>
      </w:r>
      <w:r w:rsidRPr="00455CFC">
        <w:rPr>
          <w:rFonts w:ascii="Times New Roman" w:hAnsi="Times New Roman"/>
          <w:b/>
          <w:spacing w:val="-2"/>
          <w:sz w:val="16"/>
          <w:szCs w:val="16"/>
        </w:rPr>
        <w:t>keinen besonderen Schutz</w:t>
      </w:r>
      <w:r w:rsidRPr="00455CFC">
        <w:rPr>
          <w:rFonts w:ascii="Times New Roman" w:hAnsi="Times New Roman"/>
          <w:spacing w:val="-2"/>
          <w:sz w:val="16"/>
          <w:szCs w:val="16"/>
        </w:rPr>
        <w:t xml:space="preserve">, das staatliche Interesse ist </w:t>
      </w:r>
      <w:r w:rsidR="00F70D71">
        <w:rPr>
          <w:rFonts w:ascii="Times New Roman" w:hAnsi="Times New Roman"/>
          <w:spacing w:val="-2"/>
          <w:sz w:val="16"/>
          <w:szCs w:val="16"/>
        </w:rPr>
        <w:t xml:space="preserve">in der Regel </w:t>
      </w:r>
      <w:r w:rsidRPr="00455CFC">
        <w:rPr>
          <w:rFonts w:ascii="Times New Roman" w:hAnsi="Times New Roman"/>
          <w:spacing w:val="-2"/>
          <w:sz w:val="16"/>
          <w:szCs w:val="16"/>
        </w:rPr>
        <w:t>vorrangig.</w:t>
      </w:r>
    </w:p>
    <w:p w14:paraId="300F967A" w14:textId="4B367F35" w:rsidR="00B7170C" w:rsidRPr="00455CFC" w:rsidRDefault="00B7170C" w:rsidP="00CB7AE4">
      <w:pPr>
        <w:widowControl/>
        <w:tabs>
          <w:tab w:val="left" w:pos="-720"/>
          <w:tab w:val="left" w:pos="567"/>
          <w:tab w:val="left" w:pos="864"/>
          <w:tab w:val="left" w:pos="1116"/>
          <w:tab w:val="left" w:pos="1404"/>
          <w:tab w:val="left" w:pos="1692"/>
          <w:tab w:val="left" w:pos="1980"/>
          <w:tab w:val="left" w:pos="2268"/>
          <w:tab w:val="left" w:pos="2880"/>
        </w:tabs>
        <w:spacing w:line="160" w:lineRule="exact"/>
        <w:ind w:left="709" w:hanging="142"/>
        <w:jc w:val="both"/>
        <w:rPr>
          <w:rFonts w:ascii="Times New Roman" w:hAnsi="Times New Roman"/>
          <w:spacing w:val="-2"/>
          <w:sz w:val="16"/>
          <w:szCs w:val="16"/>
        </w:rPr>
      </w:pPr>
      <w:r w:rsidRPr="00455CFC">
        <w:rPr>
          <w:rFonts w:ascii="Times New Roman" w:hAnsi="Times New Roman"/>
          <w:spacing w:val="-2"/>
          <w:sz w:val="16"/>
          <w:szCs w:val="16"/>
        </w:rPr>
        <w:t xml:space="preserve">– Die </w:t>
      </w:r>
      <w:r w:rsidRPr="00455CFC">
        <w:rPr>
          <w:rFonts w:ascii="Times New Roman" w:hAnsi="Times New Roman"/>
          <w:b/>
          <w:spacing w:val="-2"/>
          <w:sz w:val="16"/>
          <w:szCs w:val="16"/>
        </w:rPr>
        <w:t>zweite Stufe</w:t>
      </w:r>
      <w:r w:rsidRPr="00455CFC">
        <w:rPr>
          <w:rFonts w:ascii="Times New Roman" w:hAnsi="Times New Roman"/>
          <w:spacing w:val="-2"/>
          <w:sz w:val="16"/>
          <w:szCs w:val="16"/>
        </w:rPr>
        <w:t xml:space="preserve">, die </w:t>
      </w:r>
      <w:r w:rsidRPr="00455CFC">
        <w:rPr>
          <w:rFonts w:ascii="Times New Roman" w:hAnsi="Times New Roman"/>
          <w:b/>
          <w:spacing w:val="-2"/>
          <w:sz w:val="16"/>
          <w:szCs w:val="16"/>
        </w:rPr>
        <w:t>schlichte Privatsphäre</w:t>
      </w:r>
      <w:r w:rsidRPr="00455CFC">
        <w:rPr>
          <w:rFonts w:ascii="Times New Roman" w:hAnsi="Times New Roman"/>
          <w:spacing w:val="-2"/>
          <w:sz w:val="16"/>
          <w:szCs w:val="16"/>
        </w:rPr>
        <w:t xml:space="preserve">, betrifft den privaten Bereich, also etwa private Gespräche in oder außerhalb der Wohnung. Hier ist das Strafverfolgungsinteresse mit dem Persönlichkeitsrecht des Betroffenen </w:t>
      </w:r>
      <w:r w:rsidRPr="00455CFC">
        <w:rPr>
          <w:rFonts w:ascii="Times New Roman" w:hAnsi="Times New Roman"/>
          <w:b/>
          <w:spacing w:val="-2"/>
          <w:sz w:val="16"/>
          <w:szCs w:val="16"/>
        </w:rPr>
        <w:t>abzuwägen</w:t>
      </w:r>
      <w:r w:rsidRPr="00455CFC">
        <w:rPr>
          <w:rFonts w:ascii="Times New Roman" w:hAnsi="Times New Roman"/>
          <w:spacing w:val="-2"/>
          <w:sz w:val="16"/>
          <w:szCs w:val="16"/>
        </w:rPr>
        <w:t>. Bei schweren Straftaten dürfte das staatliche Interesse vorgehen.</w:t>
      </w:r>
    </w:p>
    <w:p w14:paraId="610C9F1C" w14:textId="04BAE81A" w:rsidR="00B7170C" w:rsidRPr="00455CFC" w:rsidRDefault="00B7170C" w:rsidP="00CB7AE4">
      <w:pPr>
        <w:widowControl/>
        <w:tabs>
          <w:tab w:val="left" w:pos="-720"/>
          <w:tab w:val="left" w:pos="284"/>
          <w:tab w:val="left" w:pos="864"/>
          <w:tab w:val="left" w:pos="1116"/>
          <w:tab w:val="left" w:pos="1404"/>
          <w:tab w:val="left" w:pos="1692"/>
          <w:tab w:val="left" w:pos="1980"/>
          <w:tab w:val="left" w:pos="2268"/>
          <w:tab w:val="left" w:pos="2880"/>
        </w:tabs>
        <w:spacing w:line="160" w:lineRule="exact"/>
        <w:ind w:left="709" w:hanging="142"/>
        <w:jc w:val="both"/>
        <w:rPr>
          <w:rFonts w:ascii="Times New Roman" w:hAnsi="Times New Roman"/>
          <w:spacing w:val="-2"/>
          <w:sz w:val="16"/>
          <w:szCs w:val="16"/>
        </w:rPr>
      </w:pPr>
      <w:r w:rsidRPr="00455CFC">
        <w:rPr>
          <w:rFonts w:ascii="Times New Roman" w:hAnsi="Times New Roman"/>
          <w:spacing w:val="-2"/>
          <w:sz w:val="16"/>
          <w:szCs w:val="16"/>
        </w:rPr>
        <w:t xml:space="preserve">– Die </w:t>
      </w:r>
      <w:r w:rsidRPr="00455CFC">
        <w:rPr>
          <w:rFonts w:ascii="Times New Roman" w:hAnsi="Times New Roman"/>
          <w:b/>
          <w:spacing w:val="-2"/>
          <w:sz w:val="16"/>
          <w:szCs w:val="16"/>
        </w:rPr>
        <w:t>dritte Stufe</w:t>
      </w:r>
      <w:r w:rsidRPr="00455CFC">
        <w:rPr>
          <w:rFonts w:ascii="Times New Roman" w:hAnsi="Times New Roman"/>
          <w:spacing w:val="-2"/>
          <w:sz w:val="16"/>
          <w:szCs w:val="16"/>
        </w:rPr>
        <w:t>, die „</w:t>
      </w:r>
      <w:r w:rsidRPr="00455CFC">
        <w:rPr>
          <w:rFonts w:ascii="Times New Roman" w:hAnsi="Times New Roman"/>
          <w:b/>
          <w:spacing w:val="-2"/>
          <w:sz w:val="16"/>
          <w:szCs w:val="16"/>
        </w:rPr>
        <w:t>Intimsphäre</w:t>
      </w:r>
      <w:r w:rsidRPr="00455CFC">
        <w:rPr>
          <w:rFonts w:ascii="Times New Roman" w:hAnsi="Times New Roman"/>
          <w:spacing w:val="-2"/>
          <w:sz w:val="16"/>
          <w:szCs w:val="16"/>
        </w:rPr>
        <w:t xml:space="preserve">“, ist grundsätzlich unantastbar; das staatliche Interesse muss hier gänzlich zurücktreten, da jedem Bürger ein </w:t>
      </w:r>
      <w:r w:rsidRPr="00455CFC">
        <w:rPr>
          <w:rFonts w:ascii="Times New Roman" w:hAnsi="Times New Roman"/>
          <w:b/>
          <w:spacing w:val="-2"/>
          <w:sz w:val="16"/>
          <w:szCs w:val="16"/>
        </w:rPr>
        <w:t>Kernbereich privater Lebensgestaltung</w:t>
      </w:r>
      <w:r w:rsidRPr="00455CFC">
        <w:rPr>
          <w:rFonts w:ascii="Times New Roman" w:hAnsi="Times New Roman"/>
          <w:spacing w:val="-2"/>
          <w:sz w:val="16"/>
          <w:szCs w:val="16"/>
        </w:rPr>
        <w:t xml:space="preserve"> (z.B. Sexualität) verbleiben muss.</w:t>
      </w:r>
    </w:p>
    <w:p w14:paraId="3C40D861" w14:textId="1166EABD" w:rsidR="00B7170C" w:rsidRPr="00455CFC" w:rsidRDefault="00B7170C" w:rsidP="00455CFC">
      <w:pPr>
        <w:widowControl/>
        <w:tabs>
          <w:tab w:val="left" w:pos="-720"/>
          <w:tab w:val="left" w:pos="284"/>
          <w:tab w:val="left" w:pos="864"/>
          <w:tab w:val="left" w:pos="1116"/>
          <w:tab w:val="left" w:pos="1404"/>
          <w:tab w:val="left" w:pos="1692"/>
          <w:tab w:val="left" w:pos="1980"/>
          <w:tab w:val="left" w:pos="2268"/>
          <w:tab w:val="left" w:pos="2880"/>
        </w:tabs>
        <w:spacing w:line="160" w:lineRule="exact"/>
        <w:ind w:left="284" w:hanging="284"/>
        <w:jc w:val="both"/>
        <w:rPr>
          <w:rFonts w:ascii="Times New Roman" w:hAnsi="Times New Roman"/>
          <w:spacing w:val="-2"/>
          <w:sz w:val="16"/>
          <w:szCs w:val="16"/>
        </w:rPr>
      </w:pPr>
      <w:r w:rsidRPr="00455CFC">
        <w:rPr>
          <w:rFonts w:ascii="Times New Roman" w:hAnsi="Times New Roman"/>
          <w:spacing w:val="-2"/>
          <w:sz w:val="16"/>
          <w:szCs w:val="16"/>
        </w:rPr>
        <w:tab/>
        <w:t xml:space="preserve">Die Zuordnung zu den einzelnen Sphären kann aber u.U. problematisch sein. Einige der die Privatsphäre betreffenden Bereiche sind inzwischen durch den Gesetzgeber geregelt worden, d.h. er hat selbst in Teilbereichen bereits die erforderliche Interessenabwägung vorgenommen. Hierzu gehören </w:t>
      </w:r>
      <w:r w:rsidR="00162B1D">
        <w:rPr>
          <w:rFonts w:ascii="Times New Roman" w:hAnsi="Times New Roman"/>
          <w:spacing w:val="-2"/>
          <w:sz w:val="16"/>
          <w:szCs w:val="16"/>
        </w:rPr>
        <w:t>insb.</w:t>
      </w:r>
      <w:r w:rsidR="00162B1D" w:rsidRPr="00455CFC">
        <w:rPr>
          <w:rFonts w:ascii="Times New Roman" w:hAnsi="Times New Roman"/>
          <w:spacing w:val="-2"/>
          <w:sz w:val="16"/>
          <w:szCs w:val="16"/>
        </w:rPr>
        <w:t xml:space="preserve"> </w:t>
      </w:r>
      <w:r w:rsidRPr="00455CFC">
        <w:rPr>
          <w:rFonts w:ascii="Times New Roman" w:hAnsi="Times New Roman"/>
          <w:spacing w:val="-2"/>
          <w:sz w:val="16"/>
          <w:szCs w:val="16"/>
        </w:rPr>
        <w:t xml:space="preserve">die Abhörmaßnahmen, §§ 100a ff. StPO. In den übrigen gesetzlich nicht normierten Bereichen ist im Einzelfall anhand der </w:t>
      </w:r>
      <w:r w:rsidR="00F70D71">
        <w:rPr>
          <w:rFonts w:ascii="Times New Roman" w:hAnsi="Times New Roman"/>
          <w:spacing w:val="-2"/>
          <w:sz w:val="16"/>
          <w:szCs w:val="16"/>
        </w:rPr>
        <w:t>Drei</w:t>
      </w:r>
      <w:r w:rsidRPr="00455CFC">
        <w:rPr>
          <w:rFonts w:ascii="Times New Roman" w:hAnsi="Times New Roman"/>
          <w:spacing w:val="-2"/>
          <w:sz w:val="16"/>
          <w:szCs w:val="16"/>
        </w:rPr>
        <w:t xml:space="preserve">-Stufen-Theorie zu entscheiden. Bei heimlichen Ermittlungsmaßnahmen greift der BGH in jüngerer Zeit auch auf den Fair-Trial-Grundsatz zurück (vgl. </w:t>
      </w:r>
      <w:r w:rsidRPr="00455CFC">
        <w:rPr>
          <w:rFonts w:ascii="Times New Roman" w:hAnsi="Times New Roman"/>
          <w:b/>
          <w:spacing w:val="-2"/>
          <w:sz w:val="16"/>
          <w:szCs w:val="16"/>
        </w:rPr>
        <w:t>BGHSt 53, 294</w:t>
      </w:r>
      <w:r w:rsidRPr="00455CFC">
        <w:rPr>
          <w:rFonts w:ascii="Times New Roman" w:hAnsi="Times New Roman"/>
          <w:spacing w:val="-2"/>
          <w:sz w:val="16"/>
          <w:szCs w:val="16"/>
        </w:rPr>
        <w:t>).</w:t>
      </w:r>
    </w:p>
    <w:p w14:paraId="1EB9C799" w14:textId="77777777" w:rsidR="00B7170C" w:rsidRPr="00455CFC" w:rsidRDefault="00B7170C" w:rsidP="00455CFC">
      <w:pPr>
        <w:widowControl/>
        <w:tabs>
          <w:tab w:val="left" w:pos="-720"/>
          <w:tab w:val="left" w:pos="288"/>
          <w:tab w:val="left" w:pos="567"/>
          <w:tab w:val="left" w:pos="993"/>
          <w:tab w:val="left" w:pos="1116"/>
          <w:tab w:val="left" w:pos="1404"/>
          <w:tab w:val="left" w:pos="1692"/>
          <w:tab w:val="left" w:pos="1980"/>
          <w:tab w:val="left" w:pos="2268"/>
          <w:tab w:val="left" w:pos="2880"/>
        </w:tabs>
        <w:spacing w:line="160" w:lineRule="exact"/>
        <w:jc w:val="both"/>
        <w:rPr>
          <w:rFonts w:ascii="Times New Roman" w:hAnsi="Times New Roman"/>
          <w:b/>
          <w:spacing w:val="-2"/>
          <w:sz w:val="16"/>
          <w:szCs w:val="16"/>
        </w:rPr>
      </w:pPr>
      <w:r w:rsidRPr="00455CFC">
        <w:rPr>
          <w:rFonts w:ascii="Times New Roman" w:hAnsi="Times New Roman"/>
          <w:b/>
          <w:spacing w:val="-2"/>
          <w:sz w:val="16"/>
          <w:szCs w:val="16"/>
        </w:rPr>
        <w:t xml:space="preserve">II. </w:t>
      </w:r>
      <w:r w:rsidRPr="00455CFC">
        <w:rPr>
          <w:rFonts w:ascii="Times New Roman" w:hAnsi="Times New Roman"/>
          <w:b/>
          <w:spacing w:val="-2"/>
          <w:sz w:val="16"/>
          <w:szCs w:val="16"/>
        </w:rPr>
        <w:tab/>
        <w:t>Einzelfälle:</w:t>
      </w:r>
    </w:p>
    <w:p w14:paraId="582B0190" w14:textId="31CEF1B1" w:rsidR="006316F7" w:rsidRPr="00455CFC" w:rsidRDefault="00B7170C" w:rsidP="00104FAB">
      <w:pPr>
        <w:numPr>
          <w:ilvl w:val="0"/>
          <w:numId w:val="11"/>
        </w:numPr>
        <w:tabs>
          <w:tab w:val="left" w:pos="567"/>
          <w:tab w:val="left" w:pos="1116"/>
          <w:tab w:val="left" w:pos="1692"/>
          <w:tab w:val="left" w:pos="2240"/>
          <w:tab w:val="left" w:pos="2800"/>
          <w:tab w:val="left" w:pos="3360"/>
          <w:tab w:val="left" w:pos="3920"/>
          <w:tab w:val="left" w:pos="4480"/>
          <w:tab w:val="left" w:pos="5040"/>
          <w:tab w:val="left" w:pos="5600"/>
          <w:tab w:val="left" w:pos="6160"/>
          <w:tab w:val="left" w:pos="6720"/>
        </w:tabs>
        <w:spacing w:line="160" w:lineRule="exact"/>
        <w:jc w:val="both"/>
        <w:rPr>
          <w:rFonts w:ascii="Times New Roman" w:hAnsi="Times New Roman" w:cs="Times New Roman"/>
          <w:sz w:val="16"/>
          <w:szCs w:val="16"/>
          <w:lang w:bidi="x-none"/>
        </w:rPr>
      </w:pPr>
      <w:r w:rsidRPr="00455CFC">
        <w:rPr>
          <w:rFonts w:ascii="Times New Roman" w:hAnsi="Times New Roman"/>
          <w:spacing w:val="-2"/>
          <w:sz w:val="16"/>
          <w:szCs w:val="16"/>
          <w:u w:val="single"/>
        </w:rPr>
        <w:t>Überwachung der Telekommunikation</w:t>
      </w:r>
      <w:r w:rsidRPr="00455CFC">
        <w:rPr>
          <w:rFonts w:ascii="Times New Roman" w:hAnsi="Times New Roman"/>
          <w:spacing w:val="-2"/>
          <w:sz w:val="16"/>
          <w:szCs w:val="16"/>
        </w:rPr>
        <w:t>: §§ 100a</w:t>
      </w:r>
      <w:r w:rsidR="00AE5D0E">
        <w:rPr>
          <w:rFonts w:ascii="Times New Roman" w:hAnsi="Times New Roman"/>
          <w:spacing w:val="-2"/>
          <w:sz w:val="16"/>
          <w:szCs w:val="16"/>
        </w:rPr>
        <w:t xml:space="preserve"> ff. </w:t>
      </w:r>
      <w:r w:rsidRPr="00455CFC">
        <w:rPr>
          <w:rFonts w:ascii="Times New Roman" w:hAnsi="Times New Roman"/>
          <w:spacing w:val="-2"/>
          <w:sz w:val="16"/>
          <w:szCs w:val="16"/>
        </w:rPr>
        <w:t xml:space="preserve">StPO </w:t>
      </w:r>
      <w:r w:rsidR="00AE5D0E">
        <w:rPr>
          <w:rFonts w:ascii="Times New Roman" w:hAnsi="Times New Roman"/>
          <w:spacing w:val="-2"/>
          <w:sz w:val="16"/>
          <w:szCs w:val="16"/>
        </w:rPr>
        <w:t>betreffen die</w:t>
      </w:r>
      <w:r w:rsidR="00AE5D0E" w:rsidRPr="00455CFC">
        <w:rPr>
          <w:rFonts w:ascii="Times New Roman" w:hAnsi="Times New Roman"/>
          <w:spacing w:val="-2"/>
          <w:sz w:val="16"/>
          <w:szCs w:val="16"/>
        </w:rPr>
        <w:t xml:space="preserve"> </w:t>
      </w:r>
      <w:r w:rsidRPr="00455CFC">
        <w:rPr>
          <w:rFonts w:ascii="Times New Roman" w:hAnsi="Times New Roman"/>
          <w:spacing w:val="-2"/>
          <w:sz w:val="16"/>
          <w:szCs w:val="16"/>
        </w:rPr>
        <w:t>Überwachung und Aufzeichnung von Telekommunikationsvorgängen (vgl. dazu Arbeitsblatt Nr. 18). Sie beinhalt</w:t>
      </w:r>
      <w:r w:rsidR="00AE5D0E">
        <w:rPr>
          <w:rFonts w:ascii="Times New Roman" w:hAnsi="Times New Roman"/>
          <w:spacing w:val="-2"/>
          <w:sz w:val="16"/>
          <w:szCs w:val="16"/>
        </w:rPr>
        <w:t>en</w:t>
      </w:r>
      <w:r w:rsidRPr="00455CFC">
        <w:rPr>
          <w:rFonts w:ascii="Times New Roman" w:hAnsi="Times New Roman"/>
          <w:spacing w:val="-2"/>
          <w:sz w:val="16"/>
          <w:szCs w:val="16"/>
        </w:rPr>
        <w:t xml:space="preserve"> erhebliche Eingriffe in die Privatsphäre des Beschuldigten sowie Dritter. Zum Schutz derselben hat der Gesetzgeber aber bereits einige Mechanismen installiert. So ist die Überwachung nur bei enumerativ aufgeführten Katalogtaten möglich und nur wenn </w:t>
      </w:r>
      <w:r w:rsidRPr="00455CFC">
        <w:rPr>
          <w:rFonts w:ascii="Times New Roman" w:hAnsi="Times New Roman" w:cs="Times New Roman"/>
          <w:sz w:val="16"/>
          <w:szCs w:val="16"/>
          <w:lang w:bidi="x-none"/>
        </w:rPr>
        <w:t>die Tat auch im Einzelfall schwer wiegt und die Erforschung des Sachverhalts oder die Ermittlung des Aufenthaltsortes des Beschuldigten auf andere Weise wesentlich erschwert oder aussichtslos wäre (Subsidiaritätsklausel), § 100a I </w:t>
      </w:r>
      <w:r w:rsidR="00202BB3">
        <w:rPr>
          <w:rFonts w:ascii="Times New Roman" w:hAnsi="Times New Roman" w:cs="Times New Roman"/>
          <w:sz w:val="16"/>
          <w:szCs w:val="16"/>
          <w:lang w:bidi="x-none"/>
        </w:rPr>
        <w:t xml:space="preserve">1 </w:t>
      </w:r>
      <w:r w:rsidRPr="00455CFC">
        <w:rPr>
          <w:rFonts w:ascii="Times New Roman" w:hAnsi="Times New Roman" w:cs="Times New Roman"/>
          <w:sz w:val="16"/>
          <w:szCs w:val="16"/>
          <w:lang w:bidi="x-none"/>
        </w:rPr>
        <w:t>StPO. Gespräche mit einem Verteidiger dürfen im Hinblick auf § 148 StPO nicht abgehört werden</w:t>
      </w:r>
      <w:r w:rsidR="00202BB3">
        <w:rPr>
          <w:rFonts w:ascii="Times New Roman" w:hAnsi="Times New Roman" w:cs="Times New Roman"/>
          <w:sz w:val="16"/>
          <w:szCs w:val="16"/>
          <w:lang w:bidi="x-none"/>
        </w:rPr>
        <w:t xml:space="preserve"> (</w:t>
      </w:r>
      <w:r w:rsidR="00202BB3" w:rsidRPr="00A3506A">
        <w:rPr>
          <w:rFonts w:ascii="Times New Roman" w:hAnsi="Times New Roman" w:cs="Times New Roman"/>
          <w:b/>
          <w:bCs/>
          <w:sz w:val="16"/>
          <w:szCs w:val="16"/>
          <w:lang w:bidi="x-none"/>
        </w:rPr>
        <w:t>BGHSt 33, 347</w:t>
      </w:r>
      <w:r w:rsidR="00202BB3">
        <w:rPr>
          <w:rFonts w:ascii="Times New Roman" w:hAnsi="Times New Roman" w:cs="Times New Roman"/>
          <w:sz w:val="16"/>
          <w:szCs w:val="16"/>
          <w:lang w:bidi="x-none"/>
        </w:rPr>
        <w:t>)</w:t>
      </w:r>
      <w:r w:rsidRPr="00455CFC">
        <w:rPr>
          <w:rFonts w:ascii="Times New Roman" w:hAnsi="Times New Roman" w:cs="Times New Roman"/>
          <w:sz w:val="16"/>
          <w:szCs w:val="16"/>
          <w:lang w:bidi="x-none"/>
        </w:rPr>
        <w:t>. Gemäß § </w:t>
      </w:r>
      <w:r w:rsidR="00C61A98" w:rsidRPr="00455CFC">
        <w:rPr>
          <w:rFonts w:ascii="Times New Roman" w:hAnsi="Times New Roman" w:cs="Times New Roman"/>
          <w:sz w:val="16"/>
          <w:szCs w:val="16"/>
          <w:lang w:bidi="x-none"/>
        </w:rPr>
        <w:t>100</w:t>
      </w:r>
      <w:r w:rsidR="00C61A98">
        <w:rPr>
          <w:rFonts w:ascii="Times New Roman" w:hAnsi="Times New Roman" w:cs="Times New Roman"/>
          <w:sz w:val="16"/>
          <w:szCs w:val="16"/>
          <w:lang w:bidi="x-none"/>
        </w:rPr>
        <w:t>e I</w:t>
      </w:r>
      <w:r w:rsidR="00C61A98" w:rsidRPr="00455CFC">
        <w:rPr>
          <w:rFonts w:ascii="Times New Roman" w:hAnsi="Times New Roman" w:cs="Times New Roman"/>
          <w:sz w:val="16"/>
          <w:szCs w:val="16"/>
          <w:lang w:bidi="x-none"/>
        </w:rPr>
        <w:t xml:space="preserve"> </w:t>
      </w:r>
      <w:r w:rsidR="00C61A98">
        <w:rPr>
          <w:rFonts w:ascii="Times New Roman" w:hAnsi="Times New Roman" w:cs="Times New Roman"/>
          <w:sz w:val="16"/>
          <w:szCs w:val="16"/>
          <w:lang w:bidi="x-none"/>
        </w:rPr>
        <w:t xml:space="preserve">1 </w:t>
      </w:r>
      <w:r w:rsidRPr="00455CFC">
        <w:rPr>
          <w:rFonts w:ascii="Times New Roman" w:hAnsi="Times New Roman" w:cs="Times New Roman"/>
          <w:sz w:val="16"/>
          <w:szCs w:val="16"/>
          <w:lang w:bidi="x-none"/>
        </w:rPr>
        <w:t xml:space="preserve">StPO </w:t>
      </w:r>
      <w:r w:rsidR="00C61A98">
        <w:rPr>
          <w:rFonts w:ascii="Times New Roman" w:hAnsi="Times New Roman" w:cs="Times New Roman"/>
          <w:sz w:val="16"/>
          <w:szCs w:val="16"/>
          <w:lang w:bidi="x-none"/>
        </w:rPr>
        <w:t>dürfen Maßnahmen nach §</w:t>
      </w:r>
      <w:r w:rsidR="00AE5D0E">
        <w:rPr>
          <w:rFonts w:ascii="Times New Roman" w:hAnsi="Times New Roman" w:cs="Times New Roman"/>
          <w:sz w:val="16"/>
          <w:szCs w:val="16"/>
          <w:lang w:bidi="x-none"/>
        </w:rPr>
        <w:t> </w:t>
      </w:r>
      <w:r w:rsidR="00C61A98">
        <w:rPr>
          <w:rFonts w:ascii="Times New Roman" w:hAnsi="Times New Roman" w:cs="Times New Roman"/>
          <w:sz w:val="16"/>
          <w:szCs w:val="16"/>
          <w:lang w:bidi="x-none"/>
        </w:rPr>
        <w:t>100a StPO nur auf Antrag der Staatsanwaltschaft durch das Gericht angeordnet werden. Bei Gefahr im Verzug kann die Anordnung auch durch die Staatsanwaltschaft getroffen werden, §</w:t>
      </w:r>
      <w:r w:rsidR="00AE5D0E">
        <w:rPr>
          <w:rFonts w:ascii="Times New Roman" w:hAnsi="Times New Roman" w:cs="Times New Roman"/>
          <w:sz w:val="16"/>
          <w:szCs w:val="16"/>
          <w:lang w:bidi="x-none"/>
        </w:rPr>
        <w:t> </w:t>
      </w:r>
      <w:r w:rsidR="00C61A98">
        <w:rPr>
          <w:rFonts w:ascii="Times New Roman" w:hAnsi="Times New Roman" w:cs="Times New Roman"/>
          <w:sz w:val="16"/>
          <w:szCs w:val="16"/>
          <w:lang w:bidi="x-none"/>
        </w:rPr>
        <w:t>100e I 2 StPO. Die Anordnung ergeht schriftlich, §</w:t>
      </w:r>
      <w:r w:rsidR="00AE5D0E">
        <w:rPr>
          <w:rFonts w:ascii="Times New Roman" w:hAnsi="Times New Roman" w:cs="Times New Roman"/>
          <w:sz w:val="16"/>
          <w:szCs w:val="16"/>
          <w:lang w:bidi="x-none"/>
        </w:rPr>
        <w:t> </w:t>
      </w:r>
      <w:r w:rsidR="00C61A98">
        <w:rPr>
          <w:rFonts w:ascii="Times New Roman" w:hAnsi="Times New Roman" w:cs="Times New Roman"/>
          <w:sz w:val="16"/>
          <w:szCs w:val="16"/>
          <w:lang w:bidi="x-none"/>
        </w:rPr>
        <w:t xml:space="preserve">100e </w:t>
      </w:r>
      <w:r w:rsidR="007D4A25">
        <w:rPr>
          <w:rFonts w:ascii="Times New Roman" w:hAnsi="Times New Roman" w:cs="Times New Roman"/>
          <w:sz w:val="16"/>
          <w:szCs w:val="16"/>
          <w:lang w:bidi="x-none"/>
        </w:rPr>
        <w:t xml:space="preserve">III </w:t>
      </w:r>
      <w:r w:rsidR="008314AA">
        <w:rPr>
          <w:rFonts w:ascii="Times New Roman" w:hAnsi="Times New Roman" w:cs="Times New Roman"/>
          <w:sz w:val="16"/>
          <w:szCs w:val="16"/>
          <w:lang w:bidi="x-none"/>
        </w:rPr>
        <w:t xml:space="preserve">1 StPO. </w:t>
      </w:r>
      <w:r w:rsidR="008314AA" w:rsidRPr="00455CFC">
        <w:rPr>
          <w:rFonts w:ascii="Times New Roman" w:hAnsi="Times New Roman" w:cs="Times New Roman"/>
          <w:sz w:val="16"/>
          <w:szCs w:val="16"/>
          <w:lang w:bidi="x-none"/>
        </w:rPr>
        <w:t xml:space="preserve">Liegen tatsächliche Anhaltspunkte für die Annahme vor, dass durch die Maßnahme allein Erkenntnisse aus dem Kernbereich privater Lebensgestaltung </w:t>
      </w:r>
      <w:r w:rsidRPr="00455CFC">
        <w:rPr>
          <w:rFonts w:ascii="Times New Roman" w:hAnsi="Times New Roman" w:cs="Times New Roman"/>
          <w:sz w:val="16"/>
          <w:szCs w:val="16"/>
          <w:lang w:bidi="x-none"/>
        </w:rPr>
        <w:t>(</w:t>
      </w:r>
      <w:r w:rsidRPr="00455CFC">
        <w:rPr>
          <w:rFonts w:ascii="Times New Roman" w:hAnsi="Times New Roman" w:cs="Times New Roman"/>
          <w:b/>
          <w:sz w:val="16"/>
          <w:szCs w:val="16"/>
          <w:lang w:bidi="x-none"/>
        </w:rPr>
        <w:t>Intimsphäre</w:t>
      </w:r>
      <w:r w:rsidRPr="00455CFC">
        <w:rPr>
          <w:rFonts w:ascii="Times New Roman" w:hAnsi="Times New Roman" w:cs="Times New Roman"/>
          <w:sz w:val="16"/>
          <w:szCs w:val="16"/>
          <w:lang w:bidi="x-none"/>
        </w:rPr>
        <w:t>) erlangt würden, ist die Maßnahme unzulässig, § </w:t>
      </w:r>
      <w:r w:rsidR="00E731C5" w:rsidRPr="00455CFC">
        <w:rPr>
          <w:rFonts w:ascii="Times New Roman" w:hAnsi="Times New Roman" w:cs="Times New Roman"/>
          <w:sz w:val="16"/>
          <w:szCs w:val="16"/>
          <w:lang w:bidi="x-none"/>
        </w:rPr>
        <w:t>100</w:t>
      </w:r>
      <w:r w:rsidR="00E731C5">
        <w:rPr>
          <w:rFonts w:ascii="Times New Roman" w:hAnsi="Times New Roman" w:cs="Times New Roman"/>
          <w:sz w:val="16"/>
          <w:szCs w:val="16"/>
          <w:lang w:bidi="x-none"/>
        </w:rPr>
        <w:t>d</w:t>
      </w:r>
      <w:r w:rsidR="00E731C5" w:rsidRPr="00455CFC">
        <w:rPr>
          <w:rFonts w:ascii="Times New Roman" w:hAnsi="Times New Roman" w:cs="Times New Roman"/>
          <w:sz w:val="16"/>
          <w:szCs w:val="16"/>
          <w:lang w:bidi="x-none"/>
        </w:rPr>
        <w:t> </w:t>
      </w:r>
      <w:r w:rsidRPr="00455CFC">
        <w:rPr>
          <w:rFonts w:ascii="Times New Roman" w:hAnsi="Times New Roman" w:cs="Times New Roman"/>
          <w:sz w:val="16"/>
          <w:szCs w:val="16"/>
          <w:lang w:bidi="x-none"/>
        </w:rPr>
        <w:t xml:space="preserve">I StPO. Bzgl. des Verbots der Verwertung durch die Telefonüberwachung erlangter Erkenntnisse gilt Folgendes: Ein </w:t>
      </w:r>
      <w:r w:rsidRPr="00455CFC">
        <w:rPr>
          <w:rFonts w:ascii="Times New Roman" w:hAnsi="Times New Roman" w:cs="Times New Roman"/>
          <w:b/>
          <w:sz w:val="16"/>
          <w:szCs w:val="16"/>
          <w:lang w:bidi="x-none"/>
        </w:rPr>
        <w:t>explizites Verwertungsverbot enthält § 100</w:t>
      </w:r>
      <w:r w:rsidR="00E731C5">
        <w:rPr>
          <w:rFonts w:ascii="Times New Roman" w:hAnsi="Times New Roman" w:cs="Times New Roman"/>
          <w:b/>
          <w:sz w:val="16"/>
          <w:szCs w:val="16"/>
          <w:lang w:bidi="x-none"/>
        </w:rPr>
        <w:t>d II 1</w:t>
      </w:r>
      <w:r w:rsidRPr="00455CFC">
        <w:rPr>
          <w:rFonts w:ascii="Times New Roman" w:hAnsi="Times New Roman" w:cs="Times New Roman"/>
          <w:b/>
          <w:sz w:val="16"/>
          <w:szCs w:val="16"/>
          <w:lang w:bidi="x-none"/>
        </w:rPr>
        <w:t> StPO</w:t>
      </w:r>
      <w:r w:rsidRPr="00455CFC">
        <w:rPr>
          <w:rFonts w:ascii="Times New Roman" w:hAnsi="Times New Roman" w:cs="Times New Roman"/>
          <w:sz w:val="16"/>
          <w:szCs w:val="16"/>
          <w:lang w:bidi="x-none"/>
        </w:rPr>
        <w:t xml:space="preserve"> bzgl. der Aufzeichnungen von Äußerungen aus dem </w:t>
      </w:r>
      <w:r w:rsidRPr="00455CFC">
        <w:rPr>
          <w:rFonts w:ascii="Times New Roman" w:hAnsi="Times New Roman" w:cs="Times New Roman"/>
          <w:b/>
          <w:sz w:val="16"/>
          <w:szCs w:val="16"/>
          <w:lang w:bidi="x-none"/>
        </w:rPr>
        <w:t>Intimbereich</w:t>
      </w:r>
      <w:r w:rsidRPr="00455CFC">
        <w:rPr>
          <w:rFonts w:ascii="Times New Roman" w:hAnsi="Times New Roman" w:cs="Times New Roman"/>
          <w:sz w:val="16"/>
          <w:szCs w:val="16"/>
          <w:lang w:bidi="x-none"/>
        </w:rPr>
        <w:t xml:space="preserve">. Im Übrigen geht die </w:t>
      </w:r>
      <w:proofErr w:type="spellStart"/>
      <w:r w:rsidRPr="00455CFC">
        <w:rPr>
          <w:rFonts w:ascii="Times New Roman" w:hAnsi="Times New Roman" w:cs="Times New Roman"/>
          <w:sz w:val="16"/>
          <w:szCs w:val="16"/>
          <w:lang w:bidi="x-none"/>
        </w:rPr>
        <w:t>Rspr</w:t>
      </w:r>
      <w:proofErr w:type="spellEnd"/>
      <w:r w:rsidRPr="00455CFC">
        <w:rPr>
          <w:rFonts w:ascii="Times New Roman" w:hAnsi="Times New Roman" w:cs="Times New Roman"/>
          <w:sz w:val="16"/>
          <w:szCs w:val="16"/>
          <w:lang w:bidi="x-none"/>
        </w:rPr>
        <w:t xml:space="preserve">. davon aus, dass der Behörde bei der Prüfung der </w:t>
      </w:r>
      <w:r w:rsidRPr="00455CFC">
        <w:rPr>
          <w:rFonts w:ascii="Times New Roman" w:hAnsi="Times New Roman" w:cs="Times New Roman"/>
          <w:b/>
          <w:sz w:val="16"/>
          <w:szCs w:val="16"/>
          <w:lang w:bidi="x-none"/>
        </w:rPr>
        <w:t>materiellen</w:t>
      </w:r>
      <w:r w:rsidRPr="00455CFC">
        <w:rPr>
          <w:rFonts w:ascii="Times New Roman" w:hAnsi="Times New Roman" w:cs="Times New Roman"/>
          <w:sz w:val="16"/>
          <w:szCs w:val="16"/>
          <w:lang w:bidi="x-none"/>
        </w:rPr>
        <w:t xml:space="preserve"> Voraussetzungen ein Beurteilungsspielraum zusteht. Bei </w:t>
      </w:r>
      <w:r w:rsidRPr="00455CFC">
        <w:rPr>
          <w:rFonts w:ascii="Times New Roman" w:hAnsi="Times New Roman" w:cs="Times New Roman"/>
          <w:b/>
          <w:sz w:val="16"/>
          <w:szCs w:val="16"/>
          <w:lang w:bidi="x-none"/>
        </w:rPr>
        <w:t>grober Fehleinschätzung</w:t>
      </w:r>
      <w:r w:rsidRPr="00455CFC">
        <w:rPr>
          <w:rFonts w:ascii="Times New Roman" w:hAnsi="Times New Roman" w:cs="Times New Roman"/>
          <w:sz w:val="16"/>
          <w:szCs w:val="16"/>
          <w:lang w:bidi="x-none"/>
        </w:rPr>
        <w:t xml:space="preserve"> des Vorliegens der materiellen Voraussetzungen des § 100a StPO sowie bei </w:t>
      </w:r>
      <w:r w:rsidRPr="00455CFC">
        <w:rPr>
          <w:rFonts w:ascii="Times New Roman" w:hAnsi="Times New Roman" w:cs="Times New Roman"/>
          <w:b/>
          <w:sz w:val="16"/>
          <w:szCs w:val="16"/>
          <w:lang w:bidi="x-none"/>
        </w:rPr>
        <w:t>Willkür</w:t>
      </w:r>
      <w:r w:rsidRPr="00455CFC">
        <w:rPr>
          <w:rFonts w:ascii="Times New Roman" w:hAnsi="Times New Roman" w:cs="Times New Roman"/>
          <w:sz w:val="16"/>
          <w:szCs w:val="16"/>
          <w:lang w:bidi="x-none"/>
        </w:rPr>
        <w:t xml:space="preserve"> wird ein </w:t>
      </w:r>
      <w:r w:rsidRPr="00455CFC">
        <w:rPr>
          <w:rFonts w:ascii="Times New Roman" w:hAnsi="Times New Roman" w:cs="Times New Roman"/>
          <w:b/>
          <w:sz w:val="16"/>
          <w:szCs w:val="16"/>
          <w:lang w:bidi="x-none"/>
        </w:rPr>
        <w:t>Verwertungsverbot</w:t>
      </w:r>
      <w:r w:rsidRPr="00455CFC">
        <w:rPr>
          <w:rFonts w:ascii="Times New Roman" w:hAnsi="Times New Roman" w:cs="Times New Roman"/>
          <w:sz w:val="16"/>
          <w:szCs w:val="16"/>
          <w:lang w:bidi="x-none"/>
        </w:rPr>
        <w:t xml:space="preserve"> angenommen. Verstöße gegen die </w:t>
      </w:r>
      <w:r w:rsidRPr="00455CFC">
        <w:rPr>
          <w:rFonts w:ascii="Times New Roman" w:hAnsi="Times New Roman" w:cs="Times New Roman"/>
          <w:b/>
          <w:sz w:val="16"/>
          <w:szCs w:val="16"/>
          <w:lang w:bidi="x-none"/>
        </w:rPr>
        <w:t xml:space="preserve">formellen </w:t>
      </w:r>
      <w:r w:rsidRPr="00455CFC">
        <w:rPr>
          <w:rFonts w:ascii="Times New Roman" w:hAnsi="Times New Roman" w:cs="Times New Roman"/>
          <w:sz w:val="16"/>
          <w:szCs w:val="16"/>
          <w:lang w:bidi="x-none"/>
        </w:rPr>
        <w:t>Voraussetzungen führen i</w:t>
      </w:r>
      <w:r w:rsidR="003B6841">
        <w:rPr>
          <w:rFonts w:ascii="Times New Roman" w:hAnsi="Times New Roman" w:cs="Times New Roman"/>
          <w:sz w:val="16"/>
          <w:szCs w:val="16"/>
          <w:lang w:bidi="x-none"/>
        </w:rPr>
        <w:t>.</w:t>
      </w:r>
      <w:r w:rsidRPr="00455CFC">
        <w:rPr>
          <w:rFonts w:ascii="Times New Roman" w:hAnsi="Times New Roman" w:cs="Times New Roman"/>
          <w:sz w:val="16"/>
          <w:szCs w:val="16"/>
          <w:lang w:bidi="x-none"/>
        </w:rPr>
        <w:t>d</w:t>
      </w:r>
      <w:r w:rsidR="003B6841">
        <w:rPr>
          <w:rFonts w:ascii="Times New Roman" w:hAnsi="Times New Roman" w:cs="Times New Roman"/>
          <w:sz w:val="16"/>
          <w:szCs w:val="16"/>
          <w:lang w:bidi="x-none"/>
        </w:rPr>
        <w:t>.</w:t>
      </w:r>
      <w:r w:rsidRPr="00455CFC">
        <w:rPr>
          <w:rFonts w:ascii="Times New Roman" w:hAnsi="Times New Roman" w:cs="Times New Roman"/>
          <w:sz w:val="16"/>
          <w:szCs w:val="16"/>
          <w:lang w:bidi="x-none"/>
        </w:rPr>
        <w:t>R</w:t>
      </w:r>
      <w:r w:rsidR="003B6841">
        <w:rPr>
          <w:rFonts w:ascii="Times New Roman" w:hAnsi="Times New Roman" w:cs="Times New Roman"/>
          <w:sz w:val="16"/>
          <w:szCs w:val="16"/>
          <w:lang w:bidi="x-none"/>
        </w:rPr>
        <w:t>.</w:t>
      </w:r>
      <w:r w:rsidRPr="00455CFC">
        <w:rPr>
          <w:rFonts w:ascii="Times New Roman" w:hAnsi="Times New Roman" w:cs="Times New Roman"/>
          <w:sz w:val="16"/>
          <w:szCs w:val="16"/>
          <w:lang w:bidi="x-none"/>
        </w:rPr>
        <w:t xml:space="preserve"> nicht zu einem Verwertungsverbot; dies ist nur anzunehmen, wenn eine richterliche oder staatsanwaltliche Anordnung gänzlich fehlt. Wichtig ist ferner die allgemeine Verwertungsbeschränkung </w:t>
      </w:r>
      <w:r w:rsidR="00104FAB">
        <w:rPr>
          <w:rFonts w:ascii="Times New Roman" w:hAnsi="Times New Roman" w:cs="Times New Roman"/>
          <w:sz w:val="16"/>
          <w:szCs w:val="16"/>
          <w:lang w:bidi="x-none"/>
        </w:rPr>
        <w:t xml:space="preserve">nach </w:t>
      </w:r>
      <w:r w:rsidR="00104FAB" w:rsidRPr="00B239F0">
        <w:rPr>
          <w:rFonts w:ascii="Times New Roman" w:hAnsi="Times New Roman" w:cs="Times New Roman"/>
          <w:b/>
          <w:sz w:val="16"/>
          <w:szCs w:val="16"/>
          <w:lang w:bidi="x-none"/>
        </w:rPr>
        <w:t>§§ 161 III, 479 II 1 StPO</w:t>
      </w:r>
      <w:r w:rsidR="00104FAB">
        <w:rPr>
          <w:rFonts w:ascii="Times New Roman" w:hAnsi="Times New Roman" w:cs="Times New Roman"/>
          <w:sz w:val="16"/>
          <w:szCs w:val="16"/>
          <w:lang w:bidi="x-none"/>
        </w:rPr>
        <w:t xml:space="preserve"> </w:t>
      </w:r>
      <w:r w:rsidRPr="00455CFC">
        <w:rPr>
          <w:rFonts w:ascii="Times New Roman" w:hAnsi="Times New Roman" w:cs="Times New Roman"/>
          <w:sz w:val="16"/>
          <w:szCs w:val="16"/>
          <w:lang w:bidi="x-none"/>
        </w:rPr>
        <w:t xml:space="preserve">im Hinblick auf </w:t>
      </w:r>
      <w:r w:rsidRPr="00455CFC">
        <w:rPr>
          <w:rFonts w:ascii="Times New Roman" w:hAnsi="Times New Roman" w:cs="Times New Roman"/>
          <w:b/>
          <w:sz w:val="16"/>
          <w:szCs w:val="16"/>
          <w:lang w:bidi="x-none"/>
        </w:rPr>
        <w:t>Zufallsfunde</w:t>
      </w:r>
      <w:r w:rsidRPr="00455CFC">
        <w:rPr>
          <w:rFonts w:ascii="Times New Roman" w:hAnsi="Times New Roman" w:cs="Times New Roman"/>
          <w:sz w:val="16"/>
          <w:szCs w:val="16"/>
          <w:lang w:bidi="x-none"/>
        </w:rPr>
        <w:t xml:space="preserve">: Auf Grund einer solchen Maßnahme erlangte personenbezogene Daten dürfen ohne Einwilligung der von der Maßnahme betroffenen Personen zu Beweiszwecken in anderen Strafverfahren nur zur Aufklärung solcher Straftaten verwendet werden, zu deren Aufklärung eine solche Maßnahme nach diesem Gesetz hätte angeordnet werden dürfen. </w:t>
      </w:r>
    </w:p>
    <w:p w14:paraId="04E7C802" w14:textId="225384C5" w:rsidR="00B7170C" w:rsidRPr="00455CFC" w:rsidRDefault="00B7170C" w:rsidP="00CB7AE4">
      <w:pPr>
        <w:tabs>
          <w:tab w:val="left" w:pos="567"/>
          <w:tab w:val="left" w:pos="1116"/>
          <w:tab w:val="left" w:pos="1692"/>
          <w:tab w:val="left" w:pos="2240"/>
          <w:tab w:val="left" w:pos="2800"/>
          <w:tab w:val="left" w:pos="3360"/>
          <w:tab w:val="left" w:pos="3920"/>
          <w:tab w:val="left" w:pos="4480"/>
          <w:tab w:val="left" w:pos="5040"/>
          <w:tab w:val="left" w:pos="5600"/>
          <w:tab w:val="left" w:pos="6160"/>
          <w:tab w:val="left" w:pos="6720"/>
        </w:tabs>
        <w:spacing w:line="160" w:lineRule="exact"/>
        <w:ind w:left="567"/>
        <w:jc w:val="both"/>
        <w:rPr>
          <w:rFonts w:ascii="Times New Roman" w:hAnsi="Times New Roman"/>
          <w:spacing w:val="-2"/>
          <w:sz w:val="16"/>
          <w:szCs w:val="16"/>
          <w:u w:val="single"/>
        </w:rPr>
      </w:pPr>
      <w:r w:rsidRPr="00455CFC">
        <w:rPr>
          <w:rFonts w:ascii="Times New Roman" w:hAnsi="Times New Roman" w:cs="Times New Roman"/>
          <w:sz w:val="16"/>
          <w:szCs w:val="16"/>
          <w:lang w:bidi="x-none"/>
        </w:rPr>
        <w:t>Beachte ferner: Der BGH (</w:t>
      </w:r>
      <w:r w:rsidRPr="00455CFC">
        <w:rPr>
          <w:rFonts w:ascii="Times New Roman" w:hAnsi="Times New Roman" w:cs="Times New Roman"/>
          <w:b/>
          <w:sz w:val="16"/>
          <w:szCs w:val="16"/>
          <w:lang w:bidi="x-none"/>
        </w:rPr>
        <w:t>BGHSt 48, 240</w:t>
      </w:r>
      <w:r w:rsidRPr="00455CFC">
        <w:rPr>
          <w:rFonts w:ascii="Times New Roman" w:hAnsi="Times New Roman" w:cs="Times New Roman"/>
          <w:sz w:val="16"/>
          <w:szCs w:val="16"/>
          <w:lang w:bidi="x-none"/>
        </w:rPr>
        <w:t xml:space="preserve">) geht davon aus, dass ein Nicht-Vorliegen einer bestimmten Katalogtat </w:t>
      </w:r>
      <w:proofErr w:type="spellStart"/>
      <w:r w:rsidRPr="00455CFC">
        <w:rPr>
          <w:rFonts w:ascii="Times New Roman" w:hAnsi="Times New Roman" w:cs="Times New Roman"/>
          <w:sz w:val="16"/>
          <w:szCs w:val="16"/>
          <w:lang w:bidi="x-none"/>
        </w:rPr>
        <w:t>i</w:t>
      </w:r>
      <w:r w:rsidR="003B6841">
        <w:rPr>
          <w:rFonts w:ascii="Times New Roman" w:hAnsi="Times New Roman" w:cs="Times New Roman"/>
          <w:sz w:val="16"/>
          <w:szCs w:val="16"/>
          <w:lang w:bidi="x-none"/>
        </w:rPr>
        <w:t>.</w:t>
      </w:r>
      <w:r w:rsidRPr="00455CFC">
        <w:rPr>
          <w:rFonts w:ascii="Times New Roman" w:hAnsi="Times New Roman" w:cs="Times New Roman"/>
          <w:sz w:val="16"/>
          <w:szCs w:val="16"/>
          <w:lang w:bidi="x-none"/>
        </w:rPr>
        <w:t>S</w:t>
      </w:r>
      <w:r w:rsidR="003B6841">
        <w:rPr>
          <w:rFonts w:ascii="Times New Roman" w:hAnsi="Times New Roman" w:cs="Times New Roman"/>
          <w:sz w:val="16"/>
          <w:szCs w:val="16"/>
          <w:lang w:bidi="x-none"/>
        </w:rPr>
        <w:t>.</w:t>
      </w:r>
      <w:r w:rsidRPr="00455CFC">
        <w:rPr>
          <w:rFonts w:ascii="Times New Roman" w:hAnsi="Times New Roman" w:cs="Times New Roman"/>
          <w:sz w:val="16"/>
          <w:szCs w:val="16"/>
          <w:lang w:bidi="x-none"/>
        </w:rPr>
        <w:t>d</w:t>
      </w:r>
      <w:proofErr w:type="spellEnd"/>
      <w:r w:rsidR="003B6841">
        <w:rPr>
          <w:rFonts w:ascii="Times New Roman" w:hAnsi="Times New Roman" w:cs="Times New Roman"/>
          <w:sz w:val="16"/>
          <w:szCs w:val="16"/>
          <w:lang w:bidi="x-none"/>
        </w:rPr>
        <w:t>.</w:t>
      </w:r>
      <w:r w:rsidRPr="00455CFC">
        <w:rPr>
          <w:rFonts w:ascii="Times New Roman" w:hAnsi="Times New Roman" w:cs="Times New Roman"/>
          <w:sz w:val="16"/>
          <w:szCs w:val="16"/>
          <w:lang w:bidi="x-none"/>
        </w:rPr>
        <w:t xml:space="preserve"> § 100a II StPO geheilt werden kann, wenn der Verdacht hinsichtlich einer anderen Katalogtat bestanden hätte (</w:t>
      </w:r>
      <w:r w:rsidRPr="00455CFC">
        <w:rPr>
          <w:rFonts w:ascii="Times New Roman" w:hAnsi="Times New Roman" w:cs="Times New Roman"/>
          <w:b/>
          <w:sz w:val="16"/>
          <w:szCs w:val="16"/>
          <w:lang w:bidi="x-none"/>
        </w:rPr>
        <w:t>Theorie des hypothetischen Ersatzeingriffs</w:t>
      </w:r>
      <w:r w:rsidRPr="00455CFC">
        <w:rPr>
          <w:rFonts w:ascii="Times New Roman" w:hAnsi="Times New Roman" w:cs="Times New Roman"/>
          <w:sz w:val="16"/>
          <w:szCs w:val="16"/>
          <w:lang w:bidi="x-none"/>
        </w:rPr>
        <w:t xml:space="preserve">; sehr </w:t>
      </w:r>
      <w:proofErr w:type="spellStart"/>
      <w:r w:rsidRPr="00455CFC">
        <w:rPr>
          <w:rFonts w:ascii="Times New Roman" w:hAnsi="Times New Roman" w:cs="Times New Roman"/>
          <w:sz w:val="16"/>
          <w:szCs w:val="16"/>
          <w:lang w:bidi="x-none"/>
        </w:rPr>
        <w:t>str.</w:t>
      </w:r>
      <w:proofErr w:type="spellEnd"/>
      <w:r w:rsidRPr="00455CFC">
        <w:rPr>
          <w:rFonts w:ascii="Times New Roman" w:hAnsi="Times New Roman" w:cs="Times New Roman"/>
          <w:sz w:val="16"/>
          <w:szCs w:val="16"/>
          <w:lang w:bidi="x-none"/>
        </w:rPr>
        <w:t xml:space="preserve">). Im Übrigen vertritt der BGH (auch) hier die </w:t>
      </w:r>
      <w:r w:rsidRPr="00455CFC">
        <w:rPr>
          <w:rFonts w:ascii="Times New Roman" w:hAnsi="Times New Roman" w:cs="Times New Roman"/>
          <w:b/>
          <w:sz w:val="16"/>
          <w:szCs w:val="16"/>
          <w:lang w:bidi="x-none"/>
        </w:rPr>
        <w:t>Widerspruchslösung</w:t>
      </w:r>
      <w:r w:rsidRPr="00455CFC">
        <w:rPr>
          <w:rFonts w:ascii="Times New Roman" w:hAnsi="Times New Roman" w:cs="Times New Roman"/>
          <w:sz w:val="16"/>
          <w:szCs w:val="16"/>
          <w:lang w:bidi="x-none"/>
        </w:rPr>
        <w:t>: Der Angeklagte muss der Verwertung bis zum Zeitpunkt des § 257 StPO widersprechen, sonst ist der durch eine rechtswidrige Überwachungsmaßnahme erlangte Beweis verwertbar</w:t>
      </w:r>
      <w:r w:rsidR="00A1484E">
        <w:rPr>
          <w:rFonts w:ascii="Times New Roman" w:hAnsi="Times New Roman" w:cs="Times New Roman"/>
          <w:sz w:val="16"/>
          <w:szCs w:val="16"/>
          <w:lang w:bidi="x-none"/>
        </w:rPr>
        <w:t xml:space="preserve"> bzw. eine Rüge präkludiert</w:t>
      </w:r>
      <w:r w:rsidRPr="00455CFC">
        <w:rPr>
          <w:rFonts w:ascii="Times New Roman" w:hAnsi="Times New Roman" w:cs="Times New Roman"/>
          <w:sz w:val="16"/>
          <w:szCs w:val="16"/>
          <w:lang w:bidi="x-none"/>
        </w:rPr>
        <w:t>.</w:t>
      </w:r>
    </w:p>
    <w:p w14:paraId="4AF0AE45" w14:textId="2C5C0BF6" w:rsidR="00B7170C" w:rsidRPr="00CB7AE4" w:rsidRDefault="00B7170C" w:rsidP="009B0F68">
      <w:pPr>
        <w:tabs>
          <w:tab w:val="left" w:pos="567"/>
          <w:tab w:val="left" w:pos="1116"/>
          <w:tab w:val="left" w:pos="1692"/>
          <w:tab w:val="left" w:pos="2240"/>
          <w:tab w:val="left" w:pos="2800"/>
          <w:tab w:val="left" w:pos="3360"/>
          <w:tab w:val="left" w:pos="3920"/>
          <w:tab w:val="left" w:pos="4480"/>
          <w:tab w:val="left" w:pos="5040"/>
          <w:tab w:val="left" w:pos="5600"/>
          <w:tab w:val="left" w:pos="6160"/>
          <w:tab w:val="left" w:pos="6720"/>
        </w:tabs>
        <w:spacing w:line="160" w:lineRule="exact"/>
        <w:ind w:left="567" w:hanging="283"/>
        <w:jc w:val="both"/>
        <w:rPr>
          <w:rFonts w:ascii="Times New Roman" w:hAnsi="Times New Roman" w:cs="Times New Roman"/>
          <w:sz w:val="16"/>
          <w:szCs w:val="16"/>
          <w:lang w:bidi="x-none"/>
        </w:rPr>
      </w:pPr>
      <w:r w:rsidRPr="00455CFC">
        <w:rPr>
          <w:rFonts w:ascii="Times New Roman" w:hAnsi="Times New Roman"/>
          <w:spacing w:val="-2"/>
          <w:sz w:val="16"/>
          <w:szCs w:val="16"/>
          <w:u w:val="single"/>
        </w:rPr>
        <w:t xml:space="preserve">2. </w:t>
      </w:r>
      <w:r w:rsidRPr="00455CFC">
        <w:rPr>
          <w:rFonts w:ascii="Times New Roman" w:hAnsi="Times New Roman"/>
          <w:spacing w:val="-2"/>
          <w:sz w:val="16"/>
          <w:szCs w:val="16"/>
          <w:u w:val="single"/>
        </w:rPr>
        <w:tab/>
        <w:t>Kleiner und großer Lauschangriff</w:t>
      </w:r>
      <w:r w:rsidRPr="00455CFC">
        <w:rPr>
          <w:rFonts w:ascii="Times New Roman" w:hAnsi="Times New Roman"/>
          <w:spacing w:val="-2"/>
          <w:sz w:val="16"/>
          <w:szCs w:val="16"/>
        </w:rPr>
        <w:t>: Die §§ 100c ff</w:t>
      </w:r>
      <w:r w:rsidR="000731DF">
        <w:rPr>
          <w:rFonts w:ascii="Times New Roman" w:hAnsi="Times New Roman"/>
          <w:spacing w:val="-2"/>
          <w:sz w:val="16"/>
          <w:szCs w:val="16"/>
        </w:rPr>
        <w:t>.</w:t>
      </w:r>
      <w:r w:rsidRPr="00455CFC">
        <w:rPr>
          <w:rFonts w:ascii="Times New Roman" w:hAnsi="Times New Roman"/>
          <w:spacing w:val="-2"/>
          <w:sz w:val="16"/>
          <w:szCs w:val="16"/>
        </w:rPr>
        <w:t xml:space="preserve"> StPO regeln den Einsatz technischer Mittel zur Überwachung des Beschuldigten (vgl. dazu Arbeitsblatt Nr. 20). Besonders wichtig sind hierbei der kleine und der große Lauschangriff. Der </w:t>
      </w:r>
      <w:r w:rsidRPr="00455CFC">
        <w:rPr>
          <w:rFonts w:ascii="Times New Roman" w:hAnsi="Times New Roman"/>
          <w:b/>
          <w:spacing w:val="-2"/>
          <w:sz w:val="16"/>
          <w:szCs w:val="16"/>
        </w:rPr>
        <w:t>kleine Lauschangriff</w:t>
      </w:r>
      <w:r w:rsidRPr="00455CFC">
        <w:rPr>
          <w:rFonts w:ascii="Times New Roman" w:hAnsi="Times New Roman"/>
          <w:spacing w:val="-2"/>
          <w:sz w:val="16"/>
          <w:szCs w:val="16"/>
        </w:rPr>
        <w:t xml:space="preserve"> </w:t>
      </w:r>
      <w:proofErr w:type="spellStart"/>
      <w:r w:rsidRPr="00455CFC">
        <w:rPr>
          <w:rFonts w:ascii="Times New Roman" w:hAnsi="Times New Roman"/>
          <w:spacing w:val="-2"/>
          <w:sz w:val="16"/>
          <w:szCs w:val="16"/>
        </w:rPr>
        <w:t>i</w:t>
      </w:r>
      <w:r w:rsidR="003A14A5">
        <w:rPr>
          <w:rFonts w:ascii="Times New Roman" w:hAnsi="Times New Roman"/>
          <w:spacing w:val="-2"/>
          <w:sz w:val="16"/>
          <w:szCs w:val="16"/>
        </w:rPr>
        <w:t>.</w:t>
      </w:r>
      <w:r w:rsidRPr="00455CFC">
        <w:rPr>
          <w:rFonts w:ascii="Times New Roman" w:hAnsi="Times New Roman"/>
          <w:spacing w:val="-2"/>
          <w:sz w:val="16"/>
          <w:szCs w:val="16"/>
        </w:rPr>
        <w:t>S</w:t>
      </w:r>
      <w:r w:rsidR="003A14A5">
        <w:rPr>
          <w:rFonts w:ascii="Times New Roman" w:hAnsi="Times New Roman"/>
          <w:spacing w:val="-2"/>
          <w:sz w:val="16"/>
          <w:szCs w:val="16"/>
        </w:rPr>
        <w:t>.</w:t>
      </w:r>
      <w:r w:rsidRPr="00455CFC">
        <w:rPr>
          <w:rFonts w:ascii="Times New Roman" w:hAnsi="Times New Roman"/>
          <w:spacing w:val="-2"/>
          <w:sz w:val="16"/>
          <w:szCs w:val="16"/>
        </w:rPr>
        <w:t>d</w:t>
      </w:r>
      <w:proofErr w:type="spellEnd"/>
      <w:r w:rsidR="003A14A5">
        <w:rPr>
          <w:rFonts w:ascii="Times New Roman" w:hAnsi="Times New Roman"/>
          <w:spacing w:val="-2"/>
          <w:sz w:val="16"/>
          <w:szCs w:val="16"/>
        </w:rPr>
        <w:t>.</w:t>
      </w:r>
      <w:r w:rsidRPr="00455CFC">
        <w:rPr>
          <w:rFonts w:ascii="Times New Roman" w:hAnsi="Times New Roman"/>
          <w:spacing w:val="-2"/>
          <w:sz w:val="16"/>
          <w:szCs w:val="16"/>
        </w:rPr>
        <w:t xml:space="preserve"> </w:t>
      </w:r>
      <w:r w:rsidRPr="00455CFC">
        <w:rPr>
          <w:rFonts w:ascii="Times New Roman" w:hAnsi="Times New Roman"/>
          <w:b/>
          <w:spacing w:val="-2"/>
          <w:sz w:val="16"/>
          <w:szCs w:val="16"/>
        </w:rPr>
        <w:t>§ 100f I StPO</w:t>
      </w:r>
      <w:r w:rsidRPr="00455CFC">
        <w:rPr>
          <w:rFonts w:ascii="Times New Roman" w:hAnsi="Times New Roman"/>
          <w:spacing w:val="-2"/>
          <w:sz w:val="16"/>
          <w:szCs w:val="16"/>
        </w:rPr>
        <w:t xml:space="preserve"> betrifft </w:t>
      </w:r>
      <w:r w:rsidR="00442F05" w:rsidRPr="00455CFC">
        <w:rPr>
          <w:rFonts w:ascii="Times New Roman" w:hAnsi="Times New Roman"/>
          <w:spacing w:val="-2"/>
          <w:sz w:val="16"/>
          <w:szCs w:val="16"/>
        </w:rPr>
        <w:t xml:space="preserve">das </w:t>
      </w:r>
      <w:r w:rsidRPr="00455CFC">
        <w:rPr>
          <w:rFonts w:ascii="Times New Roman" w:hAnsi="Times New Roman"/>
          <w:spacing w:val="-2"/>
          <w:sz w:val="16"/>
          <w:szCs w:val="16"/>
        </w:rPr>
        <w:t xml:space="preserve">Abhören und Aufzeichnen des gesprochenen Wortes außerhalb der Wohnung des Betroffenen. Die materiellen Voraussetzungen gleichen denen des § 100a StPO, d.h. </w:t>
      </w:r>
      <w:r w:rsidR="00202BB3">
        <w:rPr>
          <w:rFonts w:ascii="Times New Roman" w:hAnsi="Times New Roman"/>
          <w:spacing w:val="-2"/>
          <w:sz w:val="16"/>
          <w:szCs w:val="16"/>
        </w:rPr>
        <w:t>wiederum</w:t>
      </w:r>
      <w:r w:rsidRPr="00455CFC">
        <w:rPr>
          <w:rFonts w:ascii="Times New Roman" w:hAnsi="Times New Roman"/>
          <w:spacing w:val="-2"/>
          <w:sz w:val="16"/>
          <w:szCs w:val="16"/>
        </w:rPr>
        <w:t xml:space="preserve"> muss eine </w:t>
      </w:r>
      <w:r w:rsidR="00202BB3">
        <w:rPr>
          <w:rFonts w:ascii="Times New Roman" w:hAnsi="Times New Roman"/>
          <w:spacing w:val="-2"/>
          <w:sz w:val="16"/>
          <w:szCs w:val="16"/>
        </w:rPr>
        <w:t xml:space="preserve">auch im Einzelfall schwerwiegende </w:t>
      </w:r>
      <w:r w:rsidRPr="00455CFC">
        <w:rPr>
          <w:rFonts w:ascii="Times New Roman" w:hAnsi="Times New Roman"/>
          <w:spacing w:val="-2"/>
          <w:sz w:val="16"/>
          <w:szCs w:val="16"/>
        </w:rPr>
        <w:t xml:space="preserve">Katalogtat vorliegen und die </w:t>
      </w:r>
      <w:r w:rsidRPr="00455CFC">
        <w:rPr>
          <w:rFonts w:ascii="Times New Roman" w:hAnsi="Times New Roman" w:cs="Times New Roman"/>
          <w:sz w:val="16"/>
          <w:szCs w:val="16"/>
          <w:lang w:bidi="x-none"/>
        </w:rPr>
        <w:t>Subsidiaritätsklausel beachtet werden.</w:t>
      </w:r>
      <w:r w:rsidR="00221770">
        <w:rPr>
          <w:rFonts w:ascii="Times New Roman" w:hAnsi="Times New Roman" w:cs="Times New Roman"/>
          <w:sz w:val="16"/>
          <w:szCs w:val="16"/>
          <w:lang w:bidi="x-none"/>
        </w:rPr>
        <w:t xml:space="preserve"> </w:t>
      </w:r>
      <w:r w:rsidR="00221770" w:rsidRPr="00221770">
        <w:rPr>
          <w:rFonts w:ascii="Times New Roman" w:hAnsi="Times New Roman" w:cs="Times New Roman"/>
          <w:sz w:val="16"/>
          <w:szCs w:val="16"/>
          <w:lang w:bidi="x-none"/>
        </w:rPr>
        <w:t>§</w:t>
      </w:r>
      <w:r w:rsidR="003B1746">
        <w:rPr>
          <w:rFonts w:ascii="Times New Roman" w:hAnsi="Times New Roman" w:cs="Times New Roman"/>
          <w:sz w:val="16"/>
          <w:szCs w:val="16"/>
          <w:lang w:bidi="x-none"/>
        </w:rPr>
        <w:t> </w:t>
      </w:r>
      <w:r w:rsidR="00221770" w:rsidRPr="00221770">
        <w:rPr>
          <w:rFonts w:ascii="Times New Roman" w:hAnsi="Times New Roman" w:cs="Times New Roman"/>
          <w:sz w:val="16"/>
          <w:szCs w:val="16"/>
          <w:lang w:bidi="x-none"/>
        </w:rPr>
        <w:t xml:space="preserve">100d </w:t>
      </w:r>
      <w:r w:rsidR="00221770">
        <w:rPr>
          <w:rFonts w:ascii="Times New Roman" w:hAnsi="Times New Roman" w:cs="Times New Roman"/>
          <w:sz w:val="16"/>
          <w:szCs w:val="16"/>
          <w:lang w:bidi="x-none"/>
        </w:rPr>
        <w:t>I, II</w:t>
      </w:r>
      <w:r w:rsidR="00221770" w:rsidRPr="00221770">
        <w:rPr>
          <w:rFonts w:ascii="Times New Roman" w:hAnsi="Times New Roman" w:cs="Times New Roman"/>
          <w:sz w:val="16"/>
          <w:szCs w:val="16"/>
          <w:lang w:bidi="x-none"/>
        </w:rPr>
        <w:t xml:space="preserve"> </w:t>
      </w:r>
      <w:r w:rsidR="00202BB3">
        <w:rPr>
          <w:rFonts w:ascii="Times New Roman" w:hAnsi="Times New Roman" w:cs="Times New Roman"/>
          <w:sz w:val="16"/>
          <w:szCs w:val="16"/>
          <w:lang w:bidi="x-none"/>
        </w:rPr>
        <w:t xml:space="preserve">StPO </w:t>
      </w:r>
      <w:r w:rsidR="00221770" w:rsidRPr="00221770">
        <w:rPr>
          <w:rFonts w:ascii="Times New Roman" w:hAnsi="Times New Roman" w:cs="Times New Roman"/>
          <w:sz w:val="16"/>
          <w:szCs w:val="16"/>
          <w:lang w:bidi="x-none"/>
        </w:rPr>
        <w:t>sowie §</w:t>
      </w:r>
      <w:r w:rsidR="00202BB3">
        <w:rPr>
          <w:rFonts w:ascii="Times New Roman" w:hAnsi="Times New Roman" w:cs="Times New Roman"/>
          <w:sz w:val="16"/>
          <w:szCs w:val="16"/>
          <w:lang w:bidi="x-none"/>
        </w:rPr>
        <w:t> </w:t>
      </w:r>
      <w:r w:rsidR="00221770" w:rsidRPr="00221770">
        <w:rPr>
          <w:rFonts w:ascii="Times New Roman" w:hAnsi="Times New Roman" w:cs="Times New Roman"/>
          <w:sz w:val="16"/>
          <w:szCs w:val="16"/>
          <w:lang w:bidi="x-none"/>
        </w:rPr>
        <w:t xml:space="preserve">100e </w:t>
      </w:r>
      <w:r w:rsidR="00221770">
        <w:rPr>
          <w:rFonts w:ascii="Times New Roman" w:hAnsi="Times New Roman" w:cs="Times New Roman"/>
          <w:sz w:val="16"/>
          <w:szCs w:val="16"/>
          <w:lang w:bidi="x-none"/>
        </w:rPr>
        <w:t>I</w:t>
      </w:r>
      <w:r w:rsidR="00221770" w:rsidRPr="00221770">
        <w:rPr>
          <w:rFonts w:ascii="Times New Roman" w:hAnsi="Times New Roman" w:cs="Times New Roman"/>
          <w:sz w:val="16"/>
          <w:szCs w:val="16"/>
          <w:lang w:bidi="x-none"/>
        </w:rPr>
        <w:t xml:space="preserve">, </w:t>
      </w:r>
      <w:r w:rsidR="00221770">
        <w:rPr>
          <w:rFonts w:ascii="Times New Roman" w:hAnsi="Times New Roman" w:cs="Times New Roman"/>
          <w:sz w:val="16"/>
          <w:szCs w:val="16"/>
          <w:lang w:bidi="x-none"/>
        </w:rPr>
        <w:t>III</w:t>
      </w:r>
      <w:r w:rsidR="00221770" w:rsidRPr="00221770">
        <w:rPr>
          <w:rFonts w:ascii="Times New Roman" w:hAnsi="Times New Roman" w:cs="Times New Roman"/>
          <w:sz w:val="16"/>
          <w:szCs w:val="16"/>
          <w:lang w:bidi="x-none"/>
        </w:rPr>
        <w:t xml:space="preserve">, </w:t>
      </w:r>
      <w:r w:rsidR="00221770">
        <w:rPr>
          <w:rFonts w:ascii="Times New Roman" w:hAnsi="Times New Roman" w:cs="Times New Roman"/>
          <w:sz w:val="16"/>
          <w:szCs w:val="16"/>
          <w:lang w:bidi="x-none"/>
        </w:rPr>
        <w:t>V 1</w:t>
      </w:r>
      <w:r w:rsidR="00221770" w:rsidRPr="00221770">
        <w:rPr>
          <w:rFonts w:ascii="Times New Roman" w:hAnsi="Times New Roman" w:cs="Times New Roman"/>
          <w:sz w:val="16"/>
          <w:szCs w:val="16"/>
          <w:lang w:bidi="x-none"/>
        </w:rPr>
        <w:t xml:space="preserve"> StPO gelten hier entsprechend (§</w:t>
      </w:r>
      <w:r w:rsidR="003B1746">
        <w:rPr>
          <w:rFonts w:ascii="Times New Roman" w:hAnsi="Times New Roman" w:cs="Times New Roman"/>
          <w:sz w:val="16"/>
          <w:szCs w:val="16"/>
          <w:lang w:bidi="x-none"/>
        </w:rPr>
        <w:t> </w:t>
      </w:r>
      <w:r w:rsidR="00221770" w:rsidRPr="00221770">
        <w:rPr>
          <w:rFonts w:ascii="Times New Roman" w:hAnsi="Times New Roman" w:cs="Times New Roman"/>
          <w:sz w:val="16"/>
          <w:szCs w:val="16"/>
          <w:lang w:bidi="x-none"/>
        </w:rPr>
        <w:t xml:space="preserve">100f </w:t>
      </w:r>
      <w:r w:rsidR="00221770">
        <w:rPr>
          <w:rFonts w:ascii="Times New Roman" w:hAnsi="Times New Roman" w:cs="Times New Roman"/>
          <w:sz w:val="16"/>
          <w:szCs w:val="16"/>
          <w:lang w:bidi="x-none"/>
        </w:rPr>
        <w:t>IV</w:t>
      </w:r>
      <w:r w:rsidR="00221770" w:rsidRPr="00221770">
        <w:rPr>
          <w:rFonts w:ascii="Times New Roman" w:hAnsi="Times New Roman" w:cs="Times New Roman"/>
          <w:sz w:val="16"/>
          <w:szCs w:val="16"/>
          <w:lang w:bidi="x-none"/>
        </w:rPr>
        <w:t xml:space="preserve"> StPO). Im Hinblick auf Zufallsfunde sind wiederum</w:t>
      </w:r>
      <w:r w:rsidR="00221770">
        <w:rPr>
          <w:rFonts w:ascii="Times New Roman" w:hAnsi="Times New Roman" w:cs="Times New Roman"/>
          <w:sz w:val="16"/>
          <w:szCs w:val="16"/>
          <w:lang w:bidi="x-none"/>
        </w:rPr>
        <w:t xml:space="preserve"> </w:t>
      </w:r>
      <w:r w:rsidR="00221770" w:rsidRPr="00221770">
        <w:rPr>
          <w:rFonts w:ascii="Times New Roman" w:hAnsi="Times New Roman" w:cs="Times New Roman"/>
          <w:sz w:val="16"/>
          <w:szCs w:val="16"/>
          <w:lang w:bidi="x-none"/>
        </w:rPr>
        <w:t xml:space="preserve">die §§ 161 </w:t>
      </w:r>
      <w:r w:rsidR="00221770">
        <w:rPr>
          <w:rFonts w:ascii="Times New Roman" w:hAnsi="Times New Roman" w:cs="Times New Roman"/>
          <w:sz w:val="16"/>
          <w:szCs w:val="16"/>
          <w:lang w:bidi="x-none"/>
        </w:rPr>
        <w:t>III</w:t>
      </w:r>
      <w:r w:rsidR="00221770" w:rsidRPr="00221770">
        <w:rPr>
          <w:rFonts w:ascii="Times New Roman" w:hAnsi="Times New Roman" w:cs="Times New Roman"/>
          <w:sz w:val="16"/>
          <w:szCs w:val="16"/>
          <w:lang w:bidi="x-none"/>
        </w:rPr>
        <w:t xml:space="preserve">, 479 </w:t>
      </w:r>
      <w:r w:rsidR="00221770">
        <w:rPr>
          <w:rFonts w:ascii="Times New Roman" w:hAnsi="Times New Roman" w:cs="Times New Roman"/>
          <w:sz w:val="16"/>
          <w:szCs w:val="16"/>
          <w:lang w:bidi="x-none"/>
        </w:rPr>
        <w:t xml:space="preserve">II 1 StPO </w:t>
      </w:r>
      <w:r w:rsidR="00221770" w:rsidRPr="00221770">
        <w:rPr>
          <w:rFonts w:ascii="Times New Roman" w:hAnsi="Times New Roman" w:cs="Times New Roman"/>
          <w:sz w:val="16"/>
          <w:szCs w:val="16"/>
          <w:lang w:bidi="x-none"/>
        </w:rPr>
        <w:t xml:space="preserve">anzuwenden. </w:t>
      </w:r>
      <w:r w:rsidRPr="00455CFC">
        <w:rPr>
          <w:rFonts w:ascii="Times New Roman" w:hAnsi="Times New Roman"/>
          <w:spacing w:val="-2"/>
          <w:sz w:val="16"/>
          <w:szCs w:val="16"/>
        </w:rPr>
        <w:t xml:space="preserve">Noch einschneidender ist der </w:t>
      </w:r>
      <w:r w:rsidRPr="00455CFC">
        <w:rPr>
          <w:rFonts w:ascii="Times New Roman" w:hAnsi="Times New Roman"/>
          <w:b/>
          <w:spacing w:val="-2"/>
          <w:sz w:val="16"/>
          <w:szCs w:val="16"/>
        </w:rPr>
        <w:t>große Lauschangriff</w:t>
      </w:r>
      <w:r w:rsidRPr="00455CFC">
        <w:rPr>
          <w:rFonts w:ascii="Times New Roman" w:hAnsi="Times New Roman"/>
          <w:spacing w:val="-2"/>
          <w:sz w:val="16"/>
          <w:szCs w:val="16"/>
        </w:rPr>
        <w:t xml:space="preserve">, das Abhören und Aufzeichnen des gesprochenen Wortes in Wohnungen, </w:t>
      </w:r>
      <w:r w:rsidRPr="00455CFC">
        <w:rPr>
          <w:rFonts w:ascii="Times New Roman" w:hAnsi="Times New Roman"/>
          <w:b/>
          <w:spacing w:val="-2"/>
          <w:sz w:val="16"/>
          <w:szCs w:val="16"/>
        </w:rPr>
        <w:t>§ 100c </w:t>
      </w:r>
      <w:r w:rsidR="003B1746">
        <w:rPr>
          <w:rFonts w:ascii="Times New Roman" w:hAnsi="Times New Roman"/>
          <w:b/>
          <w:spacing w:val="-2"/>
          <w:sz w:val="16"/>
          <w:szCs w:val="16"/>
        </w:rPr>
        <w:t xml:space="preserve">I </w:t>
      </w:r>
      <w:r w:rsidRPr="00455CFC">
        <w:rPr>
          <w:rFonts w:ascii="Times New Roman" w:hAnsi="Times New Roman"/>
          <w:b/>
          <w:spacing w:val="-2"/>
          <w:sz w:val="16"/>
          <w:szCs w:val="16"/>
        </w:rPr>
        <w:t>StPO</w:t>
      </w:r>
      <w:r w:rsidRPr="00455CFC">
        <w:rPr>
          <w:rFonts w:ascii="Times New Roman" w:hAnsi="Times New Roman"/>
          <w:spacing w:val="-2"/>
          <w:sz w:val="16"/>
          <w:szCs w:val="16"/>
        </w:rPr>
        <w:t xml:space="preserve">. Eine solche Maßnahme ist nur zulässig, </w:t>
      </w:r>
      <w:r w:rsidRPr="00455CFC">
        <w:rPr>
          <w:rFonts w:ascii="Times New Roman" w:hAnsi="Times New Roman" w:cs="Times New Roman"/>
          <w:sz w:val="16"/>
          <w:szCs w:val="16"/>
          <w:lang w:bidi="x-none"/>
        </w:rPr>
        <w:t xml:space="preserve">wenn bestimmte Tatsachen den Verdacht begründen, dass jemand als Täter oder Teilnehmer eine in </w:t>
      </w:r>
      <w:r w:rsidR="005902EB">
        <w:rPr>
          <w:rFonts w:ascii="Times New Roman" w:hAnsi="Times New Roman" w:cs="Times New Roman"/>
          <w:sz w:val="16"/>
          <w:szCs w:val="16"/>
          <w:lang w:bidi="x-none"/>
        </w:rPr>
        <w:t>§</w:t>
      </w:r>
      <w:r w:rsidR="003B1746">
        <w:rPr>
          <w:rFonts w:ascii="Times New Roman" w:hAnsi="Times New Roman" w:cs="Times New Roman"/>
          <w:sz w:val="16"/>
          <w:szCs w:val="16"/>
          <w:lang w:bidi="x-none"/>
        </w:rPr>
        <w:t> </w:t>
      </w:r>
      <w:r w:rsidR="005902EB">
        <w:rPr>
          <w:rFonts w:ascii="Times New Roman" w:hAnsi="Times New Roman" w:cs="Times New Roman"/>
          <w:sz w:val="16"/>
          <w:szCs w:val="16"/>
          <w:lang w:bidi="x-none"/>
        </w:rPr>
        <w:t>100b II StPO</w:t>
      </w:r>
      <w:r w:rsidRPr="00455CFC">
        <w:rPr>
          <w:rFonts w:ascii="Times New Roman" w:hAnsi="Times New Roman" w:cs="Times New Roman"/>
          <w:sz w:val="16"/>
          <w:szCs w:val="16"/>
          <w:lang w:bidi="x-none"/>
        </w:rPr>
        <w:t xml:space="preserve"> bezeichnete besonders schwere Straftat begangen oder in Fällen, in denen der Versuch strafbar ist, zu begehen versucht hat</w:t>
      </w:r>
      <w:r w:rsidR="009355DB">
        <w:rPr>
          <w:rFonts w:ascii="Times New Roman" w:hAnsi="Times New Roman" w:cs="Times New Roman"/>
          <w:sz w:val="16"/>
          <w:szCs w:val="16"/>
          <w:lang w:bidi="x-none"/>
        </w:rPr>
        <w:t xml:space="preserve"> (§</w:t>
      </w:r>
      <w:r w:rsidR="003B1746">
        <w:rPr>
          <w:rFonts w:ascii="Times New Roman" w:hAnsi="Times New Roman" w:cs="Times New Roman"/>
          <w:sz w:val="16"/>
          <w:szCs w:val="16"/>
          <w:lang w:bidi="x-none"/>
        </w:rPr>
        <w:t> </w:t>
      </w:r>
      <w:r w:rsidR="009355DB">
        <w:rPr>
          <w:rFonts w:ascii="Times New Roman" w:hAnsi="Times New Roman" w:cs="Times New Roman"/>
          <w:sz w:val="16"/>
          <w:szCs w:val="16"/>
          <w:lang w:bidi="x-none"/>
        </w:rPr>
        <w:t>100c I Nr. 1 StPO),</w:t>
      </w:r>
      <w:r w:rsidR="00E31C86">
        <w:rPr>
          <w:rFonts w:ascii="Times New Roman" w:hAnsi="Times New Roman" w:cs="Times New Roman"/>
          <w:sz w:val="16"/>
          <w:szCs w:val="16"/>
          <w:lang w:bidi="x-none"/>
        </w:rPr>
        <w:t xml:space="preserve"> </w:t>
      </w:r>
      <w:r w:rsidRPr="00455CFC">
        <w:rPr>
          <w:rFonts w:ascii="Times New Roman" w:hAnsi="Times New Roman" w:cs="Times New Roman"/>
          <w:sz w:val="16"/>
          <w:szCs w:val="16"/>
          <w:lang w:bidi="x-none"/>
        </w:rPr>
        <w:t xml:space="preserve">die Tat auch im Einzelfall besonders schwer wiegt </w:t>
      </w:r>
      <w:r w:rsidR="009355DB">
        <w:rPr>
          <w:rFonts w:ascii="Times New Roman" w:hAnsi="Times New Roman" w:cs="Times New Roman"/>
          <w:sz w:val="16"/>
          <w:szCs w:val="16"/>
          <w:lang w:bidi="x-none"/>
        </w:rPr>
        <w:t>(§</w:t>
      </w:r>
      <w:r w:rsidR="003B1746">
        <w:rPr>
          <w:rFonts w:ascii="Times New Roman" w:hAnsi="Times New Roman" w:cs="Times New Roman"/>
          <w:sz w:val="16"/>
          <w:szCs w:val="16"/>
          <w:lang w:bidi="x-none"/>
        </w:rPr>
        <w:t> </w:t>
      </w:r>
      <w:r w:rsidR="009355DB">
        <w:rPr>
          <w:rFonts w:ascii="Times New Roman" w:hAnsi="Times New Roman" w:cs="Times New Roman"/>
          <w:sz w:val="16"/>
          <w:szCs w:val="16"/>
          <w:lang w:bidi="x-none"/>
        </w:rPr>
        <w:t>100c I Nr. 2 StPO),</w:t>
      </w:r>
      <w:r w:rsidRPr="00455CFC">
        <w:rPr>
          <w:rFonts w:ascii="Times New Roman" w:hAnsi="Times New Roman" w:cs="Times New Roman"/>
          <w:sz w:val="16"/>
          <w:szCs w:val="16"/>
          <w:lang w:bidi="x-none"/>
        </w:rPr>
        <w:t xml:space="preserve"> auf Grund tatsächlicher Anhaltspunkte anzunehmen ist, dass durch die Überwachung Äußerungen des Beschuldigten erfasst werden, die für die Erforschung des Sachverhalts oder die Ermittlung des Aufenthaltsortes eines Mitbeschuldigten von Bedeutung sind</w:t>
      </w:r>
      <w:r w:rsidR="009355DB">
        <w:rPr>
          <w:rFonts w:ascii="Times New Roman" w:hAnsi="Times New Roman" w:cs="Times New Roman"/>
          <w:sz w:val="16"/>
          <w:szCs w:val="16"/>
          <w:lang w:bidi="x-none"/>
        </w:rPr>
        <w:t xml:space="preserve"> (§</w:t>
      </w:r>
      <w:r w:rsidR="003B1746">
        <w:rPr>
          <w:rFonts w:ascii="Times New Roman" w:hAnsi="Times New Roman" w:cs="Times New Roman"/>
          <w:sz w:val="16"/>
          <w:szCs w:val="16"/>
          <w:lang w:bidi="x-none"/>
        </w:rPr>
        <w:t> </w:t>
      </w:r>
      <w:r w:rsidR="009355DB">
        <w:rPr>
          <w:rFonts w:ascii="Times New Roman" w:hAnsi="Times New Roman" w:cs="Times New Roman"/>
          <w:sz w:val="16"/>
          <w:szCs w:val="16"/>
          <w:lang w:bidi="x-none"/>
        </w:rPr>
        <w:t>100c I Nr. 3 StPO)</w:t>
      </w:r>
      <w:r w:rsidRPr="00455CFC">
        <w:rPr>
          <w:rFonts w:ascii="Times New Roman" w:hAnsi="Times New Roman" w:cs="Times New Roman"/>
          <w:sz w:val="16"/>
          <w:szCs w:val="16"/>
          <w:lang w:bidi="x-none"/>
        </w:rPr>
        <w:t xml:space="preserve"> und die Voraussetzungen der Subsidiaritätsklausel</w:t>
      </w:r>
      <w:r w:rsidR="009355DB">
        <w:rPr>
          <w:rFonts w:ascii="Times New Roman" w:hAnsi="Times New Roman" w:cs="Times New Roman"/>
          <w:sz w:val="16"/>
          <w:szCs w:val="16"/>
          <w:lang w:bidi="x-none"/>
        </w:rPr>
        <w:t xml:space="preserve"> (§</w:t>
      </w:r>
      <w:r w:rsidR="003B1746">
        <w:rPr>
          <w:rFonts w:ascii="Times New Roman" w:hAnsi="Times New Roman" w:cs="Times New Roman"/>
          <w:sz w:val="16"/>
          <w:szCs w:val="16"/>
          <w:lang w:bidi="x-none"/>
        </w:rPr>
        <w:t> </w:t>
      </w:r>
      <w:r w:rsidR="009355DB">
        <w:rPr>
          <w:rFonts w:ascii="Times New Roman" w:hAnsi="Times New Roman" w:cs="Times New Roman"/>
          <w:sz w:val="16"/>
          <w:szCs w:val="16"/>
          <w:lang w:bidi="x-none"/>
        </w:rPr>
        <w:t>100c I Nr. 4) StPO</w:t>
      </w:r>
      <w:r w:rsidRPr="00455CFC">
        <w:rPr>
          <w:rFonts w:ascii="Times New Roman" w:hAnsi="Times New Roman" w:cs="Times New Roman"/>
          <w:sz w:val="16"/>
          <w:szCs w:val="16"/>
          <w:lang w:bidi="x-none"/>
        </w:rPr>
        <w:t xml:space="preserve"> erfüllt sind. </w:t>
      </w:r>
      <w:r w:rsidR="00CD2C7E">
        <w:rPr>
          <w:rFonts w:ascii="Times New Roman" w:hAnsi="Times New Roman" w:cs="Times New Roman"/>
          <w:sz w:val="16"/>
          <w:szCs w:val="16"/>
          <w:lang w:bidi="x-none"/>
        </w:rPr>
        <w:t xml:space="preserve">Ein </w:t>
      </w:r>
      <w:r w:rsidR="00CD2C7E" w:rsidRPr="00CB7AE4">
        <w:rPr>
          <w:rFonts w:ascii="Times New Roman" w:hAnsi="Times New Roman" w:cs="Times New Roman"/>
          <w:b/>
          <w:sz w:val="16"/>
          <w:szCs w:val="16"/>
          <w:lang w:bidi="x-none"/>
        </w:rPr>
        <w:t>explizites Verwertungsverbot enthält wiederum §</w:t>
      </w:r>
      <w:r w:rsidR="003B1746">
        <w:rPr>
          <w:rFonts w:ascii="Times New Roman" w:hAnsi="Times New Roman" w:cs="Times New Roman"/>
          <w:b/>
          <w:sz w:val="16"/>
          <w:szCs w:val="16"/>
          <w:lang w:bidi="x-none"/>
        </w:rPr>
        <w:t> </w:t>
      </w:r>
      <w:r w:rsidR="00CD2C7E" w:rsidRPr="00CB7AE4">
        <w:rPr>
          <w:rFonts w:ascii="Times New Roman" w:hAnsi="Times New Roman" w:cs="Times New Roman"/>
          <w:b/>
          <w:sz w:val="16"/>
          <w:szCs w:val="16"/>
          <w:lang w:bidi="x-none"/>
        </w:rPr>
        <w:t>100d II 1 StPO</w:t>
      </w:r>
      <w:r w:rsidR="00CD2C7E">
        <w:rPr>
          <w:rFonts w:ascii="Times New Roman" w:hAnsi="Times New Roman" w:cs="Times New Roman"/>
          <w:sz w:val="16"/>
          <w:szCs w:val="16"/>
          <w:lang w:bidi="x-none"/>
        </w:rPr>
        <w:t xml:space="preserve"> bzgl. der Aufzeichnungen von Äußerungen aus dem Intimbereich. </w:t>
      </w:r>
      <w:r w:rsidRPr="00455CFC">
        <w:rPr>
          <w:rFonts w:ascii="Times New Roman" w:hAnsi="Times New Roman" w:cs="Times New Roman"/>
          <w:sz w:val="16"/>
          <w:szCs w:val="16"/>
          <w:lang w:bidi="x-none"/>
        </w:rPr>
        <w:t xml:space="preserve">Ein weiteres ausdrückliches Verwertungsverbot </w:t>
      </w:r>
      <w:r w:rsidR="00CD2C7E">
        <w:rPr>
          <w:rFonts w:ascii="Times New Roman" w:hAnsi="Times New Roman" w:cs="Times New Roman"/>
          <w:sz w:val="16"/>
          <w:szCs w:val="16"/>
          <w:lang w:bidi="x-none"/>
        </w:rPr>
        <w:t>findet sich in</w:t>
      </w:r>
      <w:r w:rsidR="00CD2C7E" w:rsidRPr="00455CFC">
        <w:rPr>
          <w:rFonts w:ascii="Times New Roman" w:hAnsi="Times New Roman" w:cs="Times New Roman"/>
          <w:sz w:val="16"/>
          <w:szCs w:val="16"/>
          <w:lang w:bidi="x-none"/>
        </w:rPr>
        <w:t xml:space="preserve"> </w:t>
      </w:r>
      <w:r w:rsidR="00CD2C7E">
        <w:rPr>
          <w:rFonts w:ascii="Times New Roman" w:hAnsi="Times New Roman" w:cs="Times New Roman"/>
          <w:b/>
          <w:sz w:val="16"/>
          <w:szCs w:val="16"/>
          <w:lang w:bidi="x-none"/>
        </w:rPr>
        <w:t>§§</w:t>
      </w:r>
      <w:r w:rsidRPr="00455CFC">
        <w:rPr>
          <w:rFonts w:ascii="Times New Roman" w:hAnsi="Times New Roman" w:cs="Times New Roman"/>
          <w:b/>
          <w:sz w:val="16"/>
          <w:szCs w:val="16"/>
          <w:lang w:bidi="x-none"/>
        </w:rPr>
        <w:t> </w:t>
      </w:r>
      <w:r w:rsidR="00CD2C7E" w:rsidRPr="00455CFC">
        <w:rPr>
          <w:rFonts w:ascii="Times New Roman" w:hAnsi="Times New Roman" w:cs="Times New Roman"/>
          <w:b/>
          <w:sz w:val="16"/>
          <w:szCs w:val="16"/>
          <w:lang w:bidi="x-none"/>
        </w:rPr>
        <w:t>100</w:t>
      </w:r>
      <w:r w:rsidR="00CD2C7E">
        <w:rPr>
          <w:rFonts w:ascii="Times New Roman" w:hAnsi="Times New Roman" w:cs="Times New Roman"/>
          <w:b/>
          <w:sz w:val="16"/>
          <w:szCs w:val="16"/>
          <w:lang w:bidi="x-none"/>
        </w:rPr>
        <w:t>d</w:t>
      </w:r>
      <w:r w:rsidR="00CD2C7E" w:rsidRPr="00455CFC">
        <w:rPr>
          <w:rFonts w:ascii="Times New Roman" w:hAnsi="Times New Roman" w:cs="Times New Roman"/>
          <w:b/>
          <w:sz w:val="16"/>
          <w:szCs w:val="16"/>
          <w:lang w:bidi="x-none"/>
        </w:rPr>
        <w:t> </w:t>
      </w:r>
      <w:r w:rsidRPr="00455CFC">
        <w:rPr>
          <w:rFonts w:ascii="Times New Roman" w:hAnsi="Times New Roman" w:cs="Times New Roman"/>
          <w:b/>
          <w:sz w:val="16"/>
          <w:szCs w:val="16"/>
          <w:lang w:bidi="x-none"/>
        </w:rPr>
        <w:t>V</w:t>
      </w:r>
      <w:r w:rsidR="00CD2C7E">
        <w:rPr>
          <w:rFonts w:ascii="Times New Roman" w:hAnsi="Times New Roman" w:cs="Times New Roman"/>
          <w:b/>
          <w:sz w:val="16"/>
          <w:szCs w:val="16"/>
          <w:lang w:bidi="x-none"/>
        </w:rPr>
        <w:t xml:space="preserve"> 1</w:t>
      </w:r>
      <w:r w:rsidR="009355DB">
        <w:rPr>
          <w:rFonts w:ascii="Times New Roman" w:hAnsi="Times New Roman" w:cs="Times New Roman"/>
          <w:b/>
          <w:sz w:val="16"/>
          <w:szCs w:val="16"/>
          <w:lang w:bidi="x-none"/>
        </w:rPr>
        <w:t xml:space="preserve"> HS 2</w:t>
      </w:r>
      <w:r w:rsidR="00CD2C7E">
        <w:rPr>
          <w:rFonts w:ascii="Times New Roman" w:hAnsi="Times New Roman" w:cs="Times New Roman"/>
          <w:b/>
          <w:sz w:val="16"/>
          <w:szCs w:val="16"/>
          <w:lang w:bidi="x-none"/>
        </w:rPr>
        <w:t xml:space="preserve">, 100d II 1 </w:t>
      </w:r>
      <w:r w:rsidRPr="00455CFC">
        <w:rPr>
          <w:rFonts w:ascii="Times New Roman" w:hAnsi="Times New Roman" w:cs="Times New Roman"/>
          <w:b/>
          <w:sz w:val="16"/>
          <w:szCs w:val="16"/>
          <w:lang w:bidi="x-none"/>
        </w:rPr>
        <w:t>StPO</w:t>
      </w:r>
      <w:r w:rsidRPr="00455CFC">
        <w:rPr>
          <w:rFonts w:ascii="Times New Roman" w:hAnsi="Times New Roman" w:cs="Times New Roman"/>
          <w:sz w:val="16"/>
          <w:szCs w:val="16"/>
          <w:lang w:bidi="x-none"/>
        </w:rPr>
        <w:t xml:space="preserve"> bzgl. der Äußerungen von </w:t>
      </w:r>
      <w:r w:rsidRPr="00455CFC">
        <w:rPr>
          <w:rFonts w:ascii="Times New Roman" w:hAnsi="Times New Roman" w:cs="Times New Roman"/>
          <w:b/>
          <w:sz w:val="16"/>
          <w:szCs w:val="16"/>
          <w:lang w:bidi="x-none"/>
        </w:rPr>
        <w:t>Zeugnisverweigerungsberechtigten</w:t>
      </w:r>
      <w:r w:rsidR="00CD2C7E">
        <w:rPr>
          <w:rFonts w:ascii="Times New Roman" w:hAnsi="Times New Roman" w:cs="Times New Roman"/>
          <w:b/>
          <w:sz w:val="16"/>
          <w:szCs w:val="16"/>
          <w:lang w:bidi="x-none"/>
        </w:rPr>
        <w:t xml:space="preserve"> </w:t>
      </w:r>
      <w:r w:rsidR="00CD2C7E">
        <w:rPr>
          <w:rFonts w:ascii="Times New Roman" w:hAnsi="Times New Roman" w:cs="Times New Roman"/>
          <w:sz w:val="16"/>
          <w:szCs w:val="16"/>
          <w:lang w:bidi="x-none"/>
        </w:rPr>
        <w:t>(zu beachten sind jedoch die Einschränkungen gem. §</w:t>
      </w:r>
      <w:r w:rsidR="003B1746">
        <w:rPr>
          <w:rFonts w:ascii="Times New Roman" w:hAnsi="Times New Roman" w:cs="Times New Roman"/>
          <w:sz w:val="16"/>
          <w:szCs w:val="16"/>
          <w:lang w:bidi="x-none"/>
        </w:rPr>
        <w:t> </w:t>
      </w:r>
      <w:r w:rsidR="00CD2C7E">
        <w:rPr>
          <w:rFonts w:ascii="Times New Roman" w:hAnsi="Times New Roman" w:cs="Times New Roman"/>
          <w:sz w:val="16"/>
          <w:szCs w:val="16"/>
          <w:lang w:bidi="x-none"/>
        </w:rPr>
        <w:t>100d V 2 StPO)</w:t>
      </w:r>
      <w:r w:rsidRPr="00455CFC">
        <w:rPr>
          <w:rFonts w:ascii="Times New Roman" w:hAnsi="Times New Roman" w:cs="Times New Roman"/>
          <w:sz w:val="16"/>
          <w:szCs w:val="16"/>
          <w:lang w:bidi="x-none"/>
        </w:rPr>
        <w:t xml:space="preserve">. Im Übrigen führt hier das Nicht-Vorliegen der materiellen Voraussetzungen erst recht zu einem Beweisverwertungsverbot. Bzgl. der formellen Voraussetzungen hat der BGH ein Verwertungsverbot dann angenommen, wenn nur die Voraussetzungen des kleinen Lauschangriffs beachtet wurden. Bzgl. der Zufallsfunde besteht </w:t>
      </w:r>
      <w:r w:rsidRPr="00455CFC">
        <w:rPr>
          <w:rFonts w:ascii="Times New Roman" w:hAnsi="Times New Roman"/>
          <w:spacing w:val="-2"/>
          <w:sz w:val="16"/>
          <w:szCs w:val="16"/>
        </w:rPr>
        <w:t xml:space="preserve">für den großen Lauschangriff eine Sonderregelung in </w:t>
      </w:r>
      <w:r w:rsidRPr="00455CFC">
        <w:rPr>
          <w:rFonts w:ascii="Times New Roman" w:hAnsi="Times New Roman"/>
          <w:b/>
          <w:spacing w:val="-2"/>
          <w:sz w:val="16"/>
          <w:szCs w:val="16"/>
        </w:rPr>
        <w:t>§ </w:t>
      </w:r>
      <w:r w:rsidR="00CD2C7E" w:rsidRPr="00455CFC">
        <w:rPr>
          <w:rFonts w:ascii="Times New Roman" w:hAnsi="Times New Roman"/>
          <w:b/>
          <w:spacing w:val="-2"/>
          <w:sz w:val="16"/>
          <w:szCs w:val="16"/>
        </w:rPr>
        <w:t>100</w:t>
      </w:r>
      <w:r w:rsidR="00CD2C7E">
        <w:rPr>
          <w:rFonts w:ascii="Times New Roman" w:hAnsi="Times New Roman"/>
          <w:b/>
          <w:spacing w:val="-2"/>
          <w:sz w:val="16"/>
          <w:szCs w:val="16"/>
        </w:rPr>
        <w:t>e</w:t>
      </w:r>
      <w:r w:rsidR="00CD2C7E" w:rsidRPr="00455CFC">
        <w:rPr>
          <w:rFonts w:ascii="Times New Roman" w:hAnsi="Times New Roman"/>
          <w:b/>
          <w:spacing w:val="-2"/>
          <w:sz w:val="16"/>
          <w:szCs w:val="16"/>
        </w:rPr>
        <w:t> </w:t>
      </w:r>
      <w:r w:rsidRPr="00455CFC">
        <w:rPr>
          <w:rFonts w:ascii="Times New Roman" w:hAnsi="Times New Roman"/>
          <w:b/>
          <w:spacing w:val="-2"/>
          <w:sz w:val="16"/>
          <w:szCs w:val="16"/>
        </w:rPr>
        <w:t>V</w:t>
      </w:r>
      <w:r w:rsidR="00CD2C7E">
        <w:rPr>
          <w:rFonts w:ascii="Times New Roman" w:hAnsi="Times New Roman"/>
          <w:b/>
          <w:spacing w:val="-2"/>
          <w:sz w:val="16"/>
          <w:szCs w:val="16"/>
        </w:rPr>
        <w:t>I</w:t>
      </w:r>
      <w:r w:rsidRPr="00455CFC">
        <w:rPr>
          <w:rFonts w:ascii="Times New Roman" w:hAnsi="Times New Roman"/>
          <w:b/>
          <w:spacing w:val="-2"/>
          <w:sz w:val="16"/>
          <w:szCs w:val="16"/>
        </w:rPr>
        <w:t> StPO</w:t>
      </w:r>
      <w:r w:rsidR="008A1B43">
        <w:rPr>
          <w:rFonts w:ascii="Times New Roman" w:hAnsi="Times New Roman"/>
          <w:b/>
          <w:spacing w:val="-2"/>
          <w:sz w:val="16"/>
          <w:szCs w:val="16"/>
        </w:rPr>
        <w:t>.</w:t>
      </w:r>
    </w:p>
    <w:p w14:paraId="0E5A7A17" w14:textId="77777777" w:rsidR="00B7170C" w:rsidRPr="00455CFC" w:rsidRDefault="00B7170C" w:rsidP="00455CFC">
      <w:pPr>
        <w:widowControl/>
        <w:tabs>
          <w:tab w:val="left" w:pos="-72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spacing w:val="-2"/>
          <w:sz w:val="16"/>
          <w:szCs w:val="16"/>
          <w:u w:val="single"/>
        </w:rPr>
      </w:pPr>
      <w:r w:rsidRPr="00455CFC">
        <w:rPr>
          <w:rFonts w:ascii="Times New Roman" w:hAnsi="Times New Roman"/>
          <w:spacing w:val="-2"/>
          <w:sz w:val="16"/>
          <w:szCs w:val="16"/>
          <w:u w:val="single"/>
        </w:rPr>
        <w:t xml:space="preserve">3. </w:t>
      </w:r>
      <w:r w:rsidRPr="00455CFC">
        <w:rPr>
          <w:rFonts w:ascii="Times New Roman" w:hAnsi="Times New Roman"/>
          <w:spacing w:val="-2"/>
          <w:sz w:val="16"/>
          <w:szCs w:val="16"/>
          <w:u w:val="single"/>
        </w:rPr>
        <w:tab/>
        <w:t>Foto- und Videoaufnahmen und sonstige technische Mittel zu Observationszwecken</w:t>
      </w:r>
      <w:r w:rsidRPr="00455CFC">
        <w:rPr>
          <w:rFonts w:ascii="Times New Roman" w:hAnsi="Times New Roman"/>
          <w:spacing w:val="-2"/>
          <w:sz w:val="16"/>
          <w:szCs w:val="16"/>
        </w:rPr>
        <w:t>: § 100h I StPO regelt Bildaufnahmen (Nr. 1) und den Einsatz von technischen Observationsmitteln (Nr. 2). Erstere sind unter den Voraussetzungen der Subsidiaritätsklausel zulässig; bei den technischen Observationsmitteln muss es sich zusätzlich</w:t>
      </w:r>
      <w:r w:rsidR="00E31C86">
        <w:rPr>
          <w:rFonts w:ascii="Times New Roman" w:hAnsi="Times New Roman"/>
          <w:spacing w:val="-2"/>
          <w:sz w:val="16"/>
          <w:szCs w:val="16"/>
        </w:rPr>
        <w:t xml:space="preserve">, also über die Subsidiaritätsklausel hinaus, </w:t>
      </w:r>
      <w:r w:rsidRPr="00455CFC">
        <w:rPr>
          <w:rFonts w:ascii="Times New Roman" w:hAnsi="Times New Roman"/>
          <w:spacing w:val="-2"/>
          <w:sz w:val="16"/>
          <w:szCs w:val="16"/>
        </w:rPr>
        <w:t xml:space="preserve">noch um eine Straftat von erheblicher Bedeutung handeln. Liegen die materiellen Voraussetzungen nicht vor, so ist wiederum ein </w:t>
      </w:r>
      <w:r w:rsidRPr="00455CFC">
        <w:rPr>
          <w:rFonts w:ascii="Times New Roman" w:hAnsi="Times New Roman"/>
          <w:b/>
          <w:spacing w:val="-2"/>
          <w:sz w:val="16"/>
          <w:szCs w:val="16"/>
        </w:rPr>
        <w:t xml:space="preserve">Verwertungsverbot </w:t>
      </w:r>
      <w:r w:rsidRPr="00455CFC">
        <w:rPr>
          <w:rFonts w:ascii="Times New Roman" w:hAnsi="Times New Roman"/>
          <w:spacing w:val="-2"/>
          <w:sz w:val="16"/>
          <w:szCs w:val="16"/>
        </w:rPr>
        <w:t>anzunehmen.</w:t>
      </w:r>
    </w:p>
    <w:p w14:paraId="6E4A850A" w14:textId="5798849E" w:rsidR="006519A2" w:rsidRDefault="00B7170C" w:rsidP="00A3506A">
      <w:pPr>
        <w:widowControl/>
        <w:tabs>
          <w:tab w:val="left" w:pos="-72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spacing w:val="-2"/>
          <w:sz w:val="16"/>
          <w:szCs w:val="16"/>
        </w:rPr>
      </w:pPr>
      <w:r w:rsidRPr="00455CFC">
        <w:rPr>
          <w:rFonts w:ascii="Times New Roman" w:hAnsi="Times New Roman"/>
          <w:spacing w:val="-2"/>
          <w:sz w:val="16"/>
          <w:szCs w:val="16"/>
          <w:u w:val="single"/>
        </w:rPr>
        <w:t xml:space="preserve">4. </w:t>
      </w:r>
      <w:r w:rsidRPr="00455CFC">
        <w:rPr>
          <w:rFonts w:ascii="Times New Roman" w:hAnsi="Times New Roman"/>
          <w:spacing w:val="-2"/>
          <w:sz w:val="16"/>
          <w:szCs w:val="16"/>
          <w:u w:val="single"/>
        </w:rPr>
        <w:tab/>
        <w:t>Tagebuchaufzeichnungen</w:t>
      </w:r>
      <w:r w:rsidR="00843A4D" w:rsidRPr="00455CFC">
        <w:rPr>
          <w:rFonts w:ascii="Times New Roman" w:hAnsi="Times New Roman"/>
          <w:spacing w:val="-2"/>
          <w:sz w:val="16"/>
          <w:szCs w:val="16"/>
          <w:u w:val="single"/>
        </w:rPr>
        <w:t>/Selbstgespräche</w:t>
      </w:r>
      <w:r w:rsidRPr="00455CFC">
        <w:rPr>
          <w:rFonts w:ascii="Times New Roman" w:hAnsi="Times New Roman"/>
          <w:spacing w:val="-2"/>
          <w:sz w:val="16"/>
          <w:szCs w:val="16"/>
        </w:rPr>
        <w:t>: Interessant ist die Frage der Verwertbarkeit von Tagebuchaufzeichnungen</w:t>
      </w:r>
      <w:r w:rsidR="00843A4D" w:rsidRPr="00455CFC">
        <w:rPr>
          <w:rFonts w:ascii="Times New Roman" w:hAnsi="Times New Roman"/>
          <w:spacing w:val="-2"/>
          <w:sz w:val="16"/>
          <w:szCs w:val="16"/>
        </w:rPr>
        <w:t>. Sie ist gesetzlich nicht geregelt</w:t>
      </w:r>
      <w:r w:rsidR="00E9360E" w:rsidRPr="00455CFC">
        <w:rPr>
          <w:rFonts w:ascii="Times New Roman" w:hAnsi="Times New Roman"/>
          <w:spacing w:val="-2"/>
          <w:sz w:val="16"/>
          <w:szCs w:val="16"/>
        </w:rPr>
        <w:t>.</w:t>
      </w:r>
      <w:r w:rsidR="00843A4D" w:rsidRPr="00455CFC">
        <w:rPr>
          <w:rFonts w:ascii="Times New Roman" w:hAnsi="Times New Roman"/>
          <w:spacing w:val="-2"/>
          <w:sz w:val="16"/>
          <w:szCs w:val="16"/>
        </w:rPr>
        <w:t xml:space="preserve"> </w:t>
      </w:r>
      <w:proofErr w:type="spellStart"/>
      <w:r w:rsidR="00E9360E" w:rsidRPr="00455CFC">
        <w:rPr>
          <w:rFonts w:ascii="Times New Roman" w:hAnsi="Times New Roman"/>
          <w:spacing w:val="-2"/>
          <w:sz w:val="16"/>
          <w:szCs w:val="16"/>
        </w:rPr>
        <w:t>Grds</w:t>
      </w:r>
      <w:proofErr w:type="spellEnd"/>
      <w:r w:rsidR="00E9360E" w:rsidRPr="00455CFC">
        <w:rPr>
          <w:rFonts w:ascii="Times New Roman" w:hAnsi="Times New Roman"/>
          <w:spacing w:val="-2"/>
          <w:sz w:val="16"/>
          <w:szCs w:val="16"/>
        </w:rPr>
        <w:t xml:space="preserve">. kann auf die </w:t>
      </w:r>
      <w:r w:rsidR="005B031A" w:rsidRPr="00455CFC">
        <w:rPr>
          <w:rFonts w:ascii="Times New Roman" w:hAnsi="Times New Roman"/>
          <w:spacing w:val="-2"/>
          <w:sz w:val="16"/>
          <w:szCs w:val="16"/>
        </w:rPr>
        <w:t>Ermittlungsg</w:t>
      </w:r>
      <w:r w:rsidR="00843A4D" w:rsidRPr="00455CFC">
        <w:rPr>
          <w:rFonts w:ascii="Times New Roman" w:hAnsi="Times New Roman"/>
          <w:spacing w:val="-2"/>
          <w:sz w:val="16"/>
          <w:szCs w:val="16"/>
        </w:rPr>
        <w:t xml:space="preserve">eneralklausel </w:t>
      </w:r>
      <w:r w:rsidR="005B031A" w:rsidRPr="00455CFC">
        <w:rPr>
          <w:rFonts w:ascii="Times New Roman" w:hAnsi="Times New Roman"/>
          <w:spacing w:val="-2"/>
          <w:sz w:val="16"/>
          <w:szCs w:val="16"/>
        </w:rPr>
        <w:t>(§§</w:t>
      </w:r>
      <w:r w:rsidR="003B1746">
        <w:rPr>
          <w:rFonts w:ascii="Times New Roman" w:hAnsi="Times New Roman"/>
          <w:spacing w:val="-2"/>
          <w:sz w:val="16"/>
          <w:szCs w:val="16"/>
        </w:rPr>
        <w:t> </w:t>
      </w:r>
      <w:r w:rsidR="005B031A" w:rsidRPr="00455CFC">
        <w:rPr>
          <w:rFonts w:ascii="Times New Roman" w:hAnsi="Times New Roman"/>
          <w:spacing w:val="-2"/>
          <w:sz w:val="16"/>
          <w:szCs w:val="16"/>
        </w:rPr>
        <w:t>161 I, 163</w:t>
      </w:r>
      <w:r w:rsidR="003B1746">
        <w:rPr>
          <w:rFonts w:ascii="Times New Roman" w:hAnsi="Times New Roman"/>
          <w:spacing w:val="-2"/>
          <w:sz w:val="16"/>
          <w:szCs w:val="16"/>
        </w:rPr>
        <w:t> </w:t>
      </w:r>
      <w:r w:rsidR="005B031A" w:rsidRPr="00455CFC">
        <w:rPr>
          <w:rFonts w:ascii="Times New Roman" w:hAnsi="Times New Roman"/>
          <w:spacing w:val="-2"/>
          <w:sz w:val="16"/>
          <w:szCs w:val="16"/>
        </w:rPr>
        <w:t xml:space="preserve">I StPO) </w:t>
      </w:r>
      <w:r w:rsidR="00843A4D" w:rsidRPr="00455CFC">
        <w:rPr>
          <w:rFonts w:ascii="Times New Roman" w:hAnsi="Times New Roman"/>
          <w:spacing w:val="-2"/>
          <w:sz w:val="16"/>
          <w:szCs w:val="16"/>
        </w:rPr>
        <w:t>als Ermächtigungsgrundlage</w:t>
      </w:r>
      <w:r w:rsidR="005B031A" w:rsidRPr="00455CFC">
        <w:rPr>
          <w:rFonts w:ascii="Times New Roman" w:hAnsi="Times New Roman"/>
          <w:spacing w:val="-2"/>
          <w:sz w:val="16"/>
          <w:szCs w:val="16"/>
        </w:rPr>
        <w:t xml:space="preserve"> </w:t>
      </w:r>
      <w:r w:rsidR="00E9360E" w:rsidRPr="00455CFC">
        <w:rPr>
          <w:rFonts w:ascii="Times New Roman" w:hAnsi="Times New Roman"/>
          <w:spacing w:val="-2"/>
          <w:sz w:val="16"/>
          <w:szCs w:val="16"/>
        </w:rPr>
        <w:t>zurückgegriffen werden</w:t>
      </w:r>
      <w:r w:rsidR="00843A4D" w:rsidRPr="00455CFC">
        <w:rPr>
          <w:rFonts w:ascii="Times New Roman" w:hAnsi="Times New Roman"/>
          <w:spacing w:val="-2"/>
          <w:sz w:val="16"/>
          <w:szCs w:val="16"/>
        </w:rPr>
        <w:t xml:space="preserve">. </w:t>
      </w:r>
      <w:r w:rsidR="00E9360E" w:rsidRPr="00455CFC">
        <w:rPr>
          <w:rFonts w:ascii="Times New Roman" w:hAnsi="Times New Roman"/>
          <w:spacing w:val="-2"/>
          <w:sz w:val="16"/>
          <w:szCs w:val="16"/>
        </w:rPr>
        <w:t xml:space="preserve">Dabei </w:t>
      </w:r>
      <w:r w:rsidR="00843A4D" w:rsidRPr="00455CFC">
        <w:rPr>
          <w:rFonts w:ascii="Times New Roman" w:hAnsi="Times New Roman"/>
          <w:spacing w:val="-2"/>
          <w:sz w:val="16"/>
          <w:szCs w:val="16"/>
        </w:rPr>
        <w:t xml:space="preserve">ist mit </w:t>
      </w:r>
      <w:r w:rsidRPr="00455CFC">
        <w:rPr>
          <w:rFonts w:ascii="Times New Roman" w:hAnsi="Times New Roman"/>
          <w:spacing w:val="-2"/>
          <w:sz w:val="16"/>
          <w:szCs w:val="16"/>
        </w:rPr>
        <w:t xml:space="preserve">der </w:t>
      </w:r>
      <w:r w:rsidRPr="00455CFC">
        <w:rPr>
          <w:rFonts w:ascii="Times New Roman" w:hAnsi="Times New Roman"/>
          <w:b/>
          <w:spacing w:val="-2"/>
          <w:sz w:val="16"/>
          <w:szCs w:val="16"/>
        </w:rPr>
        <w:t>Drei-Stufen-Theorie</w:t>
      </w:r>
      <w:r w:rsidRPr="00455CFC">
        <w:rPr>
          <w:rFonts w:ascii="Times New Roman" w:hAnsi="Times New Roman"/>
          <w:spacing w:val="-2"/>
          <w:sz w:val="16"/>
          <w:szCs w:val="16"/>
        </w:rPr>
        <w:t xml:space="preserve"> zu operieren. Hier kommt es entscheidend darauf an, ob man </w:t>
      </w:r>
      <w:r w:rsidR="00E9360E" w:rsidRPr="00455CFC">
        <w:rPr>
          <w:rFonts w:ascii="Times New Roman" w:hAnsi="Times New Roman"/>
          <w:spacing w:val="-2"/>
          <w:sz w:val="16"/>
          <w:szCs w:val="16"/>
        </w:rPr>
        <w:t xml:space="preserve">die </w:t>
      </w:r>
      <w:r w:rsidRPr="00455CFC">
        <w:rPr>
          <w:rFonts w:ascii="Times New Roman" w:hAnsi="Times New Roman"/>
          <w:spacing w:val="-2"/>
          <w:sz w:val="16"/>
          <w:szCs w:val="16"/>
        </w:rPr>
        <w:t xml:space="preserve">Tagebuchaufzeichnungen der </w:t>
      </w:r>
      <w:r w:rsidR="00202BB3">
        <w:rPr>
          <w:rFonts w:ascii="Times New Roman" w:hAnsi="Times New Roman"/>
          <w:spacing w:val="-2"/>
          <w:sz w:val="16"/>
          <w:szCs w:val="16"/>
        </w:rPr>
        <w:t>zweiten</w:t>
      </w:r>
      <w:r w:rsidRPr="00455CFC">
        <w:rPr>
          <w:rFonts w:ascii="Times New Roman" w:hAnsi="Times New Roman"/>
          <w:spacing w:val="-2"/>
          <w:sz w:val="16"/>
          <w:szCs w:val="16"/>
        </w:rPr>
        <w:t xml:space="preserve"> oder der </w:t>
      </w:r>
      <w:r w:rsidR="00202BB3">
        <w:rPr>
          <w:rFonts w:ascii="Times New Roman" w:hAnsi="Times New Roman"/>
          <w:spacing w:val="-2"/>
          <w:sz w:val="16"/>
          <w:szCs w:val="16"/>
        </w:rPr>
        <w:t>dritten</w:t>
      </w:r>
      <w:r w:rsidRPr="00455CFC">
        <w:rPr>
          <w:rFonts w:ascii="Times New Roman" w:hAnsi="Times New Roman"/>
          <w:spacing w:val="-2"/>
          <w:sz w:val="16"/>
          <w:szCs w:val="16"/>
        </w:rPr>
        <w:t xml:space="preserve"> Stufe zuordnet, denn in ersterem Fall wäre eine Abwägung vorzunehmen, in letzterem Fall eine Verwertung </w:t>
      </w:r>
      <w:proofErr w:type="spellStart"/>
      <w:r w:rsidRPr="00455CFC">
        <w:rPr>
          <w:rFonts w:ascii="Times New Roman" w:hAnsi="Times New Roman"/>
          <w:spacing w:val="-2"/>
          <w:sz w:val="16"/>
          <w:szCs w:val="16"/>
        </w:rPr>
        <w:t>grds</w:t>
      </w:r>
      <w:proofErr w:type="spellEnd"/>
      <w:r w:rsidRPr="00455CFC">
        <w:rPr>
          <w:rFonts w:ascii="Times New Roman" w:hAnsi="Times New Roman"/>
          <w:spacing w:val="-2"/>
          <w:sz w:val="16"/>
          <w:szCs w:val="16"/>
        </w:rPr>
        <w:t xml:space="preserve">. unzulässig. Diese Einordnung ist anhand des konkreten Inhalts </w:t>
      </w:r>
      <w:r w:rsidR="00843A4D" w:rsidRPr="00455CFC">
        <w:rPr>
          <w:rFonts w:ascii="Times New Roman" w:hAnsi="Times New Roman"/>
          <w:spacing w:val="-2"/>
          <w:sz w:val="16"/>
          <w:szCs w:val="16"/>
        </w:rPr>
        <w:t xml:space="preserve">des Tagebuchs </w:t>
      </w:r>
      <w:r w:rsidRPr="00455CFC">
        <w:rPr>
          <w:rFonts w:ascii="Times New Roman" w:hAnsi="Times New Roman"/>
          <w:spacing w:val="-2"/>
          <w:sz w:val="16"/>
          <w:szCs w:val="16"/>
        </w:rPr>
        <w:t>vorzunehmen.</w:t>
      </w:r>
      <w:r w:rsidR="00843A4D" w:rsidRPr="00455CFC">
        <w:rPr>
          <w:rFonts w:ascii="Times New Roman" w:hAnsi="Times New Roman"/>
          <w:spacing w:val="-2"/>
          <w:sz w:val="16"/>
          <w:szCs w:val="16"/>
        </w:rPr>
        <w:t xml:space="preserve"> Demgegenüber sind Selbstgespräche stets dem innersten Persönlichkeitskern und mithin der Intimsphäre zuzuordnen.</w:t>
      </w:r>
    </w:p>
    <w:p w14:paraId="3D81FBE4" w14:textId="77777777" w:rsidR="00132E98" w:rsidRPr="00455CFC" w:rsidRDefault="00132E98" w:rsidP="00A3506A">
      <w:pPr>
        <w:widowControl/>
        <w:tabs>
          <w:tab w:val="left" w:pos="-72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5"/>
          <w:szCs w:val="15"/>
        </w:rPr>
      </w:pPr>
    </w:p>
    <w:p w14:paraId="3BDEB20A" w14:textId="4341BAAC" w:rsidR="00B7170C" w:rsidRPr="00132E98" w:rsidRDefault="00B7170C" w:rsidP="00132E98">
      <w:pPr>
        <w:widowControl/>
        <w:tabs>
          <w:tab w:val="left" w:pos="-720"/>
          <w:tab w:val="left" w:pos="288"/>
          <w:tab w:val="left" w:pos="567"/>
          <w:tab w:val="left" w:pos="864"/>
          <w:tab w:val="left" w:pos="1116"/>
          <w:tab w:val="left" w:pos="1404"/>
          <w:tab w:val="left" w:pos="1692"/>
          <w:tab w:val="left" w:pos="1980"/>
          <w:tab w:val="left" w:pos="2268"/>
          <w:tab w:val="left" w:pos="2880"/>
        </w:tabs>
        <w:spacing w:line="130" w:lineRule="exact"/>
        <w:jc w:val="both"/>
        <w:rPr>
          <w:rFonts w:ascii="Times New Roman" w:hAnsi="Times New Roman"/>
          <w:spacing w:val="-2"/>
          <w:sz w:val="14"/>
          <w:szCs w:val="14"/>
        </w:rPr>
      </w:pPr>
      <w:r w:rsidRPr="00132E98">
        <w:rPr>
          <w:rFonts w:ascii="Times New Roman" w:hAnsi="Times New Roman"/>
          <w:b/>
          <w:spacing w:val="-2"/>
          <w:sz w:val="14"/>
          <w:szCs w:val="14"/>
        </w:rPr>
        <w:t>Literatur/Lehrbücher:</w:t>
      </w:r>
      <w:r w:rsidRPr="00132E98">
        <w:rPr>
          <w:rFonts w:ascii="Times New Roman" w:hAnsi="Times New Roman"/>
          <w:b/>
          <w:spacing w:val="-2"/>
          <w:sz w:val="14"/>
          <w:szCs w:val="14"/>
        </w:rPr>
        <w:tab/>
      </w:r>
      <w:r w:rsidR="005126D7" w:rsidRPr="00132E98">
        <w:rPr>
          <w:rFonts w:ascii="Times New Roman" w:hAnsi="Times New Roman"/>
          <w:i/>
          <w:spacing w:val="-2"/>
          <w:sz w:val="14"/>
          <w:szCs w:val="14"/>
        </w:rPr>
        <w:t>Heinrich/Reinbacher</w:t>
      </w:r>
      <w:r w:rsidR="005126D7" w:rsidRPr="00132E98">
        <w:rPr>
          <w:rFonts w:ascii="Times New Roman" w:hAnsi="Times New Roman"/>
          <w:spacing w:val="-2"/>
          <w:sz w:val="14"/>
          <w:szCs w:val="14"/>
        </w:rPr>
        <w:t>, Examinatorium Strafprozessrecht,</w:t>
      </w:r>
      <w:r w:rsidR="00710B0B" w:rsidRPr="00132E98">
        <w:rPr>
          <w:rFonts w:ascii="Times New Roman" w:hAnsi="Times New Roman"/>
          <w:spacing w:val="-2"/>
          <w:sz w:val="14"/>
          <w:szCs w:val="16"/>
        </w:rPr>
        <w:t xml:space="preserve"> </w:t>
      </w:r>
      <w:r w:rsidR="00DF3EAF" w:rsidRPr="00132E98">
        <w:rPr>
          <w:rFonts w:ascii="Times New Roman" w:hAnsi="Times New Roman"/>
          <w:spacing w:val="-2"/>
          <w:sz w:val="14"/>
          <w:szCs w:val="16"/>
        </w:rPr>
        <w:t>4</w:t>
      </w:r>
      <w:r w:rsidR="00710B0B" w:rsidRPr="00132E98">
        <w:rPr>
          <w:rFonts w:ascii="Times New Roman" w:hAnsi="Times New Roman"/>
          <w:spacing w:val="-2"/>
          <w:sz w:val="14"/>
          <w:szCs w:val="16"/>
        </w:rPr>
        <w:t xml:space="preserve">. Auflage </w:t>
      </w:r>
      <w:r w:rsidR="00B239F0" w:rsidRPr="00132E98">
        <w:rPr>
          <w:rFonts w:ascii="Times New Roman" w:hAnsi="Times New Roman"/>
          <w:spacing w:val="-2"/>
          <w:sz w:val="14"/>
          <w:szCs w:val="16"/>
        </w:rPr>
        <w:t>202</w:t>
      </w:r>
      <w:r w:rsidR="00DF3EAF" w:rsidRPr="00132E98">
        <w:rPr>
          <w:rFonts w:ascii="Times New Roman" w:hAnsi="Times New Roman"/>
          <w:spacing w:val="-2"/>
          <w:sz w:val="14"/>
          <w:szCs w:val="16"/>
        </w:rPr>
        <w:t>3</w:t>
      </w:r>
      <w:r w:rsidR="00710B0B" w:rsidRPr="00132E98">
        <w:rPr>
          <w:rFonts w:ascii="Times New Roman" w:hAnsi="Times New Roman"/>
          <w:spacing w:val="-2"/>
          <w:sz w:val="14"/>
          <w:szCs w:val="16"/>
        </w:rPr>
        <w:t>,</w:t>
      </w:r>
      <w:r w:rsidR="005126D7" w:rsidRPr="00132E98">
        <w:rPr>
          <w:rFonts w:ascii="Times New Roman" w:hAnsi="Times New Roman"/>
          <w:spacing w:val="-2"/>
          <w:sz w:val="14"/>
          <w:szCs w:val="14"/>
        </w:rPr>
        <w:t xml:space="preserve"> Problem 29. </w:t>
      </w:r>
    </w:p>
    <w:p w14:paraId="69610891" w14:textId="4BA33120" w:rsidR="00B7170C" w:rsidRPr="00132E98" w:rsidRDefault="00B7170C" w:rsidP="004C1362">
      <w:pPr>
        <w:widowControl/>
        <w:tabs>
          <w:tab w:val="left" w:pos="-720"/>
          <w:tab w:val="left" w:pos="288"/>
          <w:tab w:val="left" w:pos="567"/>
          <w:tab w:val="left" w:pos="864"/>
          <w:tab w:val="left" w:pos="1116"/>
          <w:tab w:val="left" w:pos="1276"/>
          <w:tab w:val="left" w:pos="1404"/>
          <w:tab w:val="left" w:pos="2268"/>
          <w:tab w:val="left" w:pos="2880"/>
        </w:tabs>
        <w:spacing w:line="130" w:lineRule="exact"/>
        <w:ind w:left="1400" w:hanging="1400"/>
        <w:jc w:val="both"/>
        <w:rPr>
          <w:rFonts w:ascii="Times New Roman" w:hAnsi="Times New Roman"/>
          <w:spacing w:val="-2"/>
          <w:sz w:val="14"/>
          <w:szCs w:val="14"/>
        </w:rPr>
      </w:pPr>
      <w:r w:rsidRPr="00132E98">
        <w:rPr>
          <w:rFonts w:ascii="Times New Roman" w:hAnsi="Times New Roman"/>
          <w:b/>
          <w:spacing w:val="-2"/>
          <w:sz w:val="14"/>
          <w:szCs w:val="14"/>
        </w:rPr>
        <w:t>Literatur/Aufsätze:</w:t>
      </w:r>
      <w:r w:rsidRPr="00132E98">
        <w:rPr>
          <w:rFonts w:ascii="Times New Roman" w:hAnsi="Times New Roman"/>
          <w:b/>
          <w:spacing w:val="-2"/>
          <w:sz w:val="14"/>
          <w:szCs w:val="14"/>
        </w:rPr>
        <w:tab/>
      </w:r>
      <w:r w:rsidRPr="00132E98">
        <w:rPr>
          <w:rFonts w:ascii="Times New Roman" w:hAnsi="Times New Roman"/>
          <w:b/>
          <w:spacing w:val="-2"/>
          <w:sz w:val="14"/>
          <w:szCs w:val="14"/>
        </w:rPr>
        <w:tab/>
      </w:r>
      <w:proofErr w:type="spellStart"/>
      <w:r w:rsidRPr="00132E98">
        <w:rPr>
          <w:rFonts w:ascii="Times New Roman" w:hAnsi="Times New Roman"/>
          <w:i/>
          <w:spacing w:val="-2"/>
          <w:sz w:val="14"/>
          <w:szCs w:val="14"/>
        </w:rPr>
        <w:t>Beckemper</w:t>
      </w:r>
      <w:proofErr w:type="spellEnd"/>
      <w:r w:rsidRPr="00132E98">
        <w:rPr>
          <w:rFonts w:ascii="Times New Roman" w:hAnsi="Times New Roman"/>
          <w:i/>
          <w:spacing w:val="-2"/>
          <w:sz w:val="14"/>
          <w:szCs w:val="14"/>
        </w:rPr>
        <w:t>/Wegner</w:t>
      </w:r>
      <w:r w:rsidRPr="00132E98">
        <w:rPr>
          <w:rFonts w:ascii="Times New Roman" w:hAnsi="Times New Roman"/>
          <w:spacing w:val="-2"/>
          <w:sz w:val="14"/>
          <w:szCs w:val="14"/>
        </w:rPr>
        <w:t xml:space="preserve">, Verwertbarkeit privat aufgenommener Tonbandaufnahmen im Strafprozess, JA 2003, 510; </w:t>
      </w:r>
      <w:proofErr w:type="spellStart"/>
      <w:r w:rsidRPr="00132E98">
        <w:rPr>
          <w:rFonts w:ascii="Times New Roman" w:hAnsi="Times New Roman"/>
          <w:i/>
          <w:spacing w:val="-2"/>
          <w:sz w:val="14"/>
          <w:szCs w:val="14"/>
        </w:rPr>
        <w:t>Bockemühl</w:t>
      </w:r>
      <w:proofErr w:type="spellEnd"/>
      <w:r w:rsidRPr="00132E98">
        <w:rPr>
          <w:rFonts w:ascii="Times New Roman" w:hAnsi="Times New Roman"/>
          <w:spacing w:val="-2"/>
          <w:sz w:val="14"/>
          <w:szCs w:val="14"/>
        </w:rPr>
        <w:t>, Zur Verwertbarkeit von präventiv-polizeilichen Erkenntnissen aus „Lauschangriffen“ im Strafverfahren, JA 1996, 695;</w:t>
      </w:r>
      <w:r w:rsidRPr="00132E98">
        <w:rPr>
          <w:rFonts w:ascii="Times New Roman" w:hAnsi="Times New Roman"/>
          <w:i/>
          <w:spacing w:val="-2"/>
          <w:sz w:val="14"/>
          <w:szCs w:val="14"/>
        </w:rPr>
        <w:t xml:space="preserve"> Freund</w:t>
      </w:r>
      <w:r w:rsidRPr="00132E98">
        <w:rPr>
          <w:rFonts w:ascii="Times New Roman" w:hAnsi="Times New Roman"/>
          <w:spacing w:val="-2"/>
          <w:sz w:val="14"/>
          <w:szCs w:val="14"/>
        </w:rPr>
        <w:t xml:space="preserve">, Zulässigkeit, Verwertbarkeit und Beweiswert eines heimlichen Stimmenvergleichs, </w:t>
      </w:r>
      <w:proofErr w:type="spellStart"/>
      <w:r w:rsidRPr="00132E98">
        <w:rPr>
          <w:rFonts w:ascii="Times New Roman" w:hAnsi="Times New Roman"/>
          <w:spacing w:val="-2"/>
          <w:sz w:val="14"/>
          <w:szCs w:val="14"/>
        </w:rPr>
        <w:t>JuS</w:t>
      </w:r>
      <w:proofErr w:type="spellEnd"/>
      <w:r w:rsidRPr="00132E98">
        <w:rPr>
          <w:rFonts w:ascii="Times New Roman" w:hAnsi="Times New Roman"/>
          <w:spacing w:val="-2"/>
          <w:sz w:val="14"/>
          <w:szCs w:val="14"/>
        </w:rPr>
        <w:t xml:space="preserve"> 1995, 394; </w:t>
      </w:r>
      <w:r w:rsidRPr="00132E98">
        <w:rPr>
          <w:rFonts w:ascii="Times New Roman" w:hAnsi="Times New Roman"/>
          <w:i/>
          <w:spacing w:val="-2"/>
          <w:sz w:val="14"/>
          <w:szCs w:val="14"/>
        </w:rPr>
        <w:t>Jahn</w:t>
      </w:r>
      <w:r w:rsidRPr="00132E98">
        <w:rPr>
          <w:rFonts w:ascii="Times New Roman" w:hAnsi="Times New Roman"/>
          <w:spacing w:val="-2"/>
          <w:sz w:val="14"/>
          <w:szCs w:val="14"/>
        </w:rPr>
        <w:t xml:space="preserve">, Unverwertbarkeit eines im Krankenzimmer abgehörten Selbstgesprächs des Angeklagten, </w:t>
      </w:r>
      <w:proofErr w:type="spellStart"/>
      <w:r w:rsidRPr="00132E98">
        <w:rPr>
          <w:rFonts w:ascii="Times New Roman" w:hAnsi="Times New Roman"/>
          <w:spacing w:val="-2"/>
          <w:sz w:val="14"/>
          <w:szCs w:val="14"/>
        </w:rPr>
        <w:t>JuS</w:t>
      </w:r>
      <w:proofErr w:type="spellEnd"/>
      <w:r w:rsidRPr="00132E98">
        <w:rPr>
          <w:rFonts w:ascii="Times New Roman" w:hAnsi="Times New Roman"/>
          <w:spacing w:val="-2"/>
          <w:sz w:val="14"/>
          <w:szCs w:val="14"/>
        </w:rPr>
        <w:t xml:space="preserve"> 2006, 91;</w:t>
      </w:r>
      <w:r w:rsidR="0070018A" w:rsidRPr="00132E98">
        <w:rPr>
          <w:rFonts w:ascii="Times New Roman" w:hAnsi="Times New Roman"/>
          <w:i/>
          <w:spacing w:val="-2"/>
          <w:sz w:val="14"/>
          <w:szCs w:val="14"/>
        </w:rPr>
        <w:t xml:space="preserve"> Haverkamp</w:t>
      </w:r>
      <w:r w:rsidR="0070018A" w:rsidRPr="00132E98">
        <w:rPr>
          <w:rFonts w:ascii="Times New Roman" w:hAnsi="Times New Roman"/>
          <w:spacing w:val="-2"/>
          <w:sz w:val="14"/>
          <w:szCs w:val="14"/>
        </w:rPr>
        <w:t>, Die akustische Wohnraumüberwachung – ein unzulässiger Eingriff in den unantastbaren Kernbereich privater Lebensgestaltung?, JURA 2010, 492;</w:t>
      </w:r>
      <w:r w:rsidRPr="00132E98">
        <w:rPr>
          <w:rFonts w:ascii="Times New Roman" w:hAnsi="Times New Roman"/>
          <w:spacing w:val="-2"/>
          <w:sz w:val="14"/>
          <w:szCs w:val="14"/>
        </w:rPr>
        <w:t xml:space="preserve"> </w:t>
      </w:r>
      <w:r w:rsidR="007F1102" w:rsidRPr="00132E98">
        <w:rPr>
          <w:rFonts w:ascii="Times New Roman" w:hAnsi="Times New Roman"/>
          <w:i/>
          <w:spacing w:val="-2"/>
          <w:sz w:val="14"/>
          <w:szCs w:val="14"/>
        </w:rPr>
        <w:t>Jahn/Geck</w:t>
      </w:r>
      <w:r w:rsidR="007F1102" w:rsidRPr="00132E98">
        <w:rPr>
          <w:rFonts w:ascii="Times New Roman" w:hAnsi="Times New Roman"/>
          <w:spacing w:val="-2"/>
          <w:sz w:val="14"/>
          <w:szCs w:val="14"/>
        </w:rPr>
        <w:t xml:space="preserve">, Tagebuchfall </w:t>
      </w:r>
      <w:proofErr w:type="spellStart"/>
      <w:r w:rsidR="007F1102" w:rsidRPr="00132E98">
        <w:rPr>
          <w:rFonts w:ascii="Times New Roman" w:hAnsi="Times New Roman"/>
          <w:spacing w:val="-2"/>
          <w:sz w:val="14"/>
          <w:szCs w:val="14"/>
        </w:rPr>
        <w:t>revisited</w:t>
      </w:r>
      <w:proofErr w:type="spellEnd"/>
      <w:r w:rsidR="007F1102" w:rsidRPr="00132E98">
        <w:rPr>
          <w:rFonts w:ascii="Times New Roman" w:hAnsi="Times New Roman"/>
          <w:spacing w:val="-2"/>
          <w:sz w:val="14"/>
          <w:szCs w:val="14"/>
        </w:rPr>
        <w:t xml:space="preserve"> – Der Bundesgerichtshof, die Gedankenfreiheit und ein Selbstgespräch im Auto, JZ 2012, 561; </w:t>
      </w:r>
      <w:r w:rsidRPr="00132E98">
        <w:rPr>
          <w:rFonts w:ascii="Times New Roman" w:hAnsi="Times New Roman"/>
          <w:i/>
          <w:spacing w:val="-2"/>
          <w:sz w:val="14"/>
          <w:szCs w:val="14"/>
        </w:rPr>
        <w:t>Kudlich</w:t>
      </w:r>
      <w:r w:rsidRPr="00132E98">
        <w:rPr>
          <w:rFonts w:ascii="Times New Roman" w:hAnsi="Times New Roman"/>
          <w:spacing w:val="-2"/>
          <w:sz w:val="14"/>
          <w:szCs w:val="14"/>
        </w:rPr>
        <w:t xml:space="preserve">, Grenzen der Aufklärungspflicht zum Schutz des Privat- und Intimlebens eines Zeugen, </w:t>
      </w:r>
      <w:proofErr w:type="spellStart"/>
      <w:r w:rsidRPr="00132E98">
        <w:rPr>
          <w:rFonts w:ascii="Times New Roman" w:hAnsi="Times New Roman"/>
          <w:spacing w:val="-2"/>
          <w:sz w:val="14"/>
          <w:szCs w:val="14"/>
        </w:rPr>
        <w:t>JuS</w:t>
      </w:r>
      <w:proofErr w:type="spellEnd"/>
      <w:r w:rsidRPr="00132E98">
        <w:rPr>
          <w:rFonts w:ascii="Times New Roman" w:hAnsi="Times New Roman"/>
          <w:spacing w:val="-2"/>
          <w:sz w:val="14"/>
          <w:szCs w:val="14"/>
        </w:rPr>
        <w:t xml:space="preserve"> 2005, 759;</w:t>
      </w:r>
      <w:r w:rsidR="0055431A" w:rsidRPr="00132E98">
        <w:rPr>
          <w:rFonts w:ascii="Times New Roman" w:hAnsi="Times New Roman"/>
          <w:spacing w:val="-2"/>
          <w:sz w:val="14"/>
          <w:szCs w:val="14"/>
        </w:rPr>
        <w:t xml:space="preserve"> </w:t>
      </w:r>
      <w:r w:rsidR="00EB75C9" w:rsidRPr="00132E98">
        <w:rPr>
          <w:rFonts w:ascii="Times New Roman" w:hAnsi="Times New Roman"/>
          <w:i/>
          <w:spacing w:val="-2"/>
          <w:sz w:val="14"/>
          <w:szCs w:val="14"/>
        </w:rPr>
        <w:t>Pschorr</w:t>
      </w:r>
      <w:r w:rsidR="00EB75C9" w:rsidRPr="00132E98">
        <w:rPr>
          <w:rFonts w:ascii="Times New Roman" w:hAnsi="Times New Roman"/>
          <w:spacing w:val="-2"/>
          <w:sz w:val="14"/>
          <w:szCs w:val="14"/>
        </w:rPr>
        <w:t xml:space="preserve">, Die Verwertbarkeit von in Wohnungen aufgezeichneten Bodycam-Aufnahmen im Strafverfahren, </w:t>
      </w:r>
      <w:proofErr w:type="spellStart"/>
      <w:r w:rsidR="00EB75C9" w:rsidRPr="00132E98">
        <w:rPr>
          <w:rFonts w:ascii="Times New Roman" w:hAnsi="Times New Roman"/>
          <w:spacing w:val="-2"/>
          <w:sz w:val="14"/>
          <w:szCs w:val="14"/>
        </w:rPr>
        <w:t>JuS</w:t>
      </w:r>
      <w:proofErr w:type="spellEnd"/>
      <w:r w:rsidR="00EB75C9" w:rsidRPr="00132E98">
        <w:rPr>
          <w:rFonts w:ascii="Times New Roman" w:hAnsi="Times New Roman"/>
          <w:spacing w:val="-2"/>
          <w:sz w:val="14"/>
          <w:szCs w:val="14"/>
        </w:rPr>
        <w:t xml:space="preserve"> 2022, 937; </w:t>
      </w:r>
      <w:r w:rsidRPr="00132E98">
        <w:rPr>
          <w:rFonts w:ascii="Times New Roman" w:hAnsi="Times New Roman"/>
          <w:i/>
          <w:spacing w:val="-2"/>
          <w:sz w:val="14"/>
          <w:szCs w:val="14"/>
        </w:rPr>
        <w:t>Schmidt</w:t>
      </w:r>
      <w:r w:rsidRPr="00132E98">
        <w:rPr>
          <w:rFonts w:ascii="Times New Roman" w:hAnsi="Times New Roman"/>
          <w:spacing w:val="-2"/>
          <w:sz w:val="14"/>
          <w:szCs w:val="14"/>
        </w:rPr>
        <w:t xml:space="preserve">, Die strafprozessuale Verwertbarkeit von Tagebuchaufzeichnungen, JURA 1993, 591; </w:t>
      </w:r>
      <w:proofErr w:type="spellStart"/>
      <w:r w:rsidR="0070018A" w:rsidRPr="00132E98">
        <w:rPr>
          <w:rFonts w:ascii="Times New Roman" w:hAnsi="Times New Roman"/>
          <w:i/>
          <w:spacing w:val="-2"/>
          <w:sz w:val="14"/>
          <w:szCs w:val="14"/>
        </w:rPr>
        <w:t>Singelnstein</w:t>
      </w:r>
      <w:proofErr w:type="spellEnd"/>
      <w:r w:rsidR="0070018A" w:rsidRPr="00132E98">
        <w:rPr>
          <w:rFonts w:ascii="Times New Roman" w:hAnsi="Times New Roman"/>
          <w:spacing w:val="-2"/>
          <w:sz w:val="14"/>
          <w:szCs w:val="14"/>
        </w:rPr>
        <w:t xml:space="preserve">, Bildaufnahmen, Orten, Abhören – Entwicklungen und Streitfragen beim Einsatz technischer Mittel zur Strafverfolgung, NStZ 2014, 305; </w:t>
      </w:r>
      <w:r w:rsidRPr="00132E98">
        <w:rPr>
          <w:rFonts w:ascii="Times New Roman" w:hAnsi="Times New Roman"/>
          <w:i/>
          <w:spacing w:val="-2"/>
          <w:sz w:val="14"/>
          <w:szCs w:val="14"/>
        </w:rPr>
        <w:t>Valerius</w:t>
      </w:r>
      <w:r w:rsidRPr="00132E98">
        <w:rPr>
          <w:rFonts w:ascii="Times New Roman" w:hAnsi="Times New Roman"/>
          <w:spacing w:val="-2"/>
          <w:sz w:val="14"/>
          <w:szCs w:val="14"/>
        </w:rPr>
        <w:t xml:space="preserve">, Grenzen des Großen Lauschangriffs, JA 2006, 15; </w:t>
      </w:r>
      <w:r w:rsidRPr="00132E98">
        <w:rPr>
          <w:rFonts w:ascii="Times New Roman" w:hAnsi="Times New Roman"/>
          <w:i/>
          <w:spacing w:val="-2"/>
          <w:sz w:val="14"/>
          <w:szCs w:val="14"/>
        </w:rPr>
        <w:t>Wölfl</w:t>
      </w:r>
      <w:r w:rsidRPr="00132E98">
        <w:rPr>
          <w:rFonts w:ascii="Times New Roman" w:hAnsi="Times New Roman"/>
          <w:spacing w:val="-2"/>
          <w:sz w:val="14"/>
          <w:szCs w:val="14"/>
        </w:rPr>
        <w:t>, Die strafprozessuale Bedeutung von Rechtsverstößen bei der Beweismittelbeschaffung durch Privatpersonen, JA 2001, 504</w:t>
      </w:r>
      <w:r w:rsidR="00191CE6" w:rsidRPr="00132E98">
        <w:rPr>
          <w:rFonts w:ascii="Times New Roman" w:hAnsi="Times New Roman"/>
          <w:spacing w:val="-2"/>
          <w:sz w:val="14"/>
          <w:szCs w:val="14"/>
        </w:rPr>
        <w:t>.</w:t>
      </w:r>
    </w:p>
    <w:p w14:paraId="4A9281D6" w14:textId="5B0A0B38" w:rsidR="00B7170C" w:rsidRPr="00132E98" w:rsidRDefault="00B7170C" w:rsidP="004C1362">
      <w:pPr>
        <w:widowControl/>
        <w:tabs>
          <w:tab w:val="left" w:pos="-720"/>
          <w:tab w:val="left" w:pos="288"/>
          <w:tab w:val="left" w:pos="567"/>
          <w:tab w:val="left" w:pos="864"/>
          <w:tab w:val="left" w:pos="1116"/>
          <w:tab w:val="left" w:pos="1276"/>
          <w:tab w:val="left" w:pos="1404"/>
          <w:tab w:val="left" w:pos="1692"/>
          <w:tab w:val="left" w:pos="2268"/>
          <w:tab w:val="left" w:pos="2880"/>
        </w:tabs>
        <w:spacing w:line="130" w:lineRule="exact"/>
        <w:ind w:left="1400" w:hanging="1400"/>
        <w:jc w:val="both"/>
        <w:rPr>
          <w:rFonts w:ascii="Times New Roman" w:hAnsi="Times New Roman"/>
          <w:sz w:val="14"/>
          <w:szCs w:val="14"/>
        </w:rPr>
      </w:pPr>
      <w:r w:rsidRPr="00132E98">
        <w:rPr>
          <w:rFonts w:ascii="Times New Roman" w:hAnsi="Times New Roman"/>
          <w:b/>
          <w:spacing w:val="-2"/>
          <w:sz w:val="14"/>
          <w:szCs w:val="14"/>
        </w:rPr>
        <w:t xml:space="preserve">Rechtsprechung: </w:t>
      </w:r>
      <w:r w:rsidRPr="00132E98">
        <w:rPr>
          <w:rFonts w:ascii="Times New Roman" w:hAnsi="Times New Roman"/>
          <w:b/>
          <w:spacing w:val="-2"/>
          <w:sz w:val="14"/>
          <w:szCs w:val="14"/>
        </w:rPr>
        <w:tab/>
      </w:r>
      <w:r w:rsidRPr="00132E98">
        <w:rPr>
          <w:rFonts w:ascii="Times New Roman" w:hAnsi="Times New Roman"/>
          <w:b/>
          <w:spacing w:val="-2"/>
          <w:sz w:val="14"/>
          <w:szCs w:val="14"/>
        </w:rPr>
        <w:tab/>
      </w:r>
      <w:r w:rsidRPr="00132E98">
        <w:rPr>
          <w:rFonts w:ascii="Times New Roman" w:hAnsi="Times New Roman"/>
          <w:b/>
          <w:spacing w:val="-2"/>
          <w:sz w:val="14"/>
          <w:szCs w:val="14"/>
        </w:rPr>
        <w:tab/>
      </w:r>
      <w:r w:rsidR="005126D7" w:rsidRPr="00132E98">
        <w:rPr>
          <w:rFonts w:ascii="Times New Roman" w:hAnsi="Times New Roman"/>
          <w:b/>
          <w:spacing w:val="-2"/>
          <w:sz w:val="14"/>
          <w:szCs w:val="14"/>
        </w:rPr>
        <w:t xml:space="preserve">BVerfGE 80, 367 </w:t>
      </w:r>
      <w:r w:rsidR="005126D7" w:rsidRPr="00132E98">
        <w:rPr>
          <w:rFonts w:ascii="Times New Roman" w:hAnsi="Times New Roman"/>
          <w:spacing w:val="-2"/>
          <w:sz w:val="14"/>
          <w:szCs w:val="14"/>
        </w:rPr>
        <w:t xml:space="preserve">– Tagebuch (Verwertbarkeit von Tagebuchaufzeichnungen); </w:t>
      </w:r>
      <w:r w:rsidR="00404F5C" w:rsidRPr="00132E98">
        <w:rPr>
          <w:rFonts w:ascii="Times New Roman" w:hAnsi="Times New Roman"/>
          <w:b/>
          <w:spacing w:val="-2"/>
          <w:sz w:val="14"/>
          <w:szCs w:val="14"/>
        </w:rPr>
        <w:t>BVerfG NJW 2011, 2783</w:t>
      </w:r>
      <w:r w:rsidR="00404F5C" w:rsidRPr="00132E98">
        <w:rPr>
          <w:rFonts w:ascii="Times New Roman" w:hAnsi="Times New Roman"/>
          <w:spacing w:val="-2"/>
          <w:sz w:val="14"/>
          <w:szCs w:val="14"/>
        </w:rPr>
        <w:t xml:space="preserve"> – Videoüberwachung (</w:t>
      </w:r>
      <w:r w:rsidR="005126D7" w:rsidRPr="00132E98">
        <w:rPr>
          <w:rFonts w:ascii="Times New Roman" w:hAnsi="Times New Roman"/>
          <w:spacing w:val="-2"/>
          <w:sz w:val="14"/>
          <w:szCs w:val="14"/>
        </w:rPr>
        <w:t>a</w:t>
      </w:r>
      <w:r w:rsidR="00404F5C" w:rsidRPr="00132E98">
        <w:rPr>
          <w:rFonts w:ascii="Times New Roman" w:hAnsi="Times New Roman"/>
          <w:spacing w:val="-2"/>
          <w:sz w:val="14"/>
          <w:szCs w:val="14"/>
        </w:rPr>
        <w:t>us einem Beweiserhebungsverbot folgt nicht stets ein Beweisverwertungsverbot);</w:t>
      </w:r>
      <w:r w:rsidR="00404F5C" w:rsidRPr="00132E98">
        <w:rPr>
          <w:rFonts w:ascii="Times New Roman" w:hAnsi="Times New Roman"/>
          <w:b/>
          <w:spacing w:val="-2"/>
          <w:sz w:val="14"/>
          <w:szCs w:val="14"/>
        </w:rPr>
        <w:t xml:space="preserve"> </w:t>
      </w:r>
      <w:r w:rsidRPr="00132E98">
        <w:rPr>
          <w:rFonts w:ascii="Times New Roman" w:hAnsi="Times New Roman"/>
          <w:b/>
          <w:spacing w:val="-2"/>
          <w:sz w:val="14"/>
          <w:szCs w:val="14"/>
        </w:rPr>
        <w:t xml:space="preserve">BGHSt 31, 304 </w:t>
      </w:r>
      <w:r w:rsidRPr="00132E98">
        <w:rPr>
          <w:rFonts w:ascii="Times New Roman" w:hAnsi="Times New Roman"/>
          <w:spacing w:val="-2"/>
          <w:sz w:val="14"/>
          <w:szCs w:val="14"/>
        </w:rPr>
        <w:t xml:space="preserve">– Telefonüberwachung (Verwertungsverbot bei Fehlen der richterlichen Anordnung); </w:t>
      </w:r>
      <w:r w:rsidRPr="00132E98">
        <w:rPr>
          <w:rFonts w:ascii="Times New Roman" w:hAnsi="Times New Roman"/>
          <w:b/>
          <w:spacing w:val="-2"/>
          <w:sz w:val="14"/>
          <w:szCs w:val="14"/>
        </w:rPr>
        <w:t xml:space="preserve">BGHSt 34, 397 – </w:t>
      </w:r>
      <w:r w:rsidRPr="00132E98">
        <w:rPr>
          <w:rFonts w:ascii="Times New Roman" w:hAnsi="Times New Roman"/>
          <w:spacing w:val="-2"/>
          <w:sz w:val="14"/>
          <w:szCs w:val="14"/>
        </w:rPr>
        <w:t xml:space="preserve">Verwertbarkeit der Tagebuchaufzeichnungen; </w:t>
      </w:r>
      <w:r w:rsidRPr="00132E98">
        <w:rPr>
          <w:rFonts w:ascii="Times New Roman" w:hAnsi="Times New Roman"/>
          <w:b/>
          <w:spacing w:val="-2"/>
          <w:sz w:val="14"/>
          <w:szCs w:val="14"/>
        </w:rPr>
        <w:t>BGHSt 40, 66</w:t>
      </w:r>
      <w:r w:rsidRPr="00132E98">
        <w:rPr>
          <w:rFonts w:ascii="Times New Roman" w:hAnsi="Times New Roman"/>
          <w:spacing w:val="-2"/>
          <w:sz w:val="14"/>
          <w:szCs w:val="14"/>
        </w:rPr>
        <w:t xml:space="preserve"> – </w:t>
      </w:r>
      <w:r w:rsidR="005816E3" w:rsidRPr="00132E98">
        <w:rPr>
          <w:rFonts w:ascii="Times New Roman" w:hAnsi="Times New Roman"/>
          <w:spacing w:val="-2"/>
          <w:sz w:val="14"/>
          <w:szCs w:val="14"/>
        </w:rPr>
        <w:t>heimliche</w:t>
      </w:r>
      <w:r w:rsidR="005816E3">
        <w:rPr>
          <w:rFonts w:ascii="Times New Roman" w:hAnsi="Times New Roman"/>
          <w:spacing w:val="-2"/>
          <w:sz w:val="14"/>
          <w:szCs w:val="14"/>
        </w:rPr>
        <w:t>r</w:t>
      </w:r>
      <w:r w:rsidR="005816E3" w:rsidRPr="00132E98">
        <w:rPr>
          <w:rFonts w:ascii="Times New Roman" w:hAnsi="Times New Roman"/>
          <w:spacing w:val="-2"/>
          <w:sz w:val="14"/>
          <w:szCs w:val="14"/>
        </w:rPr>
        <w:t xml:space="preserve"> Stimmenvergleich </w:t>
      </w:r>
      <w:r w:rsidR="005816E3">
        <w:rPr>
          <w:rFonts w:ascii="Times New Roman" w:hAnsi="Times New Roman"/>
          <w:spacing w:val="-2"/>
          <w:sz w:val="14"/>
          <w:szCs w:val="14"/>
        </w:rPr>
        <w:t>(</w:t>
      </w:r>
      <w:r w:rsidRPr="00132E98">
        <w:rPr>
          <w:rFonts w:ascii="Times New Roman" w:hAnsi="Times New Roman"/>
          <w:spacing w:val="-2"/>
          <w:sz w:val="14"/>
          <w:szCs w:val="14"/>
        </w:rPr>
        <w:t>Zulässigkeit, Verwertbarkeit und Beweiswert</w:t>
      </w:r>
      <w:r w:rsidR="005816E3">
        <w:rPr>
          <w:rFonts w:ascii="Times New Roman" w:hAnsi="Times New Roman"/>
          <w:spacing w:val="-2"/>
          <w:sz w:val="14"/>
          <w:szCs w:val="14"/>
        </w:rPr>
        <w:t>)</w:t>
      </w:r>
      <w:r w:rsidRPr="00132E98">
        <w:rPr>
          <w:rFonts w:ascii="Times New Roman" w:hAnsi="Times New Roman"/>
          <w:spacing w:val="-2"/>
          <w:sz w:val="14"/>
          <w:szCs w:val="14"/>
        </w:rPr>
        <w:t xml:space="preserve">; </w:t>
      </w:r>
      <w:r w:rsidRPr="00132E98">
        <w:rPr>
          <w:rFonts w:ascii="Times New Roman" w:hAnsi="Times New Roman"/>
          <w:b/>
          <w:spacing w:val="-2"/>
          <w:sz w:val="14"/>
          <w:szCs w:val="14"/>
        </w:rPr>
        <w:t>BGHSt 48, 240</w:t>
      </w:r>
      <w:r w:rsidRPr="00132E98">
        <w:rPr>
          <w:rFonts w:ascii="Times New Roman" w:hAnsi="Times New Roman"/>
          <w:spacing w:val="-2"/>
          <w:sz w:val="14"/>
          <w:szCs w:val="14"/>
        </w:rPr>
        <w:t xml:space="preserve"> – Katalogtat (Hypothetischer Ersatzeingriff); </w:t>
      </w:r>
      <w:r w:rsidR="007F1102" w:rsidRPr="00132E98">
        <w:rPr>
          <w:rFonts w:ascii="Times New Roman" w:hAnsi="Times New Roman"/>
          <w:b/>
          <w:spacing w:val="-2"/>
          <w:sz w:val="14"/>
          <w:szCs w:val="14"/>
        </w:rPr>
        <w:t>BGHSt 50, 206</w:t>
      </w:r>
      <w:r w:rsidR="007F1102" w:rsidRPr="00132E98">
        <w:rPr>
          <w:rFonts w:ascii="Times New Roman" w:hAnsi="Times New Roman"/>
          <w:spacing w:val="-2"/>
          <w:sz w:val="14"/>
          <w:szCs w:val="14"/>
        </w:rPr>
        <w:t xml:space="preserve"> – </w:t>
      </w:r>
      <w:r w:rsidR="00C36CF9" w:rsidRPr="00132E98">
        <w:rPr>
          <w:rFonts w:ascii="Times New Roman" w:hAnsi="Times New Roman"/>
          <w:spacing w:val="-2"/>
          <w:sz w:val="14"/>
          <w:szCs w:val="14"/>
        </w:rPr>
        <w:t>Selbstgespräch (Abhörmaßnahme im Wohnraum)</w:t>
      </w:r>
      <w:r w:rsidR="008A1B43" w:rsidRPr="00132E98">
        <w:rPr>
          <w:rFonts w:ascii="Times New Roman" w:hAnsi="Times New Roman"/>
          <w:spacing w:val="-2"/>
          <w:sz w:val="14"/>
          <w:szCs w:val="14"/>
        </w:rPr>
        <w:t xml:space="preserve">, vgl. </w:t>
      </w:r>
      <w:r w:rsidR="008A1B43" w:rsidRPr="00132E98">
        <w:rPr>
          <w:rFonts w:ascii="Times New Roman" w:hAnsi="Times New Roman"/>
          <w:i/>
          <w:iCs/>
          <w:spacing w:val="-2"/>
          <w:sz w:val="14"/>
          <w:szCs w:val="14"/>
        </w:rPr>
        <w:t>Marxen/Kress</w:t>
      </w:r>
      <w:r w:rsidR="008A1B43" w:rsidRPr="00132E98">
        <w:rPr>
          <w:rFonts w:ascii="Times New Roman" w:hAnsi="Times New Roman"/>
          <w:spacing w:val="-2"/>
          <w:sz w:val="14"/>
          <w:szCs w:val="14"/>
        </w:rPr>
        <w:t>, famos 10/2005</w:t>
      </w:r>
      <w:r w:rsidR="007F1102" w:rsidRPr="00132E98">
        <w:rPr>
          <w:rFonts w:ascii="Times New Roman" w:hAnsi="Times New Roman"/>
          <w:spacing w:val="-2"/>
          <w:sz w:val="14"/>
          <w:szCs w:val="14"/>
        </w:rPr>
        <w:t xml:space="preserve">; </w:t>
      </w:r>
      <w:r w:rsidRPr="00132E98">
        <w:rPr>
          <w:rFonts w:ascii="Times New Roman" w:hAnsi="Times New Roman"/>
          <w:b/>
          <w:spacing w:val="-2"/>
          <w:sz w:val="14"/>
          <w:szCs w:val="14"/>
        </w:rPr>
        <w:t xml:space="preserve">BGHSt 51, 1 – </w:t>
      </w:r>
      <w:r w:rsidRPr="00132E98">
        <w:rPr>
          <w:rFonts w:ascii="Times New Roman" w:hAnsi="Times New Roman"/>
          <w:spacing w:val="-2"/>
          <w:sz w:val="14"/>
          <w:szCs w:val="14"/>
        </w:rPr>
        <w:t xml:space="preserve">Abhörkette (Verwertbarkeit der Überwachungsmaßnahme, Verteidigerwiderspruch); </w:t>
      </w:r>
      <w:r w:rsidRPr="00132E98">
        <w:rPr>
          <w:rFonts w:ascii="Times New Roman" w:hAnsi="Times New Roman"/>
          <w:b/>
          <w:spacing w:val="-2"/>
          <w:sz w:val="14"/>
          <w:szCs w:val="14"/>
        </w:rPr>
        <w:t>BGHSt 53, 294</w:t>
      </w:r>
      <w:r w:rsidRPr="00132E98">
        <w:rPr>
          <w:rFonts w:ascii="Times New Roman" w:hAnsi="Times New Roman"/>
          <w:spacing w:val="-2"/>
          <w:sz w:val="14"/>
          <w:szCs w:val="14"/>
        </w:rPr>
        <w:t xml:space="preserve"> – </w:t>
      </w:r>
      <w:r w:rsidR="00C36CF9" w:rsidRPr="00132E98">
        <w:rPr>
          <w:rFonts w:ascii="Times New Roman" w:hAnsi="Times New Roman"/>
          <w:spacing w:val="-2"/>
          <w:sz w:val="14"/>
          <w:szCs w:val="14"/>
        </w:rPr>
        <w:t>Ehegattengespräch (Verstoß gegen das fair-trial-Prinzip bei Abhören von Ehegattengespräch in der U-Haft)</w:t>
      </w:r>
      <w:r w:rsidR="008A1B43" w:rsidRPr="00132E98">
        <w:rPr>
          <w:rFonts w:ascii="Times New Roman" w:hAnsi="Times New Roman"/>
          <w:spacing w:val="-2"/>
          <w:sz w:val="14"/>
          <w:szCs w:val="14"/>
        </w:rPr>
        <w:t xml:space="preserve">, vgl. </w:t>
      </w:r>
      <w:r w:rsidR="008A1B43" w:rsidRPr="00132E98">
        <w:rPr>
          <w:rFonts w:ascii="Times New Roman" w:hAnsi="Times New Roman"/>
          <w:i/>
          <w:iCs/>
          <w:spacing w:val="-2"/>
          <w:sz w:val="14"/>
          <w:szCs w:val="14"/>
        </w:rPr>
        <w:t>Marxen/Rösing</w:t>
      </w:r>
      <w:r w:rsidR="008A1B43" w:rsidRPr="00132E98">
        <w:rPr>
          <w:rFonts w:ascii="Times New Roman" w:hAnsi="Times New Roman"/>
          <w:spacing w:val="-2"/>
          <w:sz w:val="14"/>
          <w:szCs w:val="14"/>
        </w:rPr>
        <w:t>, famos 9/2009</w:t>
      </w:r>
      <w:r w:rsidRPr="00132E98">
        <w:rPr>
          <w:rFonts w:ascii="Times New Roman" w:hAnsi="Times New Roman"/>
          <w:spacing w:val="-2"/>
          <w:sz w:val="14"/>
          <w:szCs w:val="14"/>
        </w:rPr>
        <w:t xml:space="preserve">; </w:t>
      </w:r>
      <w:r w:rsidR="000E04B4" w:rsidRPr="00132E98">
        <w:rPr>
          <w:rFonts w:ascii="Times New Roman" w:hAnsi="Times New Roman"/>
          <w:b/>
          <w:spacing w:val="-2"/>
          <w:sz w:val="14"/>
          <w:szCs w:val="14"/>
        </w:rPr>
        <w:t>BGHSt 57, 71</w:t>
      </w:r>
      <w:r w:rsidR="000E04B4" w:rsidRPr="00132E98">
        <w:rPr>
          <w:rFonts w:ascii="Times New Roman" w:hAnsi="Times New Roman"/>
          <w:spacing w:val="-2"/>
          <w:sz w:val="14"/>
          <w:szCs w:val="14"/>
        </w:rPr>
        <w:t xml:space="preserve"> – Selbstgespräch im </w:t>
      </w:r>
      <w:r w:rsidR="00A10D3E" w:rsidRPr="00132E98">
        <w:rPr>
          <w:rFonts w:ascii="Times New Roman" w:hAnsi="Times New Roman"/>
          <w:spacing w:val="-2"/>
          <w:sz w:val="14"/>
          <w:szCs w:val="14"/>
        </w:rPr>
        <w:t xml:space="preserve">KFZ (Beweisverwertungsverbot </w:t>
      </w:r>
      <w:proofErr w:type="spellStart"/>
      <w:r w:rsidR="00A10D3E" w:rsidRPr="00132E98">
        <w:rPr>
          <w:rFonts w:ascii="Times New Roman" w:hAnsi="Times New Roman"/>
          <w:spacing w:val="-2"/>
          <w:sz w:val="14"/>
          <w:szCs w:val="14"/>
        </w:rPr>
        <w:t>iVm</w:t>
      </w:r>
      <w:proofErr w:type="spellEnd"/>
      <w:r w:rsidR="000E04B4" w:rsidRPr="00132E98">
        <w:rPr>
          <w:rFonts w:ascii="Times New Roman" w:hAnsi="Times New Roman"/>
          <w:spacing w:val="-2"/>
          <w:sz w:val="14"/>
          <w:szCs w:val="14"/>
        </w:rPr>
        <w:t xml:space="preserve"> Persönlichkeitsrecht)</w:t>
      </w:r>
      <w:r w:rsidR="008A1B43" w:rsidRPr="00132E98">
        <w:rPr>
          <w:rFonts w:ascii="Times New Roman" w:hAnsi="Times New Roman"/>
          <w:spacing w:val="-2"/>
          <w:sz w:val="14"/>
          <w:szCs w:val="14"/>
        </w:rPr>
        <w:t xml:space="preserve">, vgl. </w:t>
      </w:r>
      <w:r w:rsidR="008A1B43" w:rsidRPr="00132E98">
        <w:rPr>
          <w:rFonts w:ascii="Times New Roman" w:hAnsi="Times New Roman"/>
          <w:i/>
          <w:iCs/>
          <w:spacing w:val="-2"/>
          <w:sz w:val="14"/>
          <w:szCs w:val="14"/>
        </w:rPr>
        <w:t>Häußer/Martin</w:t>
      </w:r>
      <w:r w:rsidR="008A1B43" w:rsidRPr="00132E98">
        <w:rPr>
          <w:rFonts w:ascii="Times New Roman" w:hAnsi="Times New Roman"/>
          <w:spacing w:val="-2"/>
          <w:sz w:val="14"/>
          <w:szCs w:val="14"/>
        </w:rPr>
        <w:t>, famos 5/2012</w:t>
      </w:r>
      <w:r w:rsidR="000E04B4" w:rsidRPr="00132E98">
        <w:rPr>
          <w:rFonts w:ascii="Times New Roman" w:hAnsi="Times New Roman"/>
          <w:spacing w:val="-2"/>
          <w:sz w:val="14"/>
          <w:szCs w:val="14"/>
        </w:rPr>
        <w:t xml:space="preserve">; </w:t>
      </w:r>
      <w:r w:rsidRPr="00132E98">
        <w:rPr>
          <w:rFonts w:ascii="Times New Roman" w:hAnsi="Times New Roman"/>
          <w:b/>
          <w:spacing w:val="-2"/>
          <w:sz w:val="14"/>
          <w:szCs w:val="14"/>
        </w:rPr>
        <w:t>BGH NJW 2005, 1519</w:t>
      </w:r>
      <w:r w:rsidRPr="00132E98">
        <w:rPr>
          <w:rFonts w:ascii="Times New Roman" w:hAnsi="Times New Roman"/>
          <w:spacing w:val="-2"/>
          <w:sz w:val="14"/>
          <w:szCs w:val="14"/>
        </w:rPr>
        <w:t xml:space="preserve"> – Prostituierte (Grenzen der Wahrheitsermittlung auf Grund der Achtung der menschlichen Würde eines Zeugen bei Beweiserhebungen zu dessen Privat- und Intimleben)</w:t>
      </w:r>
      <w:r w:rsidR="00917B43" w:rsidRPr="00132E98">
        <w:rPr>
          <w:rFonts w:ascii="Times New Roman" w:hAnsi="Times New Roman"/>
          <w:spacing w:val="-2"/>
          <w:sz w:val="14"/>
          <w:szCs w:val="14"/>
        </w:rPr>
        <w:t xml:space="preserve">; </w:t>
      </w:r>
      <w:r w:rsidR="00917B43" w:rsidRPr="00132E98">
        <w:rPr>
          <w:rFonts w:ascii="Times New Roman" w:hAnsi="Times New Roman"/>
          <w:b/>
          <w:spacing w:val="-2"/>
          <w:sz w:val="14"/>
          <w:szCs w:val="14"/>
        </w:rPr>
        <w:t>BGH NStZ-RR 2016, 346</w:t>
      </w:r>
      <w:r w:rsidR="00917B43" w:rsidRPr="00132E98">
        <w:rPr>
          <w:rFonts w:ascii="Times New Roman" w:hAnsi="Times New Roman"/>
          <w:spacing w:val="-2"/>
          <w:sz w:val="14"/>
          <w:szCs w:val="14"/>
        </w:rPr>
        <w:t xml:space="preserve"> – Telekommunikationsüberwachungsmaßnahmen (Anforderungen an den Tatverdacht)</w:t>
      </w:r>
      <w:r w:rsidR="0055431A" w:rsidRPr="00132E98">
        <w:rPr>
          <w:rFonts w:ascii="Times New Roman" w:hAnsi="Times New Roman"/>
          <w:spacing w:val="-2"/>
          <w:sz w:val="14"/>
          <w:szCs w:val="14"/>
        </w:rPr>
        <w:t xml:space="preserve">; </w:t>
      </w:r>
      <w:r w:rsidR="0055431A" w:rsidRPr="00132E98">
        <w:rPr>
          <w:rFonts w:ascii="Times New Roman" w:hAnsi="Times New Roman"/>
          <w:b/>
          <w:spacing w:val="-2"/>
          <w:sz w:val="14"/>
          <w:szCs w:val="14"/>
        </w:rPr>
        <w:t>BGH NStZ-RR 2019, 186</w:t>
      </w:r>
      <w:r w:rsidR="0055431A" w:rsidRPr="00132E98">
        <w:rPr>
          <w:rFonts w:ascii="Times New Roman" w:hAnsi="Times New Roman"/>
          <w:spacing w:val="-2"/>
          <w:sz w:val="14"/>
          <w:szCs w:val="14"/>
        </w:rPr>
        <w:t xml:space="preserve"> – Verwertbarkeit heimlich aufgezeichneter Gespräche (kein Beweisverwertungsverbot bei Gespräch über konkret begangene Straftaten).</w:t>
      </w:r>
    </w:p>
    <w:sectPr w:rsidR="00B7170C" w:rsidRPr="00132E98" w:rsidSect="00B7170C">
      <w:pgSz w:w="11906" w:h="16838"/>
      <w:pgMar w:top="567" w:right="567" w:bottom="142"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C2BC1" w14:textId="77777777" w:rsidR="001E580F" w:rsidRDefault="001E580F">
      <w:r>
        <w:separator/>
      </w:r>
    </w:p>
  </w:endnote>
  <w:endnote w:type="continuationSeparator" w:id="0">
    <w:p w14:paraId="3EEE50B2" w14:textId="77777777" w:rsidR="001E580F" w:rsidRDefault="001E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5ABE" w14:textId="77777777" w:rsidR="001E580F" w:rsidRDefault="001E580F">
      <w:r>
        <w:separator/>
      </w:r>
    </w:p>
  </w:footnote>
  <w:footnote w:type="continuationSeparator" w:id="0">
    <w:p w14:paraId="74260162" w14:textId="77777777" w:rsidR="001E580F" w:rsidRDefault="001E5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BE2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610440D4"/>
    <w:lvl w:ilvl="0" w:tplc="5972D3FA">
      <w:numFmt w:val="none"/>
      <w:lvlText w:val=""/>
      <w:lvlJc w:val="left"/>
      <w:pPr>
        <w:tabs>
          <w:tab w:val="num" w:pos="360"/>
        </w:tabs>
      </w:pPr>
    </w:lvl>
    <w:lvl w:ilvl="1" w:tplc="D1D4703C">
      <w:numFmt w:val="decimal"/>
      <w:lvlText w:val=""/>
      <w:lvlJc w:val="left"/>
    </w:lvl>
    <w:lvl w:ilvl="2" w:tplc="168E9526">
      <w:numFmt w:val="decimal"/>
      <w:lvlText w:val=""/>
      <w:lvlJc w:val="left"/>
    </w:lvl>
    <w:lvl w:ilvl="3" w:tplc="3D9042C8">
      <w:numFmt w:val="decimal"/>
      <w:lvlText w:val=""/>
      <w:lvlJc w:val="left"/>
    </w:lvl>
    <w:lvl w:ilvl="4" w:tplc="4510F6EA">
      <w:numFmt w:val="decimal"/>
      <w:lvlText w:val=""/>
      <w:lvlJc w:val="left"/>
    </w:lvl>
    <w:lvl w:ilvl="5" w:tplc="FEA463C4">
      <w:numFmt w:val="decimal"/>
      <w:lvlText w:val=""/>
      <w:lvlJc w:val="left"/>
    </w:lvl>
    <w:lvl w:ilvl="6" w:tplc="DE04F328">
      <w:numFmt w:val="decimal"/>
      <w:lvlText w:val=""/>
      <w:lvlJc w:val="left"/>
    </w:lvl>
    <w:lvl w:ilvl="7" w:tplc="09BCCB06">
      <w:numFmt w:val="decimal"/>
      <w:lvlText w:val=""/>
      <w:lvlJc w:val="left"/>
    </w:lvl>
    <w:lvl w:ilvl="8" w:tplc="5C628518">
      <w:numFmt w:val="decimal"/>
      <w:lvlText w:val=""/>
      <w:lvlJc w:val="left"/>
    </w:lvl>
  </w:abstractNum>
  <w:abstractNum w:abstractNumId="2" w15:restartNumberingAfterBreak="0">
    <w:nsid w:val="0705743D"/>
    <w:multiLevelType w:val="hybridMultilevel"/>
    <w:tmpl w:val="2D383DE6"/>
    <w:lvl w:ilvl="0" w:tplc="65560AF2">
      <w:start w:val="1"/>
      <w:numFmt w:val="decimal"/>
      <w:lvlText w:val="%1."/>
      <w:lvlJc w:val="left"/>
      <w:pPr>
        <w:ind w:left="644" w:hanging="360"/>
      </w:pPr>
      <w:rPr>
        <w:rFonts w:cs="Arial Narrow" w:hint="default"/>
        <w:u w:val="single"/>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214B7019"/>
    <w:multiLevelType w:val="hybridMultilevel"/>
    <w:tmpl w:val="50AADEBE"/>
    <w:lvl w:ilvl="0" w:tplc="E2D29ABE">
      <w:start w:val="1"/>
      <w:numFmt w:val="decimal"/>
      <w:lvlText w:val="%1."/>
      <w:lvlJc w:val="left"/>
      <w:pPr>
        <w:tabs>
          <w:tab w:val="num" w:pos="921"/>
        </w:tabs>
        <w:ind w:left="921" w:hanging="360"/>
      </w:pPr>
      <w:rPr>
        <w:rFonts w:hint="default"/>
        <w:u w:val="single"/>
      </w:rPr>
    </w:lvl>
    <w:lvl w:ilvl="1" w:tplc="00190407">
      <w:start w:val="1"/>
      <w:numFmt w:val="lowerLetter"/>
      <w:lvlText w:val="%2."/>
      <w:lvlJc w:val="left"/>
      <w:pPr>
        <w:tabs>
          <w:tab w:val="num" w:pos="1641"/>
        </w:tabs>
        <w:ind w:left="1641" w:hanging="360"/>
      </w:pPr>
    </w:lvl>
    <w:lvl w:ilvl="2" w:tplc="001B0407" w:tentative="1">
      <w:start w:val="1"/>
      <w:numFmt w:val="lowerRoman"/>
      <w:lvlText w:val="%3."/>
      <w:lvlJc w:val="right"/>
      <w:pPr>
        <w:tabs>
          <w:tab w:val="num" w:pos="2361"/>
        </w:tabs>
        <w:ind w:left="2361" w:hanging="180"/>
      </w:pPr>
    </w:lvl>
    <w:lvl w:ilvl="3" w:tplc="000F0407" w:tentative="1">
      <w:start w:val="1"/>
      <w:numFmt w:val="decimal"/>
      <w:lvlText w:val="%4."/>
      <w:lvlJc w:val="left"/>
      <w:pPr>
        <w:tabs>
          <w:tab w:val="num" w:pos="3081"/>
        </w:tabs>
        <w:ind w:left="3081" w:hanging="360"/>
      </w:pPr>
    </w:lvl>
    <w:lvl w:ilvl="4" w:tplc="00190407" w:tentative="1">
      <w:start w:val="1"/>
      <w:numFmt w:val="lowerLetter"/>
      <w:lvlText w:val="%5."/>
      <w:lvlJc w:val="left"/>
      <w:pPr>
        <w:tabs>
          <w:tab w:val="num" w:pos="3801"/>
        </w:tabs>
        <w:ind w:left="3801" w:hanging="360"/>
      </w:pPr>
    </w:lvl>
    <w:lvl w:ilvl="5" w:tplc="001B0407" w:tentative="1">
      <w:start w:val="1"/>
      <w:numFmt w:val="lowerRoman"/>
      <w:lvlText w:val="%6."/>
      <w:lvlJc w:val="right"/>
      <w:pPr>
        <w:tabs>
          <w:tab w:val="num" w:pos="4521"/>
        </w:tabs>
        <w:ind w:left="4521" w:hanging="180"/>
      </w:pPr>
    </w:lvl>
    <w:lvl w:ilvl="6" w:tplc="000F0407" w:tentative="1">
      <w:start w:val="1"/>
      <w:numFmt w:val="decimal"/>
      <w:lvlText w:val="%7."/>
      <w:lvlJc w:val="left"/>
      <w:pPr>
        <w:tabs>
          <w:tab w:val="num" w:pos="5241"/>
        </w:tabs>
        <w:ind w:left="5241" w:hanging="360"/>
      </w:pPr>
    </w:lvl>
    <w:lvl w:ilvl="7" w:tplc="00190407" w:tentative="1">
      <w:start w:val="1"/>
      <w:numFmt w:val="lowerLetter"/>
      <w:lvlText w:val="%8."/>
      <w:lvlJc w:val="left"/>
      <w:pPr>
        <w:tabs>
          <w:tab w:val="num" w:pos="5961"/>
        </w:tabs>
        <w:ind w:left="5961" w:hanging="360"/>
      </w:pPr>
    </w:lvl>
    <w:lvl w:ilvl="8" w:tplc="001B0407" w:tentative="1">
      <w:start w:val="1"/>
      <w:numFmt w:val="lowerRoman"/>
      <w:lvlText w:val="%9."/>
      <w:lvlJc w:val="right"/>
      <w:pPr>
        <w:tabs>
          <w:tab w:val="num" w:pos="6681"/>
        </w:tabs>
        <w:ind w:left="6681" w:hanging="180"/>
      </w:pPr>
    </w:lvl>
  </w:abstractNum>
  <w:abstractNum w:abstractNumId="4"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5" w15:restartNumberingAfterBreak="0">
    <w:nsid w:val="35A654A9"/>
    <w:multiLevelType w:val="hybridMultilevel"/>
    <w:tmpl w:val="B53C658A"/>
    <w:lvl w:ilvl="0" w:tplc="BCEC2DC2">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9"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0"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11" w15:restartNumberingAfterBreak="0">
    <w:nsid w:val="756D32B1"/>
    <w:multiLevelType w:val="hybridMultilevel"/>
    <w:tmpl w:val="8674B266"/>
    <w:lvl w:ilvl="0" w:tplc="C3866A1A">
      <w:start w:val="1"/>
      <w:numFmt w:val="decimal"/>
      <w:lvlText w:val="%1."/>
      <w:lvlJc w:val="left"/>
      <w:pPr>
        <w:tabs>
          <w:tab w:val="num" w:pos="927"/>
        </w:tabs>
        <w:ind w:left="927" w:hanging="360"/>
      </w:pPr>
      <w:rPr>
        <w:rFonts w:hint="default"/>
        <w:u w:val="single"/>
      </w:rPr>
    </w:lvl>
    <w:lvl w:ilvl="1" w:tplc="00190407" w:tentative="1">
      <w:start w:val="1"/>
      <w:numFmt w:val="lowerLetter"/>
      <w:lvlText w:val="%2."/>
      <w:lvlJc w:val="left"/>
      <w:pPr>
        <w:tabs>
          <w:tab w:val="num" w:pos="1647"/>
        </w:tabs>
        <w:ind w:left="1647" w:hanging="360"/>
      </w:pPr>
    </w:lvl>
    <w:lvl w:ilvl="2" w:tplc="001B0407" w:tentative="1">
      <w:start w:val="1"/>
      <w:numFmt w:val="lowerRoman"/>
      <w:lvlText w:val="%3."/>
      <w:lvlJc w:val="right"/>
      <w:pPr>
        <w:tabs>
          <w:tab w:val="num" w:pos="2367"/>
        </w:tabs>
        <w:ind w:left="2367" w:hanging="180"/>
      </w:pPr>
    </w:lvl>
    <w:lvl w:ilvl="3" w:tplc="000F0407" w:tentative="1">
      <w:start w:val="1"/>
      <w:numFmt w:val="decimal"/>
      <w:lvlText w:val="%4."/>
      <w:lvlJc w:val="left"/>
      <w:pPr>
        <w:tabs>
          <w:tab w:val="num" w:pos="3087"/>
        </w:tabs>
        <w:ind w:left="3087" w:hanging="360"/>
      </w:pPr>
    </w:lvl>
    <w:lvl w:ilvl="4" w:tplc="00190407" w:tentative="1">
      <w:start w:val="1"/>
      <w:numFmt w:val="lowerLetter"/>
      <w:lvlText w:val="%5."/>
      <w:lvlJc w:val="left"/>
      <w:pPr>
        <w:tabs>
          <w:tab w:val="num" w:pos="3807"/>
        </w:tabs>
        <w:ind w:left="3807" w:hanging="360"/>
      </w:pPr>
    </w:lvl>
    <w:lvl w:ilvl="5" w:tplc="001B0407" w:tentative="1">
      <w:start w:val="1"/>
      <w:numFmt w:val="lowerRoman"/>
      <w:lvlText w:val="%6."/>
      <w:lvlJc w:val="right"/>
      <w:pPr>
        <w:tabs>
          <w:tab w:val="num" w:pos="4527"/>
        </w:tabs>
        <w:ind w:left="4527" w:hanging="180"/>
      </w:pPr>
    </w:lvl>
    <w:lvl w:ilvl="6" w:tplc="000F0407" w:tentative="1">
      <w:start w:val="1"/>
      <w:numFmt w:val="decimal"/>
      <w:lvlText w:val="%7."/>
      <w:lvlJc w:val="left"/>
      <w:pPr>
        <w:tabs>
          <w:tab w:val="num" w:pos="5247"/>
        </w:tabs>
        <w:ind w:left="5247" w:hanging="360"/>
      </w:pPr>
    </w:lvl>
    <w:lvl w:ilvl="7" w:tplc="00190407" w:tentative="1">
      <w:start w:val="1"/>
      <w:numFmt w:val="lowerLetter"/>
      <w:lvlText w:val="%8."/>
      <w:lvlJc w:val="left"/>
      <w:pPr>
        <w:tabs>
          <w:tab w:val="num" w:pos="5967"/>
        </w:tabs>
        <w:ind w:left="5967" w:hanging="360"/>
      </w:pPr>
    </w:lvl>
    <w:lvl w:ilvl="8" w:tplc="001B0407" w:tentative="1">
      <w:start w:val="1"/>
      <w:numFmt w:val="lowerRoman"/>
      <w:lvlText w:val="%9."/>
      <w:lvlJc w:val="right"/>
      <w:pPr>
        <w:tabs>
          <w:tab w:val="num" w:pos="6687"/>
        </w:tabs>
        <w:ind w:left="6687" w:hanging="180"/>
      </w:pPr>
    </w:lvl>
  </w:abstractNum>
  <w:abstractNum w:abstractNumId="12" w15:restartNumberingAfterBreak="0">
    <w:nsid w:val="79BF6AE7"/>
    <w:multiLevelType w:val="hybridMultilevel"/>
    <w:tmpl w:val="B35C59F8"/>
    <w:lvl w:ilvl="0" w:tplc="5D120DF8">
      <w:start w:val="1"/>
      <w:numFmt w:val="decimal"/>
      <w:lvlText w:val="%1."/>
      <w:lvlJc w:val="left"/>
      <w:pPr>
        <w:tabs>
          <w:tab w:val="num" w:pos="720"/>
        </w:tabs>
        <w:ind w:left="720" w:hanging="360"/>
      </w:pPr>
      <w:rPr>
        <w:rFonts w:hint="default"/>
        <w:b w:val="0"/>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16cid:durableId="855071479">
    <w:abstractNumId w:val="8"/>
  </w:num>
  <w:num w:numId="2" w16cid:durableId="214046086">
    <w:abstractNumId w:val="7"/>
  </w:num>
  <w:num w:numId="3" w16cid:durableId="586577814">
    <w:abstractNumId w:val="4"/>
  </w:num>
  <w:num w:numId="4" w16cid:durableId="1285693597">
    <w:abstractNumId w:val="10"/>
  </w:num>
  <w:num w:numId="5" w16cid:durableId="1153988559">
    <w:abstractNumId w:val="6"/>
  </w:num>
  <w:num w:numId="6" w16cid:durableId="1895042099">
    <w:abstractNumId w:val="9"/>
  </w:num>
  <w:num w:numId="7" w16cid:durableId="1481388597">
    <w:abstractNumId w:val="1"/>
  </w:num>
  <w:num w:numId="8" w16cid:durableId="34694465">
    <w:abstractNumId w:val="11"/>
  </w:num>
  <w:num w:numId="9" w16cid:durableId="1776359747">
    <w:abstractNumId w:val="3"/>
  </w:num>
  <w:num w:numId="10" w16cid:durableId="2094281455">
    <w:abstractNumId w:val="12"/>
  </w:num>
  <w:num w:numId="11" w16cid:durableId="2054648368">
    <w:abstractNumId w:val="2"/>
  </w:num>
  <w:num w:numId="12" w16cid:durableId="1205361234">
    <w:abstractNumId w:val="0"/>
  </w:num>
  <w:num w:numId="13" w16cid:durableId="1838422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de-DE" w:vendorID="6" w:dllVersion="2" w:checkStyle="1"/>
  <w:proofState w:spelling="clean" w:grammar="clean"/>
  <w:trackRevisions/>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41D2"/>
    <w:rsid w:val="000155A2"/>
    <w:rsid w:val="00030868"/>
    <w:rsid w:val="00070A5D"/>
    <w:rsid w:val="000731DF"/>
    <w:rsid w:val="0007490F"/>
    <w:rsid w:val="000A1150"/>
    <w:rsid w:val="000B5398"/>
    <w:rsid w:val="000E04B4"/>
    <w:rsid w:val="000F3836"/>
    <w:rsid w:val="00104FAB"/>
    <w:rsid w:val="00132E98"/>
    <w:rsid w:val="00133CA1"/>
    <w:rsid w:val="00162B1D"/>
    <w:rsid w:val="00167AC9"/>
    <w:rsid w:val="0017684F"/>
    <w:rsid w:val="00191CE6"/>
    <w:rsid w:val="001E580F"/>
    <w:rsid w:val="001E7470"/>
    <w:rsid w:val="00202BB3"/>
    <w:rsid w:val="00210ABF"/>
    <w:rsid w:val="00221770"/>
    <w:rsid w:val="002736EA"/>
    <w:rsid w:val="00287686"/>
    <w:rsid w:val="002914E3"/>
    <w:rsid w:val="002A305F"/>
    <w:rsid w:val="002C2746"/>
    <w:rsid w:val="002C65E7"/>
    <w:rsid w:val="00315043"/>
    <w:rsid w:val="003607A3"/>
    <w:rsid w:val="003618A8"/>
    <w:rsid w:val="003A14A5"/>
    <w:rsid w:val="003B1746"/>
    <w:rsid w:val="003B6841"/>
    <w:rsid w:val="003C01DD"/>
    <w:rsid w:val="00403854"/>
    <w:rsid w:val="00404F5C"/>
    <w:rsid w:val="004211CD"/>
    <w:rsid w:val="00434905"/>
    <w:rsid w:val="00442F05"/>
    <w:rsid w:val="00455CFC"/>
    <w:rsid w:val="00492CCD"/>
    <w:rsid w:val="004A0CAD"/>
    <w:rsid w:val="004C1362"/>
    <w:rsid w:val="004E24BF"/>
    <w:rsid w:val="005049ED"/>
    <w:rsid w:val="005126D7"/>
    <w:rsid w:val="00515BC9"/>
    <w:rsid w:val="0055431A"/>
    <w:rsid w:val="00575CF6"/>
    <w:rsid w:val="00580430"/>
    <w:rsid w:val="005816E3"/>
    <w:rsid w:val="005902EB"/>
    <w:rsid w:val="005B031A"/>
    <w:rsid w:val="005B3C0E"/>
    <w:rsid w:val="005B52BD"/>
    <w:rsid w:val="005C466E"/>
    <w:rsid w:val="006113F0"/>
    <w:rsid w:val="00621F2E"/>
    <w:rsid w:val="006316F7"/>
    <w:rsid w:val="006519A2"/>
    <w:rsid w:val="00696DB7"/>
    <w:rsid w:val="006A09A7"/>
    <w:rsid w:val="006C7705"/>
    <w:rsid w:val="006D06BF"/>
    <w:rsid w:val="006D09F8"/>
    <w:rsid w:val="006D6D9B"/>
    <w:rsid w:val="0070018A"/>
    <w:rsid w:val="00701B60"/>
    <w:rsid w:val="00710B0B"/>
    <w:rsid w:val="00784045"/>
    <w:rsid w:val="007A715D"/>
    <w:rsid w:val="007D322A"/>
    <w:rsid w:val="007D4479"/>
    <w:rsid w:val="007D4A25"/>
    <w:rsid w:val="007F1102"/>
    <w:rsid w:val="008046BE"/>
    <w:rsid w:val="008314AA"/>
    <w:rsid w:val="00843A4D"/>
    <w:rsid w:val="008678C9"/>
    <w:rsid w:val="00886FE9"/>
    <w:rsid w:val="00887EA9"/>
    <w:rsid w:val="008A1B43"/>
    <w:rsid w:val="008B0404"/>
    <w:rsid w:val="008E7D37"/>
    <w:rsid w:val="009068E4"/>
    <w:rsid w:val="00917B43"/>
    <w:rsid w:val="009355DB"/>
    <w:rsid w:val="00940D9F"/>
    <w:rsid w:val="00944476"/>
    <w:rsid w:val="00983907"/>
    <w:rsid w:val="009A4B7F"/>
    <w:rsid w:val="009B0F68"/>
    <w:rsid w:val="009C0B43"/>
    <w:rsid w:val="009F685A"/>
    <w:rsid w:val="00A01048"/>
    <w:rsid w:val="00A043AA"/>
    <w:rsid w:val="00A10D3E"/>
    <w:rsid w:val="00A13263"/>
    <w:rsid w:val="00A1484E"/>
    <w:rsid w:val="00A3506A"/>
    <w:rsid w:val="00A93DDB"/>
    <w:rsid w:val="00AA2DD7"/>
    <w:rsid w:val="00AE5D0E"/>
    <w:rsid w:val="00B02B89"/>
    <w:rsid w:val="00B079C1"/>
    <w:rsid w:val="00B112F7"/>
    <w:rsid w:val="00B239F0"/>
    <w:rsid w:val="00B44208"/>
    <w:rsid w:val="00B7170C"/>
    <w:rsid w:val="00BB70B2"/>
    <w:rsid w:val="00C06C5D"/>
    <w:rsid w:val="00C36CF9"/>
    <w:rsid w:val="00C45311"/>
    <w:rsid w:val="00C47557"/>
    <w:rsid w:val="00C61A98"/>
    <w:rsid w:val="00C8436A"/>
    <w:rsid w:val="00CA17D4"/>
    <w:rsid w:val="00CB7AE4"/>
    <w:rsid w:val="00CC14EC"/>
    <w:rsid w:val="00CD2C7E"/>
    <w:rsid w:val="00CD5860"/>
    <w:rsid w:val="00CE1B31"/>
    <w:rsid w:val="00D3023C"/>
    <w:rsid w:val="00D46A12"/>
    <w:rsid w:val="00DE5982"/>
    <w:rsid w:val="00DF3EAF"/>
    <w:rsid w:val="00DF3FAD"/>
    <w:rsid w:val="00E31C86"/>
    <w:rsid w:val="00E527D8"/>
    <w:rsid w:val="00E731C5"/>
    <w:rsid w:val="00E7526D"/>
    <w:rsid w:val="00E9360E"/>
    <w:rsid w:val="00EA1FAC"/>
    <w:rsid w:val="00EA4B28"/>
    <w:rsid w:val="00EB75C9"/>
    <w:rsid w:val="00EF51F3"/>
    <w:rsid w:val="00F07045"/>
    <w:rsid w:val="00F12B62"/>
    <w:rsid w:val="00F42D60"/>
    <w:rsid w:val="00F55F24"/>
    <w:rsid w:val="00F562A3"/>
    <w:rsid w:val="00F63EC9"/>
    <w:rsid w:val="00F70D71"/>
    <w:rsid w:val="00FF12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800F94"/>
  <w15:chartTrackingRefBased/>
  <w15:docId w15:val="{55D7A82D-DE33-429F-A2B4-BDB2D390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semiHidden/>
    <w:rsid w:val="00DD71EE"/>
    <w:rPr>
      <w:rFonts w:ascii="Tahoma" w:hAnsi="Tahoma" w:cs="Tahoma"/>
      <w:sz w:val="16"/>
      <w:szCs w:val="16"/>
    </w:rPr>
  </w:style>
  <w:style w:type="character" w:styleId="Kommentarzeichen">
    <w:name w:val="annotation reference"/>
    <w:uiPriority w:val="99"/>
    <w:semiHidden/>
    <w:unhideWhenUsed/>
    <w:rsid w:val="0017684F"/>
    <w:rPr>
      <w:sz w:val="18"/>
      <w:szCs w:val="18"/>
    </w:rPr>
  </w:style>
  <w:style w:type="paragraph" w:styleId="Kommentartext">
    <w:name w:val="annotation text"/>
    <w:basedOn w:val="Standard"/>
    <w:link w:val="KommentartextZchn"/>
    <w:uiPriority w:val="99"/>
    <w:unhideWhenUsed/>
    <w:rsid w:val="0017684F"/>
  </w:style>
  <w:style w:type="character" w:customStyle="1" w:styleId="KommentartextZchn">
    <w:name w:val="Kommentartext Zchn"/>
    <w:link w:val="Kommentartext"/>
    <w:uiPriority w:val="99"/>
    <w:rsid w:val="0017684F"/>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17684F"/>
    <w:rPr>
      <w:b/>
      <w:bCs/>
      <w:sz w:val="20"/>
      <w:szCs w:val="20"/>
    </w:rPr>
  </w:style>
  <w:style w:type="character" w:customStyle="1" w:styleId="KommentarthemaZchn">
    <w:name w:val="Kommentarthema Zchn"/>
    <w:link w:val="Kommentarthema"/>
    <w:uiPriority w:val="99"/>
    <w:semiHidden/>
    <w:rsid w:val="0017684F"/>
    <w:rPr>
      <w:rFonts w:ascii="Dutch Roman 12pt" w:hAnsi="Dutch Roman 12pt" w:cs="Arial Narrow"/>
      <w:b/>
      <w:bCs/>
      <w:sz w:val="24"/>
      <w:szCs w:val="24"/>
    </w:rPr>
  </w:style>
  <w:style w:type="paragraph" w:styleId="berarbeitung">
    <w:name w:val="Revision"/>
    <w:hidden/>
    <w:uiPriority w:val="71"/>
    <w:rsid w:val="003618A8"/>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1626</Words>
  <Characters>10249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2020-10-28T17:03:00Z</cp:lastPrinted>
  <dcterms:created xsi:type="dcterms:W3CDTF">2024-10-10T13:16:00Z</dcterms:created>
  <dcterms:modified xsi:type="dcterms:W3CDTF">2024-10-10T13:16:00Z</dcterms:modified>
</cp:coreProperties>
</file>