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9BBB" w14:textId="2466AFD6" w:rsidR="007C65C9" w:rsidRPr="00D325B8" w:rsidRDefault="007C65C9" w:rsidP="00781F04">
      <w:pPr>
        <w:tabs>
          <w:tab w:val="right" w:pos="10206"/>
        </w:tabs>
        <w:jc w:val="both"/>
        <w:rPr>
          <w:rFonts w:ascii="Times New Roman" w:hAnsi="Times New Roman" w:cs="Times New Roman"/>
          <w:spacing w:val="-3"/>
        </w:rPr>
      </w:pPr>
      <w:r w:rsidRPr="00D325B8">
        <w:rPr>
          <w:rFonts w:ascii="Times New Roman" w:hAnsi="Times New Roman" w:cs="Times New Roman"/>
          <w:b/>
          <w:spacing w:val="-3"/>
        </w:rPr>
        <w:t xml:space="preserve">Prof. Dr. </w:t>
      </w:r>
      <w:r w:rsidR="008405A8">
        <w:rPr>
          <w:rFonts w:ascii="Times New Roman" w:hAnsi="Times New Roman" w:cs="Times New Roman"/>
          <w:b/>
          <w:spacing w:val="-3"/>
        </w:rPr>
        <w:t xml:space="preserve">Dr. h.c. </w:t>
      </w:r>
      <w:r w:rsidRPr="00D325B8">
        <w:rPr>
          <w:rFonts w:ascii="Times New Roman" w:hAnsi="Times New Roman" w:cs="Times New Roman"/>
          <w:b/>
          <w:spacing w:val="-3"/>
        </w:rPr>
        <w:t>Bernd Heinrich/</w:t>
      </w:r>
      <w:r w:rsidR="00691743" w:rsidRPr="00D325B8">
        <w:rPr>
          <w:rFonts w:ascii="Times New Roman" w:hAnsi="Times New Roman" w:cs="Times New Roman"/>
          <w:b/>
          <w:spacing w:val="-3"/>
        </w:rPr>
        <w:t>Pr</w:t>
      </w:r>
      <w:r w:rsidR="00AE7D94">
        <w:rPr>
          <w:rFonts w:ascii="Times New Roman" w:hAnsi="Times New Roman" w:cs="Times New Roman"/>
          <w:b/>
          <w:spacing w:val="-3"/>
        </w:rPr>
        <w:t>of</w:t>
      </w:r>
      <w:r w:rsidR="00691743" w:rsidRPr="00D325B8">
        <w:rPr>
          <w:rFonts w:ascii="Times New Roman" w:hAnsi="Times New Roman" w:cs="Times New Roman"/>
          <w:b/>
          <w:spacing w:val="-3"/>
        </w:rPr>
        <w:t xml:space="preserve">. </w:t>
      </w:r>
      <w:r w:rsidRPr="00D325B8">
        <w:rPr>
          <w:rFonts w:ascii="Times New Roman" w:hAnsi="Times New Roman" w:cs="Times New Roman"/>
          <w:b/>
          <w:spacing w:val="-3"/>
        </w:rPr>
        <w:t>Dr. Tobias Reinbacher</w:t>
      </w:r>
      <w:r w:rsidRPr="00D325B8">
        <w:rPr>
          <w:rFonts w:ascii="Times New Roman" w:hAnsi="Times New Roman" w:cs="Times New Roman"/>
          <w:b/>
          <w:spacing w:val="-3"/>
        </w:rPr>
        <w:tab/>
        <w:t xml:space="preserve">Stand: 1. </w:t>
      </w:r>
      <w:r w:rsidR="00B651E9">
        <w:rPr>
          <w:rFonts w:ascii="Times New Roman" w:hAnsi="Times New Roman" w:cs="Times New Roman"/>
          <w:b/>
          <w:spacing w:val="-3"/>
        </w:rPr>
        <w:t>Oktober</w:t>
      </w:r>
      <w:r w:rsidR="0061028A" w:rsidRPr="00D325B8">
        <w:rPr>
          <w:rFonts w:ascii="Times New Roman" w:hAnsi="Times New Roman" w:cs="Times New Roman"/>
          <w:b/>
          <w:spacing w:val="-3"/>
        </w:rPr>
        <w:t xml:space="preserve"> </w:t>
      </w:r>
      <w:r w:rsidR="0004547B" w:rsidRPr="00D325B8">
        <w:rPr>
          <w:rFonts w:ascii="Times New Roman" w:hAnsi="Times New Roman" w:cs="Times New Roman"/>
          <w:b/>
          <w:spacing w:val="-3"/>
        </w:rPr>
        <w:t>20</w:t>
      </w:r>
      <w:r w:rsidR="001C70CC">
        <w:rPr>
          <w:rFonts w:ascii="Times New Roman" w:hAnsi="Times New Roman" w:cs="Times New Roman"/>
          <w:b/>
          <w:spacing w:val="-3"/>
        </w:rPr>
        <w:t>2</w:t>
      </w:r>
      <w:r w:rsidR="00B7320C">
        <w:rPr>
          <w:rFonts w:ascii="Times New Roman" w:hAnsi="Times New Roman" w:cs="Times New Roman"/>
          <w:b/>
          <w:spacing w:val="-3"/>
        </w:rPr>
        <w:t>4</w:t>
      </w:r>
    </w:p>
    <w:p w14:paraId="00E711A1" w14:textId="69B4BC14" w:rsidR="007C65C9" w:rsidRPr="00D325B8" w:rsidRDefault="007C65C9" w:rsidP="007C65C9">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rFonts w:ascii="Times New Roman" w:hAnsi="Times New Roman" w:cs="Times New Roman"/>
          <w:spacing w:val="-3"/>
        </w:rPr>
      </w:pPr>
      <w:r w:rsidRPr="00D325B8">
        <w:rPr>
          <w:rFonts w:ascii="Times New Roman" w:hAnsi="Times New Roman" w:cs="Times New Roman"/>
          <w:b/>
          <w:spacing w:val="-3"/>
        </w:rPr>
        <w:t>Examinatorium Strafprozessrecht – Arbeitsblatt Nr.</w:t>
      </w:r>
      <w:r w:rsidR="00B7320C">
        <w:rPr>
          <w:rFonts w:ascii="Times New Roman" w:hAnsi="Times New Roman" w:cs="Times New Roman"/>
          <w:b/>
          <w:spacing w:val="-3"/>
        </w:rPr>
        <w:t> </w:t>
      </w:r>
      <w:r w:rsidRPr="00D325B8">
        <w:rPr>
          <w:rFonts w:ascii="Times New Roman" w:hAnsi="Times New Roman" w:cs="Times New Roman"/>
          <w:b/>
          <w:spacing w:val="-3"/>
        </w:rPr>
        <w:t>31</w:t>
      </w:r>
    </w:p>
    <w:p w14:paraId="6B9B8CDE" w14:textId="55A0373C" w:rsidR="007C65C9" w:rsidRPr="00D325B8" w:rsidRDefault="007C65C9" w:rsidP="00B465BB">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rFonts w:ascii="Times New Roman" w:hAnsi="Times New Roman" w:cs="Times New Roman"/>
          <w:spacing w:val="-7"/>
          <w:sz w:val="52"/>
          <w:szCs w:val="52"/>
        </w:rPr>
      </w:pPr>
      <w:r w:rsidRPr="00D325B8">
        <w:rPr>
          <w:rFonts w:ascii="Times New Roman" w:hAnsi="Times New Roman" w:cs="Times New Roman"/>
          <w:b/>
          <w:spacing w:val="-7"/>
          <w:sz w:val="52"/>
          <w:szCs w:val="52"/>
        </w:rPr>
        <w:t xml:space="preserve">Beweisverwertungsverbote VI – </w:t>
      </w:r>
      <w:proofErr w:type="spellStart"/>
      <w:r w:rsidRPr="00D325B8">
        <w:rPr>
          <w:rFonts w:ascii="Times New Roman" w:hAnsi="Times New Roman" w:cs="Times New Roman"/>
          <w:b/>
          <w:spacing w:val="-7"/>
          <w:sz w:val="52"/>
          <w:szCs w:val="52"/>
        </w:rPr>
        <w:t>Hörfalle</w:t>
      </w:r>
      <w:proofErr w:type="spellEnd"/>
    </w:p>
    <w:p w14:paraId="4978020E" w14:textId="77777777" w:rsidR="007C65C9" w:rsidRPr="00D325B8" w:rsidRDefault="007C65C9">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cs="Times New Roman"/>
          <w:vanish/>
          <w:spacing w:val="-7"/>
          <w:sz w:val="60"/>
        </w:rPr>
      </w:pPr>
      <w:r w:rsidRPr="00D325B8">
        <w:rPr>
          <w:rFonts w:ascii="Times New Roman" w:hAnsi="Times New Roman" w:cs="Times New Roman"/>
          <w:vanish/>
          <w:spacing w:val="-7"/>
          <w:sz w:val="60"/>
        </w:rPr>
        <w:fldChar w:fldCharType="begin"/>
      </w:r>
      <w:r w:rsidR="001B49AD">
        <w:rPr>
          <w:rFonts w:ascii="Times New Roman" w:hAnsi="Times New Roman" w:cs="Times New Roman"/>
          <w:vanish/>
          <w:spacing w:val="-7"/>
          <w:sz w:val="60"/>
        </w:rPr>
        <w:instrText>SEQ</w:instrText>
      </w:r>
      <w:r w:rsidRPr="00D325B8">
        <w:rPr>
          <w:rFonts w:ascii="Times New Roman" w:hAnsi="Times New Roman" w:cs="Times New Roman"/>
          <w:vanish/>
          <w:spacing w:val="-7"/>
          <w:sz w:val="60"/>
        </w:rPr>
        <w:instrText xml:space="preserve"> Text_Box  \* ARABIC</w:instrText>
      </w:r>
      <w:r w:rsidRPr="00D325B8">
        <w:rPr>
          <w:rFonts w:ascii="Times New Roman" w:hAnsi="Times New Roman" w:cs="Times New Roman"/>
          <w:vanish/>
          <w:spacing w:val="-7"/>
          <w:sz w:val="60"/>
        </w:rPr>
        <w:fldChar w:fldCharType="separate"/>
      </w:r>
      <w:r w:rsidR="00D95E9E">
        <w:rPr>
          <w:rFonts w:ascii="Times New Roman" w:hAnsi="Times New Roman" w:cs="Times New Roman"/>
          <w:noProof/>
          <w:vanish/>
          <w:spacing w:val="-7"/>
          <w:sz w:val="60"/>
        </w:rPr>
        <w:t>1</w:t>
      </w:r>
      <w:r w:rsidRPr="00D325B8">
        <w:rPr>
          <w:rFonts w:ascii="Times New Roman" w:hAnsi="Times New Roman" w:cs="Times New Roman"/>
          <w:vanish/>
          <w:spacing w:val="-7"/>
          <w:sz w:val="60"/>
        </w:rPr>
        <w:fldChar w:fldCharType="end"/>
      </w:r>
    </w:p>
    <w:p w14:paraId="1BF3B206" w14:textId="77777777" w:rsidR="007C65C9" w:rsidRPr="00D325B8" w:rsidRDefault="007C65C9">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b/>
          <w:spacing w:val="-2"/>
          <w:sz w:val="18"/>
        </w:rPr>
      </w:pPr>
    </w:p>
    <w:p w14:paraId="6F0148F9" w14:textId="40ABB79D" w:rsidR="007C65C9" w:rsidRPr="00E924A3" w:rsidRDefault="007C65C9" w:rsidP="007C65C9">
      <w:pPr>
        <w:widowControl/>
        <w:tabs>
          <w:tab w:val="left" w:pos="-720"/>
          <w:tab w:val="left" w:pos="288"/>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spacing w:val="-2"/>
          <w:sz w:val="18"/>
          <w:szCs w:val="18"/>
        </w:rPr>
      </w:pPr>
      <w:r w:rsidRPr="00E924A3">
        <w:rPr>
          <w:rFonts w:ascii="Times New Roman" w:hAnsi="Times New Roman" w:cs="Times New Roman"/>
          <w:b/>
          <w:spacing w:val="-2"/>
          <w:sz w:val="18"/>
          <w:szCs w:val="18"/>
        </w:rPr>
        <w:t xml:space="preserve">I. </w:t>
      </w:r>
      <w:r w:rsidRPr="00E924A3">
        <w:rPr>
          <w:rFonts w:ascii="Times New Roman" w:hAnsi="Times New Roman" w:cs="Times New Roman"/>
          <w:b/>
          <w:spacing w:val="-2"/>
          <w:sz w:val="18"/>
          <w:szCs w:val="18"/>
        </w:rPr>
        <w:tab/>
        <w:t xml:space="preserve">Allgemeines: </w:t>
      </w:r>
      <w:r w:rsidR="007D1F23" w:rsidRPr="00E924A3">
        <w:rPr>
          <w:rFonts w:ascii="Times New Roman" w:hAnsi="Times New Roman" w:cs="Times New Roman"/>
          <w:spacing w:val="-2"/>
          <w:sz w:val="18"/>
          <w:szCs w:val="18"/>
        </w:rPr>
        <w:t xml:space="preserve">Als einer besonders wichtigen </w:t>
      </w:r>
      <w:r w:rsidRPr="00E924A3">
        <w:rPr>
          <w:rFonts w:ascii="Times New Roman" w:hAnsi="Times New Roman" w:cs="Times New Roman"/>
          <w:spacing w:val="-2"/>
          <w:sz w:val="18"/>
          <w:szCs w:val="18"/>
        </w:rPr>
        <w:t xml:space="preserve">Spezialkonstellation wird der polizeilich gestellten </w:t>
      </w:r>
      <w:proofErr w:type="spellStart"/>
      <w:r w:rsidRPr="00E924A3">
        <w:rPr>
          <w:rFonts w:ascii="Times New Roman" w:hAnsi="Times New Roman" w:cs="Times New Roman"/>
          <w:spacing w:val="-2"/>
          <w:sz w:val="18"/>
          <w:szCs w:val="18"/>
        </w:rPr>
        <w:t>Hörfalle</w:t>
      </w:r>
      <w:proofErr w:type="spellEnd"/>
      <w:r w:rsidRPr="00E924A3">
        <w:rPr>
          <w:rFonts w:ascii="Times New Roman" w:hAnsi="Times New Roman" w:cs="Times New Roman"/>
          <w:spacing w:val="-2"/>
          <w:sz w:val="18"/>
          <w:szCs w:val="18"/>
        </w:rPr>
        <w:t xml:space="preserve"> ein eigenes Arbeitsblatt gewidmet. Die Hörfallen-Entscheidung des </w:t>
      </w:r>
      <w:r w:rsidRPr="00E924A3">
        <w:rPr>
          <w:rFonts w:ascii="Times New Roman" w:hAnsi="Times New Roman" w:cs="Times New Roman"/>
          <w:b/>
          <w:spacing w:val="-2"/>
          <w:sz w:val="18"/>
          <w:szCs w:val="18"/>
        </w:rPr>
        <w:t>Großen Senats für Strafsachen des BGH</w:t>
      </w:r>
      <w:r w:rsidRPr="00E924A3">
        <w:rPr>
          <w:rFonts w:ascii="Times New Roman" w:hAnsi="Times New Roman" w:cs="Times New Roman"/>
          <w:spacing w:val="-2"/>
          <w:sz w:val="18"/>
          <w:szCs w:val="18"/>
        </w:rPr>
        <w:t xml:space="preserve"> (</w:t>
      </w:r>
      <w:r w:rsidRPr="00E924A3">
        <w:rPr>
          <w:rFonts w:ascii="Times New Roman" w:hAnsi="Times New Roman" w:cs="Times New Roman"/>
          <w:b/>
          <w:spacing w:val="-2"/>
          <w:sz w:val="18"/>
          <w:szCs w:val="18"/>
        </w:rPr>
        <w:t>BGHSt 42, 139</w:t>
      </w:r>
      <w:r w:rsidRPr="00E924A3">
        <w:rPr>
          <w:rFonts w:ascii="Times New Roman" w:hAnsi="Times New Roman" w:cs="Times New Roman"/>
          <w:spacing w:val="-2"/>
          <w:sz w:val="18"/>
          <w:szCs w:val="18"/>
        </w:rPr>
        <w:t xml:space="preserve">) aus dem Jahr 1996 hat für großen Widerhall in der Literatur gesorgt. Sie vereinigt darüber hinaus einige wesentliche strafprozessuale Grundsätze. Die Entscheidung erstaunt in verschiedener Hinsicht, </w:t>
      </w:r>
      <w:r w:rsidR="00B465BB">
        <w:rPr>
          <w:rFonts w:ascii="Times New Roman" w:hAnsi="Times New Roman" w:cs="Times New Roman"/>
          <w:spacing w:val="-2"/>
          <w:sz w:val="18"/>
          <w:szCs w:val="18"/>
        </w:rPr>
        <w:t>insb.</w:t>
      </w:r>
      <w:r w:rsidR="00B465BB" w:rsidRPr="00E924A3">
        <w:rPr>
          <w:rFonts w:ascii="Times New Roman" w:hAnsi="Times New Roman" w:cs="Times New Roman"/>
          <w:spacing w:val="-2"/>
          <w:sz w:val="18"/>
          <w:szCs w:val="18"/>
        </w:rPr>
        <w:t xml:space="preserve"> </w:t>
      </w:r>
      <w:r w:rsidRPr="00E924A3">
        <w:rPr>
          <w:rFonts w:ascii="Times New Roman" w:hAnsi="Times New Roman" w:cs="Times New Roman"/>
          <w:spacing w:val="-2"/>
          <w:sz w:val="18"/>
          <w:szCs w:val="18"/>
        </w:rPr>
        <w:t xml:space="preserve">aber deshalb, weil sie einerseits sehr formalistische Sichtweisen (z.B. im Hinblick auf die Begriffe der Vernehmung, der Täuschung oder der Überwachung der Telekommunikation), andererseits jedoch eine eher lose Gesamtabwägung im Hinblick auf das Rechtsstaatsprinzip enthält. </w:t>
      </w:r>
      <w:r w:rsidR="00921144">
        <w:rPr>
          <w:rFonts w:ascii="Times New Roman" w:hAnsi="Times New Roman" w:cs="Times New Roman"/>
          <w:spacing w:val="-2"/>
          <w:sz w:val="18"/>
          <w:szCs w:val="18"/>
        </w:rPr>
        <w:t>Es</w:t>
      </w:r>
      <w:r w:rsidRPr="00E924A3">
        <w:rPr>
          <w:rFonts w:ascii="Times New Roman" w:hAnsi="Times New Roman" w:cs="Times New Roman"/>
          <w:spacing w:val="-2"/>
          <w:sz w:val="18"/>
          <w:szCs w:val="18"/>
        </w:rPr>
        <w:t xml:space="preserve"> muss</w:t>
      </w:r>
      <w:r w:rsidR="00921144">
        <w:rPr>
          <w:rFonts w:ascii="Times New Roman" w:hAnsi="Times New Roman" w:cs="Times New Roman"/>
          <w:spacing w:val="-2"/>
          <w:sz w:val="18"/>
          <w:szCs w:val="18"/>
        </w:rPr>
        <w:t xml:space="preserve"> aber</w:t>
      </w:r>
      <w:r w:rsidRPr="00E924A3">
        <w:rPr>
          <w:rFonts w:ascii="Times New Roman" w:hAnsi="Times New Roman" w:cs="Times New Roman"/>
          <w:spacing w:val="-2"/>
          <w:sz w:val="18"/>
          <w:szCs w:val="18"/>
        </w:rPr>
        <w:t xml:space="preserve"> im Auge behalten werden, dass sich in der Folge sowohl das </w:t>
      </w:r>
      <w:r w:rsidRPr="00E924A3">
        <w:rPr>
          <w:rFonts w:ascii="Times New Roman" w:hAnsi="Times New Roman" w:cs="Times New Roman"/>
          <w:b/>
          <w:spacing w:val="-2"/>
          <w:sz w:val="18"/>
          <w:szCs w:val="18"/>
        </w:rPr>
        <w:t>BVerfG</w:t>
      </w:r>
      <w:r w:rsidRPr="00E924A3">
        <w:rPr>
          <w:rFonts w:ascii="Times New Roman" w:hAnsi="Times New Roman" w:cs="Times New Roman"/>
          <w:spacing w:val="-2"/>
          <w:sz w:val="18"/>
          <w:szCs w:val="18"/>
        </w:rPr>
        <w:t xml:space="preserve"> (</w:t>
      </w:r>
      <w:r w:rsidRPr="00E924A3">
        <w:rPr>
          <w:rFonts w:ascii="Times New Roman" w:hAnsi="Times New Roman" w:cs="Times New Roman"/>
          <w:b/>
          <w:spacing w:val="-2"/>
          <w:sz w:val="18"/>
          <w:szCs w:val="18"/>
        </w:rPr>
        <w:t>BVerfGE 106, 28</w:t>
      </w:r>
      <w:r w:rsidRPr="00E924A3">
        <w:rPr>
          <w:rFonts w:ascii="Times New Roman" w:hAnsi="Times New Roman" w:cs="Times New Roman"/>
          <w:spacing w:val="-2"/>
          <w:sz w:val="18"/>
          <w:szCs w:val="18"/>
        </w:rPr>
        <w:t xml:space="preserve">) als auch der </w:t>
      </w:r>
      <w:r w:rsidRPr="00E924A3">
        <w:rPr>
          <w:rFonts w:ascii="Times New Roman" w:hAnsi="Times New Roman" w:cs="Times New Roman"/>
          <w:b/>
          <w:spacing w:val="-2"/>
          <w:sz w:val="18"/>
          <w:szCs w:val="18"/>
        </w:rPr>
        <w:t>EGMR</w:t>
      </w:r>
      <w:r w:rsidRPr="00E924A3">
        <w:rPr>
          <w:rFonts w:ascii="Times New Roman" w:hAnsi="Times New Roman" w:cs="Times New Roman"/>
          <w:spacing w:val="-2"/>
          <w:sz w:val="18"/>
          <w:szCs w:val="18"/>
        </w:rPr>
        <w:t xml:space="preserve"> (</w:t>
      </w:r>
      <w:r w:rsidRPr="00E924A3">
        <w:rPr>
          <w:rFonts w:ascii="Times New Roman" w:hAnsi="Times New Roman" w:cs="Times New Roman"/>
          <w:b/>
          <w:spacing w:val="-2"/>
          <w:sz w:val="18"/>
          <w:szCs w:val="18"/>
        </w:rPr>
        <w:t>EGMR StV 2003, 257</w:t>
      </w:r>
      <w:r w:rsidRPr="00E924A3">
        <w:rPr>
          <w:rFonts w:ascii="Times New Roman" w:hAnsi="Times New Roman" w:cs="Times New Roman"/>
          <w:spacing w:val="-2"/>
          <w:sz w:val="18"/>
          <w:szCs w:val="18"/>
        </w:rPr>
        <w:t>) zu ähnlichen Konstellationen abweichend geäußert haben, sodass insoweit fraglich ist, ob der BGH an der hier vertretenen Linie festhält. Der BGH hat z.B. in einem anderen Fall (</w:t>
      </w:r>
      <w:r w:rsidRPr="00E924A3">
        <w:rPr>
          <w:rFonts w:ascii="Times New Roman" w:hAnsi="Times New Roman" w:cs="Times New Roman"/>
          <w:b/>
          <w:spacing w:val="-2"/>
          <w:sz w:val="18"/>
          <w:szCs w:val="18"/>
        </w:rPr>
        <w:t>BGHSt 53, 294</w:t>
      </w:r>
      <w:r w:rsidRPr="00E924A3">
        <w:rPr>
          <w:rFonts w:ascii="Times New Roman" w:hAnsi="Times New Roman" w:cs="Times New Roman"/>
          <w:spacing w:val="-2"/>
          <w:sz w:val="18"/>
          <w:szCs w:val="18"/>
        </w:rPr>
        <w:t xml:space="preserve">) </w:t>
      </w:r>
      <w:r w:rsidR="00BE63CD" w:rsidRPr="00E924A3">
        <w:rPr>
          <w:rFonts w:ascii="Times New Roman" w:hAnsi="Times New Roman" w:cs="Times New Roman"/>
          <w:sz w:val="18"/>
          <w:szCs w:val="18"/>
        </w:rPr>
        <w:t>bei heimlichem Abhören des Gesprächs des Beschuldigten mit seiner Ehefrau in einem separaten Besuchsraum in der U-Haft</w:t>
      </w:r>
      <w:r w:rsidR="00BE63CD" w:rsidRPr="00E924A3">
        <w:rPr>
          <w:rFonts w:ascii="Times New Roman" w:hAnsi="Times New Roman" w:cs="Times New Roman"/>
          <w:spacing w:val="-2"/>
          <w:sz w:val="18"/>
          <w:szCs w:val="18"/>
        </w:rPr>
        <w:t xml:space="preserve"> </w:t>
      </w:r>
      <w:r w:rsidRPr="00E924A3">
        <w:rPr>
          <w:rFonts w:ascii="Times New Roman" w:hAnsi="Times New Roman" w:cs="Times New Roman"/>
          <w:spacing w:val="-2"/>
          <w:sz w:val="18"/>
          <w:szCs w:val="18"/>
        </w:rPr>
        <w:t xml:space="preserve">einen Verstoß gegen das </w:t>
      </w:r>
      <w:r w:rsidRPr="00E924A3">
        <w:rPr>
          <w:rFonts w:ascii="Times New Roman" w:hAnsi="Times New Roman" w:cs="Times New Roman"/>
          <w:b/>
          <w:spacing w:val="-2"/>
          <w:sz w:val="18"/>
          <w:szCs w:val="18"/>
        </w:rPr>
        <w:t xml:space="preserve">Fair-Trial-Prinzip </w:t>
      </w:r>
      <w:r w:rsidRPr="00E924A3">
        <w:rPr>
          <w:rFonts w:ascii="Times New Roman" w:hAnsi="Times New Roman" w:cs="Times New Roman"/>
          <w:spacing w:val="-2"/>
          <w:sz w:val="18"/>
          <w:szCs w:val="18"/>
        </w:rPr>
        <w:t>angenommen</w:t>
      </w:r>
      <w:r w:rsidRPr="00E924A3">
        <w:rPr>
          <w:rFonts w:ascii="Times New Roman" w:hAnsi="Times New Roman" w:cs="Times New Roman"/>
          <w:sz w:val="18"/>
          <w:szCs w:val="18"/>
        </w:rPr>
        <w:t>.</w:t>
      </w:r>
    </w:p>
    <w:p w14:paraId="1F596C86" w14:textId="77777777" w:rsidR="007C65C9" w:rsidRPr="00E924A3" w:rsidRDefault="007C65C9" w:rsidP="007C65C9">
      <w:pPr>
        <w:widowControl/>
        <w:tabs>
          <w:tab w:val="left" w:pos="-720"/>
          <w:tab w:val="left" w:pos="288"/>
          <w:tab w:val="left" w:pos="567"/>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cs="Times New Roman"/>
          <w:spacing w:val="-2"/>
          <w:sz w:val="18"/>
          <w:szCs w:val="18"/>
        </w:rPr>
      </w:pPr>
      <w:r w:rsidRPr="00E924A3">
        <w:rPr>
          <w:rFonts w:ascii="Times New Roman" w:hAnsi="Times New Roman" w:cs="Times New Roman"/>
          <w:b/>
          <w:spacing w:val="-2"/>
          <w:sz w:val="18"/>
          <w:szCs w:val="18"/>
        </w:rPr>
        <w:t>II.</w:t>
      </w:r>
      <w:r w:rsidRPr="00E924A3">
        <w:rPr>
          <w:rFonts w:ascii="Times New Roman" w:hAnsi="Times New Roman" w:cs="Times New Roman"/>
          <w:b/>
          <w:spacing w:val="-2"/>
          <w:sz w:val="18"/>
          <w:szCs w:val="18"/>
        </w:rPr>
        <w:tab/>
        <w:t>Die Hörfallen-Entscheidung des Großen Senats des BGH:</w:t>
      </w:r>
      <w:r w:rsidRPr="00E924A3">
        <w:rPr>
          <w:rFonts w:ascii="Times New Roman" w:hAnsi="Times New Roman" w:cs="Times New Roman"/>
          <w:spacing w:val="-2"/>
          <w:sz w:val="18"/>
          <w:szCs w:val="18"/>
        </w:rPr>
        <w:t xml:space="preserve"> Hier hatte auf polizeiliche Veranlassung ein Dolmetscher ein Telefonat des Tatverdächtigen mit einem Dritten an einem Zweithörer mitgehört, in welchem dieser die Tat einräumte, und wurde anschließend als Zeuge über das Geständnis vernommen. Der BGH hielt dies</w:t>
      </w:r>
      <w:r w:rsidRPr="005D74C0">
        <w:rPr>
          <w:rFonts w:ascii="Times New Roman" w:hAnsi="Times New Roman" w:cs="Times New Roman"/>
          <w:color w:val="000000"/>
          <w:spacing w:val="-2"/>
          <w:sz w:val="18"/>
          <w:szCs w:val="18"/>
        </w:rPr>
        <w:t>e</w:t>
      </w:r>
      <w:r w:rsidR="00AE7D94" w:rsidRPr="005D74C0">
        <w:rPr>
          <w:rFonts w:ascii="Times New Roman" w:hAnsi="Times New Roman" w:cs="Times New Roman"/>
          <w:color w:val="000000"/>
          <w:spacing w:val="-2"/>
          <w:sz w:val="18"/>
          <w:szCs w:val="18"/>
        </w:rPr>
        <w:t>s</w:t>
      </w:r>
      <w:r w:rsidRPr="00E924A3">
        <w:rPr>
          <w:rFonts w:ascii="Times New Roman" w:hAnsi="Times New Roman" w:cs="Times New Roman"/>
          <w:spacing w:val="-2"/>
          <w:sz w:val="18"/>
          <w:szCs w:val="18"/>
        </w:rPr>
        <w:t xml:space="preserve"> Vorgehen für zulässig aus folgenden Erwägungen:</w:t>
      </w:r>
    </w:p>
    <w:p w14:paraId="44A51218" w14:textId="77777777"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cs="Times New Roman"/>
          <w:spacing w:val="-2"/>
          <w:sz w:val="18"/>
          <w:szCs w:val="18"/>
        </w:rPr>
      </w:pPr>
      <w:r w:rsidRPr="00E924A3">
        <w:rPr>
          <w:rFonts w:ascii="Times New Roman" w:hAnsi="Times New Roman" w:cs="Times New Roman"/>
          <w:spacing w:val="-2"/>
          <w:sz w:val="18"/>
          <w:szCs w:val="18"/>
          <w:u w:val="single"/>
        </w:rPr>
        <w:t xml:space="preserve">1. </w:t>
      </w:r>
      <w:r w:rsidRPr="00E924A3">
        <w:rPr>
          <w:rFonts w:ascii="Times New Roman" w:hAnsi="Times New Roman" w:cs="Times New Roman"/>
          <w:spacing w:val="-2"/>
          <w:sz w:val="18"/>
          <w:szCs w:val="18"/>
          <w:u w:val="single"/>
        </w:rPr>
        <w:tab/>
        <w:t>Kein Verstoß gegen die §§ 163a IV, 136 StPO:</w:t>
      </w:r>
      <w:r w:rsidRPr="00E924A3">
        <w:rPr>
          <w:rFonts w:ascii="Times New Roman" w:hAnsi="Times New Roman" w:cs="Times New Roman"/>
          <w:spacing w:val="-2"/>
          <w:sz w:val="18"/>
          <w:szCs w:val="18"/>
        </w:rPr>
        <w:t xml:space="preserve"> Es lag nach dem formellen Vernehmungsbegriff keine Vernehmung vor</w:t>
      </w:r>
      <w:r w:rsidR="00F128C6" w:rsidRPr="00E924A3">
        <w:rPr>
          <w:rFonts w:ascii="Times New Roman" w:hAnsi="Times New Roman" w:cs="Times New Roman"/>
          <w:spacing w:val="-2"/>
          <w:sz w:val="18"/>
          <w:szCs w:val="18"/>
        </w:rPr>
        <w:t>.</w:t>
      </w:r>
    </w:p>
    <w:p w14:paraId="0BB3EC27" w14:textId="77777777"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cs="Times New Roman"/>
          <w:spacing w:val="-2"/>
          <w:sz w:val="18"/>
          <w:szCs w:val="18"/>
        </w:rPr>
      </w:pPr>
      <w:r w:rsidRPr="00E924A3">
        <w:rPr>
          <w:rFonts w:ascii="Times New Roman" w:hAnsi="Times New Roman" w:cs="Times New Roman"/>
          <w:spacing w:val="-2"/>
          <w:sz w:val="18"/>
          <w:szCs w:val="18"/>
          <w:u w:val="single"/>
        </w:rPr>
        <w:t xml:space="preserve">2. </w:t>
      </w:r>
      <w:r w:rsidRPr="00E924A3">
        <w:rPr>
          <w:rFonts w:ascii="Times New Roman" w:hAnsi="Times New Roman" w:cs="Times New Roman"/>
          <w:spacing w:val="-2"/>
          <w:sz w:val="18"/>
          <w:szCs w:val="18"/>
          <w:u w:val="single"/>
        </w:rPr>
        <w:tab/>
        <w:t>Kein Verstoß gegen die §§ 163a IV, 136 StPO analog:</w:t>
      </w:r>
      <w:r w:rsidRPr="00E924A3">
        <w:rPr>
          <w:rFonts w:ascii="Times New Roman" w:hAnsi="Times New Roman" w:cs="Times New Roman"/>
          <w:spacing w:val="-2"/>
          <w:sz w:val="18"/>
          <w:szCs w:val="18"/>
        </w:rPr>
        <w:t xml:space="preserve"> Die Belehrung soll den Beschuldigten nur davor bewahren, sich zu einer Aussage verpflichtet zu fühlen</w:t>
      </w:r>
      <w:r w:rsidR="00F128C6" w:rsidRPr="00E924A3">
        <w:rPr>
          <w:rFonts w:ascii="Times New Roman" w:hAnsi="Times New Roman" w:cs="Times New Roman"/>
          <w:spacing w:val="-2"/>
          <w:sz w:val="18"/>
          <w:szCs w:val="18"/>
        </w:rPr>
        <w:t>.</w:t>
      </w:r>
    </w:p>
    <w:p w14:paraId="107747F2" w14:textId="77777777"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cs="Times New Roman"/>
          <w:spacing w:val="-2"/>
          <w:sz w:val="18"/>
          <w:szCs w:val="18"/>
        </w:rPr>
      </w:pPr>
      <w:r w:rsidRPr="00E924A3">
        <w:rPr>
          <w:rFonts w:ascii="Times New Roman" w:hAnsi="Times New Roman" w:cs="Times New Roman"/>
          <w:spacing w:val="-2"/>
          <w:sz w:val="18"/>
          <w:szCs w:val="18"/>
          <w:u w:val="single"/>
        </w:rPr>
        <w:t xml:space="preserve">3. </w:t>
      </w:r>
      <w:r w:rsidRPr="00E924A3">
        <w:rPr>
          <w:rFonts w:ascii="Times New Roman" w:hAnsi="Times New Roman" w:cs="Times New Roman"/>
          <w:spacing w:val="-2"/>
          <w:sz w:val="18"/>
          <w:szCs w:val="18"/>
          <w:u w:val="single"/>
        </w:rPr>
        <w:tab/>
        <w:t>Kein Verstoß gegen die §§ 163a IV, 136a I StPO:</w:t>
      </w:r>
      <w:r w:rsidRPr="00E924A3">
        <w:rPr>
          <w:rFonts w:ascii="Times New Roman" w:hAnsi="Times New Roman" w:cs="Times New Roman"/>
          <w:spacing w:val="-2"/>
          <w:sz w:val="18"/>
          <w:szCs w:val="18"/>
        </w:rPr>
        <w:t xml:space="preserve"> Es lag nach dem formellen Vernehmungsbegriff keine Vernehmung vor</w:t>
      </w:r>
      <w:r w:rsidR="00F128C6" w:rsidRPr="00E924A3">
        <w:rPr>
          <w:rFonts w:ascii="Times New Roman" w:hAnsi="Times New Roman" w:cs="Times New Roman"/>
          <w:spacing w:val="-2"/>
          <w:sz w:val="18"/>
          <w:szCs w:val="18"/>
        </w:rPr>
        <w:t>.</w:t>
      </w:r>
    </w:p>
    <w:p w14:paraId="4B0FD618" w14:textId="77777777"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cs="Times New Roman"/>
          <w:spacing w:val="-2"/>
          <w:sz w:val="18"/>
          <w:szCs w:val="18"/>
        </w:rPr>
      </w:pPr>
      <w:r w:rsidRPr="00E924A3">
        <w:rPr>
          <w:rFonts w:ascii="Times New Roman" w:hAnsi="Times New Roman" w:cs="Times New Roman"/>
          <w:spacing w:val="-2"/>
          <w:sz w:val="18"/>
          <w:szCs w:val="18"/>
          <w:u w:val="single"/>
        </w:rPr>
        <w:t xml:space="preserve">4. </w:t>
      </w:r>
      <w:r w:rsidRPr="00E924A3">
        <w:rPr>
          <w:rFonts w:ascii="Times New Roman" w:hAnsi="Times New Roman" w:cs="Times New Roman"/>
          <w:spacing w:val="-2"/>
          <w:sz w:val="18"/>
          <w:szCs w:val="18"/>
          <w:u w:val="single"/>
        </w:rPr>
        <w:tab/>
        <w:t>Kein Verstoß gegen die §§ 163a IV, 136a I StPO analog:</w:t>
      </w:r>
      <w:r w:rsidRPr="00E924A3">
        <w:rPr>
          <w:rFonts w:ascii="Times New Roman" w:hAnsi="Times New Roman" w:cs="Times New Roman"/>
          <w:spacing w:val="-2"/>
          <w:sz w:val="18"/>
          <w:szCs w:val="18"/>
        </w:rPr>
        <w:t xml:space="preserve"> Der Begriff der Täuschung ist eng auszulegen</w:t>
      </w:r>
      <w:r w:rsidR="00F128C6" w:rsidRPr="00E924A3">
        <w:rPr>
          <w:rFonts w:ascii="Times New Roman" w:hAnsi="Times New Roman" w:cs="Times New Roman"/>
          <w:spacing w:val="-2"/>
          <w:sz w:val="18"/>
          <w:szCs w:val="18"/>
        </w:rPr>
        <w:t>.</w:t>
      </w:r>
    </w:p>
    <w:p w14:paraId="399545FD" w14:textId="77777777"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cs="Times New Roman"/>
          <w:spacing w:val="-2"/>
          <w:sz w:val="18"/>
          <w:szCs w:val="18"/>
        </w:rPr>
      </w:pPr>
      <w:r w:rsidRPr="00E924A3">
        <w:rPr>
          <w:rFonts w:ascii="Times New Roman" w:hAnsi="Times New Roman" w:cs="Times New Roman"/>
          <w:spacing w:val="-2"/>
          <w:sz w:val="18"/>
          <w:szCs w:val="18"/>
          <w:u w:val="single"/>
        </w:rPr>
        <w:t xml:space="preserve">5. </w:t>
      </w:r>
      <w:r w:rsidRPr="00E924A3">
        <w:rPr>
          <w:rFonts w:ascii="Times New Roman" w:hAnsi="Times New Roman" w:cs="Times New Roman"/>
          <w:spacing w:val="-2"/>
          <w:sz w:val="18"/>
          <w:szCs w:val="18"/>
          <w:u w:val="single"/>
        </w:rPr>
        <w:tab/>
        <w:t>Kein Verfahrensfehler wegen Heimlichkeit de</w:t>
      </w:r>
      <w:r w:rsidR="00AE7D94">
        <w:rPr>
          <w:rFonts w:ascii="Times New Roman" w:hAnsi="Times New Roman" w:cs="Times New Roman"/>
          <w:spacing w:val="-2"/>
          <w:sz w:val="18"/>
          <w:szCs w:val="18"/>
          <w:u w:val="single"/>
        </w:rPr>
        <w:t>r</w:t>
      </w:r>
      <w:r w:rsidRPr="00E924A3">
        <w:rPr>
          <w:rFonts w:ascii="Times New Roman" w:hAnsi="Times New Roman" w:cs="Times New Roman"/>
          <w:spacing w:val="-2"/>
          <w:sz w:val="18"/>
          <w:szCs w:val="18"/>
          <w:u w:val="single"/>
        </w:rPr>
        <w:t xml:space="preserve"> Maßnahme:</w:t>
      </w:r>
      <w:r w:rsidRPr="00E924A3">
        <w:rPr>
          <w:rFonts w:ascii="Times New Roman" w:hAnsi="Times New Roman" w:cs="Times New Roman"/>
          <w:spacing w:val="-2"/>
          <w:sz w:val="18"/>
          <w:szCs w:val="18"/>
        </w:rPr>
        <w:t xml:space="preserve"> Die StPO verbietet ein heimliches Vorgehen nicht generell.</w:t>
      </w:r>
    </w:p>
    <w:p w14:paraId="2EAACAA3" w14:textId="77777777"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cs="Times New Roman"/>
          <w:spacing w:val="-2"/>
          <w:sz w:val="18"/>
          <w:szCs w:val="18"/>
        </w:rPr>
      </w:pPr>
      <w:r w:rsidRPr="00E924A3">
        <w:rPr>
          <w:rFonts w:ascii="Times New Roman" w:hAnsi="Times New Roman" w:cs="Times New Roman"/>
          <w:spacing w:val="-2"/>
          <w:sz w:val="18"/>
          <w:szCs w:val="18"/>
          <w:u w:val="single"/>
        </w:rPr>
        <w:t xml:space="preserve">6. </w:t>
      </w:r>
      <w:r w:rsidRPr="00E924A3">
        <w:rPr>
          <w:rFonts w:ascii="Times New Roman" w:hAnsi="Times New Roman" w:cs="Times New Roman"/>
          <w:spacing w:val="-2"/>
          <w:sz w:val="18"/>
          <w:szCs w:val="18"/>
          <w:u w:val="single"/>
        </w:rPr>
        <w:tab/>
        <w:t>Kein Verstoß gegen die §§ 100a, </w:t>
      </w:r>
      <w:r w:rsidR="00E90658">
        <w:rPr>
          <w:rFonts w:ascii="Times New Roman" w:hAnsi="Times New Roman" w:cs="Times New Roman"/>
          <w:spacing w:val="-2"/>
          <w:sz w:val="18"/>
          <w:szCs w:val="18"/>
          <w:u w:val="single"/>
        </w:rPr>
        <w:t>b</w:t>
      </w:r>
      <w:r w:rsidRPr="00E924A3">
        <w:rPr>
          <w:rFonts w:ascii="Times New Roman" w:hAnsi="Times New Roman" w:cs="Times New Roman"/>
          <w:spacing w:val="-2"/>
          <w:sz w:val="18"/>
          <w:szCs w:val="18"/>
          <w:u w:val="single"/>
        </w:rPr>
        <w:t> StPO:</w:t>
      </w:r>
      <w:r w:rsidRPr="00E924A3">
        <w:rPr>
          <w:rFonts w:ascii="Times New Roman" w:hAnsi="Times New Roman" w:cs="Times New Roman"/>
          <w:spacing w:val="-2"/>
          <w:sz w:val="18"/>
          <w:szCs w:val="18"/>
        </w:rPr>
        <w:t xml:space="preserve"> Diese setzen einen technischen Eingriff voraus</w:t>
      </w:r>
      <w:r w:rsidR="00F128C6" w:rsidRPr="00E924A3">
        <w:rPr>
          <w:rFonts w:ascii="Times New Roman" w:hAnsi="Times New Roman" w:cs="Times New Roman"/>
          <w:spacing w:val="-2"/>
          <w:sz w:val="18"/>
          <w:szCs w:val="18"/>
        </w:rPr>
        <w:t>.</w:t>
      </w:r>
    </w:p>
    <w:p w14:paraId="692C8CE1" w14:textId="77777777"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cs="Times New Roman"/>
          <w:spacing w:val="-2"/>
          <w:sz w:val="18"/>
          <w:szCs w:val="18"/>
        </w:rPr>
      </w:pPr>
      <w:r w:rsidRPr="00E924A3">
        <w:rPr>
          <w:rFonts w:ascii="Times New Roman" w:hAnsi="Times New Roman" w:cs="Times New Roman"/>
          <w:spacing w:val="-2"/>
          <w:sz w:val="18"/>
          <w:szCs w:val="18"/>
          <w:u w:val="single"/>
        </w:rPr>
        <w:t xml:space="preserve">7. </w:t>
      </w:r>
      <w:r w:rsidRPr="00E924A3">
        <w:rPr>
          <w:rFonts w:ascii="Times New Roman" w:hAnsi="Times New Roman" w:cs="Times New Roman"/>
          <w:spacing w:val="-2"/>
          <w:sz w:val="18"/>
          <w:szCs w:val="18"/>
          <w:u w:val="single"/>
        </w:rPr>
        <w:tab/>
        <w:t>Kein Verstoß gegen den Nemo-tenetur-Grundsatz:</w:t>
      </w:r>
      <w:r w:rsidRPr="00E924A3">
        <w:rPr>
          <w:rFonts w:ascii="Times New Roman" w:hAnsi="Times New Roman" w:cs="Times New Roman"/>
          <w:spacing w:val="-2"/>
          <w:sz w:val="18"/>
          <w:szCs w:val="18"/>
        </w:rPr>
        <w:t xml:space="preserve"> Dieser beinhaltet nur die Freiheit von Zwang, nicht aber von Täuschungen</w:t>
      </w:r>
      <w:r w:rsidR="00F128C6" w:rsidRPr="00E924A3">
        <w:rPr>
          <w:rFonts w:ascii="Times New Roman" w:hAnsi="Times New Roman" w:cs="Times New Roman"/>
          <w:spacing w:val="-2"/>
          <w:sz w:val="18"/>
          <w:szCs w:val="18"/>
        </w:rPr>
        <w:t>.</w:t>
      </w:r>
    </w:p>
    <w:p w14:paraId="6D258062" w14:textId="77777777"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cs="Times New Roman"/>
          <w:spacing w:val="-2"/>
          <w:sz w:val="18"/>
          <w:szCs w:val="18"/>
        </w:rPr>
      </w:pPr>
      <w:r w:rsidRPr="00E924A3">
        <w:rPr>
          <w:rFonts w:ascii="Times New Roman" w:hAnsi="Times New Roman" w:cs="Times New Roman"/>
          <w:spacing w:val="-2"/>
          <w:sz w:val="18"/>
          <w:szCs w:val="18"/>
          <w:u w:val="single"/>
        </w:rPr>
        <w:t xml:space="preserve">8. </w:t>
      </w:r>
      <w:r w:rsidRPr="00E924A3">
        <w:rPr>
          <w:rFonts w:ascii="Times New Roman" w:hAnsi="Times New Roman" w:cs="Times New Roman"/>
          <w:spacing w:val="-2"/>
          <w:sz w:val="18"/>
          <w:szCs w:val="18"/>
          <w:u w:val="single"/>
        </w:rPr>
        <w:tab/>
        <w:t>Kein Beweisverwertungsverbot aus dem Rechtsstaatsprinzip im Wege einer Gesamtabwägung:</w:t>
      </w:r>
      <w:r w:rsidRPr="00E924A3">
        <w:rPr>
          <w:rFonts w:ascii="Times New Roman" w:hAnsi="Times New Roman" w:cs="Times New Roman"/>
          <w:spacing w:val="-2"/>
          <w:sz w:val="18"/>
          <w:szCs w:val="18"/>
        </w:rPr>
        <w:t xml:space="preserve"> Die Interessen des Beschuldigten (hier: Allgemeines Persönlichkeitsrecht und Grundsatz des fair trial) sind ins Verhältnis zu setzen mit den staatlichen Interessen an der Strafverfolgung. Daraus ergibt sich, dass die staatlichen Interessen dann überwiegen, wenn:</w:t>
      </w:r>
    </w:p>
    <w:p w14:paraId="52BB17FA" w14:textId="77777777" w:rsidR="007C65C9" w:rsidRPr="00E924A3" w:rsidRDefault="007C65C9" w:rsidP="007C65C9">
      <w:pPr>
        <w:widowControl/>
        <w:tabs>
          <w:tab w:val="left" w:pos="-720"/>
          <w:tab w:val="left" w:pos="851"/>
          <w:tab w:val="left" w:pos="1116"/>
          <w:tab w:val="left" w:pos="1404"/>
          <w:tab w:val="left" w:pos="1692"/>
          <w:tab w:val="left" w:pos="1980"/>
          <w:tab w:val="left" w:pos="2268"/>
          <w:tab w:val="left" w:pos="2880"/>
        </w:tabs>
        <w:ind w:left="851" w:hanging="284"/>
        <w:jc w:val="both"/>
        <w:rPr>
          <w:rFonts w:ascii="Times New Roman" w:hAnsi="Times New Roman" w:cs="Times New Roman"/>
          <w:spacing w:val="-2"/>
          <w:sz w:val="18"/>
          <w:szCs w:val="18"/>
        </w:rPr>
      </w:pPr>
      <w:r w:rsidRPr="00E924A3">
        <w:rPr>
          <w:rFonts w:ascii="Times New Roman" w:hAnsi="Times New Roman" w:cs="Times New Roman"/>
          <w:spacing w:val="-2"/>
          <w:sz w:val="18"/>
          <w:szCs w:val="18"/>
        </w:rPr>
        <w:t xml:space="preserve">– </w:t>
      </w:r>
      <w:r w:rsidRPr="00E924A3">
        <w:rPr>
          <w:rFonts w:ascii="Times New Roman" w:hAnsi="Times New Roman" w:cs="Times New Roman"/>
          <w:spacing w:val="-2"/>
          <w:sz w:val="18"/>
          <w:szCs w:val="18"/>
        </w:rPr>
        <w:tab/>
        <w:t>eine Straftat von erheblicher Bedeutung vorliegt und</w:t>
      </w:r>
    </w:p>
    <w:p w14:paraId="6E93ACB5" w14:textId="77777777" w:rsidR="007C65C9" w:rsidRPr="00E924A3" w:rsidRDefault="007C65C9" w:rsidP="007C65C9">
      <w:pPr>
        <w:widowControl/>
        <w:tabs>
          <w:tab w:val="left" w:pos="-720"/>
          <w:tab w:val="left" w:pos="864"/>
          <w:tab w:val="left" w:pos="993"/>
          <w:tab w:val="left" w:pos="1116"/>
          <w:tab w:val="left" w:pos="1404"/>
          <w:tab w:val="left" w:pos="1692"/>
          <w:tab w:val="left" w:pos="1980"/>
          <w:tab w:val="left" w:pos="2268"/>
          <w:tab w:val="left" w:pos="2880"/>
        </w:tabs>
        <w:ind w:left="851" w:hanging="284"/>
        <w:jc w:val="both"/>
        <w:rPr>
          <w:rFonts w:ascii="Times New Roman" w:hAnsi="Times New Roman" w:cs="Times New Roman"/>
          <w:spacing w:val="-2"/>
          <w:sz w:val="18"/>
          <w:szCs w:val="18"/>
        </w:rPr>
      </w:pPr>
      <w:r w:rsidRPr="00E924A3">
        <w:rPr>
          <w:rFonts w:ascii="Times New Roman" w:hAnsi="Times New Roman" w:cs="Times New Roman"/>
          <w:spacing w:val="-2"/>
          <w:sz w:val="18"/>
          <w:szCs w:val="18"/>
        </w:rPr>
        <w:t xml:space="preserve">– </w:t>
      </w:r>
      <w:r w:rsidRPr="00E924A3">
        <w:rPr>
          <w:rFonts w:ascii="Times New Roman" w:hAnsi="Times New Roman" w:cs="Times New Roman"/>
          <w:spacing w:val="-2"/>
          <w:sz w:val="18"/>
          <w:szCs w:val="18"/>
        </w:rPr>
        <w:tab/>
        <w:t>der Einsatz anderer Ermittlungsmethoden erheblich weniger Erfolg versprechend oder wesentlich erschwert ist.</w:t>
      </w:r>
    </w:p>
    <w:p w14:paraId="32558242" w14:textId="77777777"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cs="Times New Roman"/>
          <w:spacing w:val="-2"/>
          <w:sz w:val="18"/>
          <w:szCs w:val="18"/>
        </w:rPr>
      </w:pPr>
      <w:r w:rsidRPr="00E924A3">
        <w:rPr>
          <w:rFonts w:ascii="Times New Roman" w:hAnsi="Times New Roman" w:cs="Times New Roman"/>
          <w:spacing w:val="-2"/>
          <w:sz w:val="18"/>
          <w:szCs w:val="18"/>
        </w:rPr>
        <w:tab/>
        <w:t>Nach diesen Grundsätzen lag hier wiederum kein Verstoß vor.</w:t>
      </w:r>
    </w:p>
    <w:p w14:paraId="1572E40A" w14:textId="16AFDE46"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cs="Times New Roman"/>
          <w:spacing w:val="-2"/>
          <w:sz w:val="18"/>
          <w:szCs w:val="18"/>
        </w:rPr>
      </w:pPr>
      <w:r w:rsidRPr="00E924A3">
        <w:rPr>
          <w:rFonts w:ascii="Times New Roman" w:hAnsi="Times New Roman" w:cs="Times New Roman"/>
          <w:b/>
          <w:spacing w:val="-2"/>
          <w:sz w:val="18"/>
          <w:szCs w:val="18"/>
        </w:rPr>
        <w:t>III.</w:t>
      </w:r>
      <w:r w:rsidRPr="00E924A3">
        <w:rPr>
          <w:rFonts w:ascii="Times New Roman" w:hAnsi="Times New Roman" w:cs="Times New Roman"/>
          <w:b/>
          <w:spacing w:val="-2"/>
          <w:sz w:val="18"/>
          <w:szCs w:val="18"/>
        </w:rPr>
        <w:tab/>
        <w:t>Ansicht des EGMR:</w:t>
      </w:r>
      <w:r w:rsidRPr="00E924A3">
        <w:rPr>
          <w:rFonts w:ascii="Times New Roman" w:hAnsi="Times New Roman" w:cs="Times New Roman"/>
          <w:spacing w:val="-2"/>
          <w:sz w:val="18"/>
          <w:szCs w:val="18"/>
        </w:rPr>
        <w:t xml:space="preserve"> </w:t>
      </w:r>
      <w:r w:rsidRPr="00E924A3">
        <w:rPr>
          <w:rFonts w:ascii="Times New Roman" w:hAnsi="Times New Roman" w:cs="Times New Roman"/>
          <w:sz w:val="18"/>
          <w:szCs w:val="18"/>
        </w:rPr>
        <w:t xml:space="preserve">Der </w:t>
      </w:r>
      <w:r w:rsidRPr="00E924A3">
        <w:rPr>
          <w:rFonts w:ascii="Times New Roman" w:hAnsi="Times New Roman" w:cs="Times New Roman"/>
          <w:b/>
          <w:sz w:val="18"/>
          <w:szCs w:val="18"/>
        </w:rPr>
        <w:t xml:space="preserve">EGMR </w:t>
      </w:r>
      <w:r w:rsidR="00CC6C56">
        <w:rPr>
          <w:rFonts w:ascii="Times New Roman" w:hAnsi="Times New Roman" w:cs="Times New Roman"/>
          <w:b/>
          <w:sz w:val="18"/>
          <w:szCs w:val="18"/>
        </w:rPr>
        <w:t xml:space="preserve">(EGMR </w:t>
      </w:r>
      <w:r w:rsidR="00294EA1">
        <w:rPr>
          <w:rFonts w:ascii="Times New Roman" w:hAnsi="Times New Roman" w:cs="Times New Roman"/>
          <w:b/>
          <w:spacing w:val="-2"/>
          <w:sz w:val="18"/>
          <w:szCs w:val="18"/>
        </w:rPr>
        <w:t>StV 2003, 257</w:t>
      </w:r>
      <w:r w:rsidR="00CC6C56">
        <w:rPr>
          <w:rFonts w:ascii="Times New Roman" w:hAnsi="Times New Roman" w:cs="Times New Roman"/>
          <w:b/>
          <w:spacing w:val="-2"/>
          <w:sz w:val="18"/>
          <w:szCs w:val="18"/>
        </w:rPr>
        <w:t xml:space="preserve"> – </w:t>
      </w:r>
      <w:proofErr w:type="spellStart"/>
      <w:r w:rsidR="00CC6C56">
        <w:rPr>
          <w:rFonts w:ascii="Times New Roman" w:hAnsi="Times New Roman" w:cs="Times New Roman"/>
          <w:b/>
          <w:spacing w:val="-2"/>
          <w:sz w:val="18"/>
          <w:szCs w:val="18"/>
        </w:rPr>
        <w:t>Allan</w:t>
      </w:r>
      <w:proofErr w:type="spellEnd"/>
      <w:r w:rsidR="00CC6C56">
        <w:rPr>
          <w:rFonts w:ascii="Times New Roman" w:hAnsi="Times New Roman" w:cs="Times New Roman"/>
          <w:b/>
          <w:spacing w:val="-2"/>
          <w:sz w:val="18"/>
          <w:szCs w:val="18"/>
        </w:rPr>
        <w:t>)</w:t>
      </w:r>
      <w:r w:rsidRPr="00E924A3">
        <w:rPr>
          <w:rFonts w:ascii="Times New Roman" w:hAnsi="Times New Roman" w:cs="Times New Roman"/>
          <w:sz w:val="18"/>
          <w:szCs w:val="18"/>
        </w:rPr>
        <w:t xml:space="preserve"> hat </w:t>
      </w:r>
      <w:r w:rsidR="00691743" w:rsidRPr="00E924A3">
        <w:rPr>
          <w:rFonts w:ascii="Times New Roman" w:hAnsi="Times New Roman" w:cs="Times New Roman"/>
          <w:sz w:val="18"/>
          <w:szCs w:val="18"/>
        </w:rPr>
        <w:t>hingegen in einem Fall, in dem sich der Beschuldigte zuvor ausdrücklich auf sein Schweigerecht berufen hat</w:t>
      </w:r>
      <w:r w:rsidR="00BD2FF2">
        <w:rPr>
          <w:rFonts w:ascii="Times New Roman" w:hAnsi="Times New Roman" w:cs="Times New Roman"/>
          <w:sz w:val="18"/>
          <w:szCs w:val="18"/>
        </w:rPr>
        <w:t>te</w:t>
      </w:r>
      <w:r w:rsidR="00691743" w:rsidRPr="00E924A3">
        <w:rPr>
          <w:rFonts w:ascii="Times New Roman" w:hAnsi="Times New Roman" w:cs="Times New Roman"/>
          <w:sz w:val="18"/>
          <w:szCs w:val="18"/>
        </w:rPr>
        <w:t xml:space="preserve">, </w:t>
      </w:r>
      <w:r w:rsidRPr="00E924A3">
        <w:rPr>
          <w:rFonts w:ascii="Times New Roman" w:hAnsi="Times New Roman" w:cs="Times New Roman"/>
          <w:sz w:val="18"/>
          <w:szCs w:val="18"/>
        </w:rPr>
        <w:t xml:space="preserve">festgestellt, dass das Recht zu schweigen und der </w:t>
      </w:r>
      <w:r w:rsidRPr="00E924A3">
        <w:rPr>
          <w:rFonts w:ascii="Times New Roman" w:hAnsi="Times New Roman" w:cs="Times New Roman"/>
          <w:b/>
          <w:sz w:val="18"/>
          <w:szCs w:val="18"/>
        </w:rPr>
        <w:t>Schutz vor Selbstbelastung</w:t>
      </w:r>
      <w:r w:rsidRPr="00E924A3">
        <w:rPr>
          <w:rFonts w:ascii="Times New Roman" w:hAnsi="Times New Roman" w:cs="Times New Roman"/>
          <w:sz w:val="18"/>
          <w:szCs w:val="18"/>
        </w:rPr>
        <w:t xml:space="preserve"> zwar in erster Linie dazu dienen, den Beschuldigten gegen unzulässigen Zwang der Behörden und die Erlangung von Beweisen durch Methoden des Drucks zu schützen; jedoch sei „der Anwendungsbereich des Rechts nicht auf Fälle beschränkt, in denen der Beschuldigte Zwang widerstehen musste“. Das </w:t>
      </w:r>
      <w:r w:rsidR="00F128C6" w:rsidRPr="00E924A3">
        <w:rPr>
          <w:rFonts w:ascii="Times New Roman" w:hAnsi="Times New Roman" w:cs="Times New Roman"/>
          <w:sz w:val="18"/>
          <w:szCs w:val="18"/>
        </w:rPr>
        <w:t>Schweiger</w:t>
      </w:r>
      <w:r w:rsidRPr="00E924A3">
        <w:rPr>
          <w:rFonts w:ascii="Times New Roman" w:hAnsi="Times New Roman" w:cs="Times New Roman"/>
          <w:sz w:val="18"/>
          <w:szCs w:val="18"/>
        </w:rPr>
        <w:t xml:space="preserve">echt, das zum Kernbereich des fairen Verfahrens gehört, diene prinzipiell der Freiheit einer verdächtigen Person zu entscheiden, ob sie in Polizeibefragungen aussagen oder schweigen wolle. Der EGMR scheint also einen weiteren Anwendungsbereich des Grundsatzes anzunehmen, welcher grundsätzlich auch die </w:t>
      </w:r>
      <w:r w:rsidRPr="00E924A3">
        <w:rPr>
          <w:rFonts w:ascii="Times New Roman" w:hAnsi="Times New Roman" w:cs="Times New Roman"/>
          <w:b/>
          <w:sz w:val="18"/>
          <w:szCs w:val="18"/>
        </w:rPr>
        <w:t>Täuschung</w:t>
      </w:r>
      <w:r w:rsidRPr="00E924A3">
        <w:rPr>
          <w:rFonts w:ascii="Times New Roman" w:hAnsi="Times New Roman" w:cs="Times New Roman"/>
          <w:sz w:val="18"/>
          <w:szCs w:val="18"/>
        </w:rPr>
        <w:t xml:space="preserve"> umfasst. Er sieht den Schutz des Schweigerechts und der Selbstbelastungsfreiheit auch bei funktionalen </w:t>
      </w:r>
      <w:r w:rsidR="00691743" w:rsidRPr="00E924A3">
        <w:rPr>
          <w:rFonts w:ascii="Times New Roman" w:hAnsi="Times New Roman" w:cs="Times New Roman"/>
          <w:sz w:val="18"/>
          <w:szCs w:val="18"/>
        </w:rPr>
        <w:t xml:space="preserve">Äquivalenten zu förmlichen Beschuldigtenvernehmungen als einschlägig an. Ein solches funktionales Äquivalent kann bspw. bei Informanten, </w:t>
      </w:r>
      <w:r w:rsidR="008376BC" w:rsidRPr="00E924A3">
        <w:rPr>
          <w:rFonts w:ascii="Times New Roman" w:hAnsi="Times New Roman" w:cs="Times New Roman"/>
          <w:sz w:val="18"/>
          <w:szCs w:val="18"/>
        </w:rPr>
        <w:t>deren Handeln</w:t>
      </w:r>
      <w:r w:rsidR="00691743" w:rsidRPr="00E924A3">
        <w:rPr>
          <w:rFonts w:ascii="Times New Roman" w:hAnsi="Times New Roman" w:cs="Times New Roman"/>
          <w:sz w:val="18"/>
          <w:szCs w:val="18"/>
        </w:rPr>
        <w:t xml:space="preserve"> dem Staat zurechenbar </w:t>
      </w:r>
      <w:r w:rsidR="008376BC" w:rsidRPr="00E924A3">
        <w:rPr>
          <w:rFonts w:ascii="Times New Roman" w:hAnsi="Times New Roman" w:cs="Times New Roman"/>
          <w:sz w:val="18"/>
          <w:szCs w:val="18"/>
        </w:rPr>
        <w:t>ist,</w:t>
      </w:r>
      <w:r w:rsidR="00691743" w:rsidRPr="00E924A3">
        <w:rPr>
          <w:rFonts w:ascii="Times New Roman" w:hAnsi="Times New Roman" w:cs="Times New Roman"/>
          <w:sz w:val="18"/>
          <w:szCs w:val="18"/>
        </w:rPr>
        <w:t xml:space="preserve"> und bei der staatlichen Ausnutzung besonderer persönlicher Beziehungen vorliegen. </w:t>
      </w:r>
      <w:r w:rsidRPr="00E924A3">
        <w:rPr>
          <w:rFonts w:ascii="Times New Roman" w:hAnsi="Times New Roman" w:cs="Times New Roman"/>
          <w:sz w:val="18"/>
          <w:szCs w:val="18"/>
        </w:rPr>
        <w:t xml:space="preserve">Es ist </w:t>
      </w:r>
      <w:r w:rsidR="00691743" w:rsidRPr="00E924A3">
        <w:rPr>
          <w:rFonts w:ascii="Times New Roman" w:hAnsi="Times New Roman" w:cs="Times New Roman"/>
          <w:sz w:val="18"/>
          <w:szCs w:val="18"/>
        </w:rPr>
        <w:t xml:space="preserve">insgesamt </w:t>
      </w:r>
      <w:r w:rsidRPr="00E924A3">
        <w:rPr>
          <w:rFonts w:ascii="Times New Roman" w:hAnsi="Times New Roman" w:cs="Times New Roman"/>
          <w:sz w:val="18"/>
          <w:szCs w:val="18"/>
        </w:rPr>
        <w:t>fraglich</w:t>
      </w:r>
      <w:r w:rsidR="00BC14DB" w:rsidRPr="00E924A3">
        <w:rPr>
          <w:rFonts w:ascii="Times New Roman" w:hAnsi="Times New Roman" w:cs="Times New Roman"/>
          <w:sz w:val="18"/>
          <w:szCs w:val="18"/>
        </w:rPr>
        <w:t>,</w:t>
      </w:r>
      <w:r w:rsidRPr="00E924A3">
        <w:rPr>
          <w:rFonts w:ascii="Times New Roman" w:hAnsi="Times New Roman" w:cs="Times New Roman"/>
          <w:sz w:val="18"/>
          <w:szCs w:val="18"/>
        </w:rPr>
        <w:t xml:space="preserve"> ob der BGH den Fall „</w:t>
      </w:r>
      <w:proofErr w:type="spellStart"/>
      <w:r w:rsidRPr="00E924A3">
        <w:rPr>
          <w:rFonts w:ascii="Times New Roman" w:hAnsi="Times New Roman" w:cs="Times New Roman"/>
          <w:sz w:val="18"/>
          <w:szCs w:val="18"/>
        </w:rPr>
        <w:t>Hörfalle</w:t>
      </w:r>
      <w:proofErr w:type="spellEnd"/>
      <w:r w:rsidRPr="00E924A3">
        <w:rPr>
          <w:rFonts w:ascii="Times New Roman" w:hAnsi="Times New Roman" w:cs="Times New Roman"/>
          <w:sz w:val="18"/>
          <w:szCs w:val="18"/>
        </w:rPr>
        <w:t xml:space="preserve">“ heute noch genauso entscheiden würde. Der BGH hat selbst in einer </w:t>
      </w:r>
      <w:r w:rsidR="00923F6A">
        <w:rPr>
          <w:rFonts w:ascii="Times New Roman" w:hAnsi="Times New Roman" w:cs="Times New Roman"/>
          <w:sz w:val="18"/>
          <w:szCs w:val="18"/>
        </w:rPr>
        <w:t>späteren</w:t>
      </w:r>
      <w:r w:rsidR="00923F6A" w:rsidRPr="00E924A3">
        <w:rPr>
          <w:rFonts w:ascii="Times New Roman" w:hAnsi="Times New Roman" w:cs="Times New Roman"/>
          <w:sz w:val="18"/>
          <w:szCs w:val="18"/>
        </w:rPr>
        <w:t xml:space="preserve"> </w:t>
      </w:r>
      <w:r w:rsidRPr="00E924A3">
        <w:rPr>
          <w:rFonts w:ascii="Times New Roman" w:hAnsi="Times New Roman" w:cs="Times New Roman"/>
          <w:sz w:val="18"/>
          <w:szCs w:val="18"/>
        </w:rPr>
        <w:t>Entscheidung zur verdeckten Ermittlung (</w:t>
      </w:r>
      <w:r w:rsidRPr="00E924A3">
        <w:rPr>
          <w:rFonts w:ascii="Times New Roman" w:hAnsi="Times New Roman" w:cs="Times New Roman"/>
          <w:b/>
          <w:sz w:val="18"/>
          <w:szCs w:val="18"/>
        </w:rPr>
        <w:t>BGHSt 52, 11</w:t>
      </w:r>
      <w:r w:rsidRPr="00E924A3">
        <w:rPr>
          <w:rFonts w:ascii="Times New Roman" w:hAnsi="Times New Roman" w:cs="Times New Roman"/>
          <w:sz w:val="18"/>
          <w:szCs w:val="18"/>
        </w:rPr>
        <w:t xml:space="preserve">) den </w:t>
      </w:r>
      <w:r w:rsidRPr="00E924A3">
        <w:rPr>
          <w:rFonts w:ascii="Times New Roman" w:hAnsi="Times New Roman" w:cs="Times New Roman"/>
          <w:b/>
          <w:sz w:val="18"/>
          <w:szCs w:val="18"/>
        </w:rPr>
        <w:t>Nemo-tenetur-Grundsatz</w:t>
      </w:r>
      <w:r w:rsidRPr="00E924A3">
        <w:rPr>
          <w:rFonts w:ascii="Times New Roman" w:hAnsi="Times New Roman" w:cs="Times New Roman"/>
          <w:sz w:val="18"/>
          <w:szCs w:val="18"/>
        </w:rPr>
        <w:t xml:space="preserve"> bei der heimlichen Aufzeichnung eines Gesprächs zwischen Verdecktem Ermittler und dem Beschuldigten</w:t>
      </w:r>
      <w:r w:rsidR="00E924A3" w:rsidRPr="00E924A3">
        <w:rPr>
          <w:rFonts w:ascii="Times New Roman" w:hAnsi="Times New Roman" w:cs="Times New Roman"/>
          <w:sz w:val="18"/>
          <w:szCs w:val="18"/>
        </w:rPr>
        <w:t xml:space="preserve"> für verletzt angesehen</w:t>
      </w:r>
      <w:r w:rsidRPr="00E924A3">
        <w:rPr>
          <w:rFonts w:ascii="Times New Roman" w:hAnsi="Times New Roman" w:cs="Times New Roman"/>
          <w:sz w:val="18"/>
          <w:szCs w:val="18"/>
        </w:rPr>
        <w:t>. Hier lag der Fall aber insofern anders als bei der Hörfallen-Entscheidung, als der Beschuldigte zuvor mehrfach erklärt hatte, von seinem Schweigerecht Gebrauch machen zu wollen.</w:t>
      </w:r>
    </w:p>
    <w:p w14:paraId="73A300BD" w14:textId="277BBC41" w:rsidR="007C65C9" w:rsidRPr="00E924A3" w:rsidRDefault="007C65C9" w:rsidP="007C65C9">
      <w:pPr>
        <w:widowControl/>
        <w:tabs>
          <w:tab w:val="left" w:pos="-720"/>
          <w:tab w:val="left" w:pos="567"/>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cs="Times New Roman"/>
          <w:spacing w:val="-2"/>
          <w:sz w:val="18"/>
          <w:szCs w:val="18"/>
        </w:rPr>
      </w:pPr>
      <w:r w:rsidRPr="00E924A3">
        <w:rPr>
          <w:rFonts w:ascii="Times New Roman" w:hAnsi="Times New Roman" w:cs="Times New Roman"/>
          <w:b/>
          <w:spacing w:val="-2"/>
          <w:sz w:val="18"/>
          <w:szCs w:val="18"/>
        </w:rPr>
        <w:t>IV.</w:t>
      </w:r>
      <w:r w:rsidRPr="00E924A3">
        <w:rPr>
          <w:rFonts w:ascii="Times New Roman" w:hAnsi="Times New Roman" w:cs="Times New Roman"/>
          <w:b/>
          <w:spacing w:val="-2"/>
          <w:sz w:val="18"/>
          <w:szCs w:val="18"/>
        </w:rPr>
        <w:tab/>
        <w:t xml:space="preserve">Ansicht des BVerfG: </w:t>
      </w:r>
      <w:r w:rsidRPr="00E924A3">
        <w:rPr>
          <w:rFonts w:ascii="Times New Roman" w:hAnsi="Times New Roman" w:cs="Times New Roman"/>
          <w:spacing w:val="-2"/>
          <w:sz w:val="18"/>
          <w:szCs w:val="18"/>
        </w:rPr>
        <w:t xml:space="preserve">Auch das </w:t>
      </w:r>
      <w:r w:rsidRPr="00E924A3">
        <w:rPr>
          <w:rFonts w:ascii="Times New Roman" w:hAnsi="Times New Roman" w:cs="Times New Roman"/>
          <w:b/>
          <w:spacing w:val="-2"/>
          <w:sz w:val="18"/>
          <w:szCs w:val="18"/>
        </w:rPr>
        <w:t>BVerfG</w:t>
      </w:r>
      <w:r w:rsidRPr="00E924A3">
        <w:rPr>
          <w:rFonts w:ascii="Times New Roman" w:hAnsi="Times New Roman" w:cs="Times New Roman"/>
          <w:spacing w:val="-2"/>
          <w:sz w:val="18"/>
          <w:szCs w:val="18"/>
        </w:rPr>
        <w:t xml:space="preserve"> hat sich in einer Entscheidung (</w:t>
      </w:r>
      <w:r w:rsidRPr="00E924A3">
        <w:rPr>
          <w:rFonts w:ascii="Times New Roman" w:hAnsi="Times New Roman" w:cs="Times New Roman"/>
          <w:b/>
          <w:spacing w:val="-2"/>
          <w:sz w:val="18"/>
          <w:szCs w:val="18"/>
        </w:rPr>
        <w:t>BVerfGE 106, 28</w:t>
      </w:r>
      <w:r w:rsidRPr="00E924A3">
        <w:rPr>
          <w:rFonts w:ascii="Times New Roman" w:hAnsi="Times New Roman" w:cs="Times New Roman"/>
          <w:spacing w:val="-2"/>
          <w:sz w:val="18"/>
          <w:szCs w:val="18"/>
        </w:rPr>
        <w:t>) – allerdings lag ihr eine zivilrechtliche Streitigkeit zu Grunde – zur Frage der z</w:t>
      </w:r>
      <w:r w:rsidRPr="00E924A3">
        <w:rPr>
          <w:rFonts w:ascii="Times New Roman" w:hAnsi="Times New Roman" w:cs="Times New Roman"/>
          <w:sz w:val="18"/>
          <w:szCs w:val="18"/>
        </w:rPr>
        <w:t xml:space="preserve">ivilgerichtlichen Verwertung von Zeugenaussagen über den Inhalt von Telefongesprächen geäußert, die von den Zeugen über eine Mithörvorrichtung mit Wissen nur eines der Gesprächspartner mitverfolgt worden waren: Das </w:t>
      </w:r>
      <w:r w:rsidRPr="00E924A3">
        <w:rPr>
          <w:rFonts w:ascii="Times New Roman" w:hAnsi="Times New Roman" w:cs="Times New Roman"/>
          <w:b/>
          <w:sz w:val="18"/>
          <w:szCs w:val="18"/>
        </w:rPr>
        <w:t>Recht am gesprochenen Wort</w:t>
      </w:r>
      <w:r w:rsidRPr="00E924A3">
        <w:rPr>
          <w:rFonts w:ascii="Times New Roman" w:hAnsi="Times New Roman" w:cs="Times New Roman"/>
          <w:sz w:val="18"/>
          <w:szCs w:val="18"/>
        </w:rPr>
        <w:t xml:space="preserve"> sei Teil des </w:t>
      </w:r>
      <w:r w:rsidRPr="00E924A3">
        <w:rPr>
          <w:rFonts w:ascii="Times New Roman" w:hAnsi="Times New Roman" w:cs="Times New Roman"/>
          <w:b/>
          <w:sz w:val="18"/>
          <w:szCs w:val="18"/>
        </w:rPr>
        <w:t>Allgemeinen Persönlichkeitsrechts</w:t>
      </w:r>
      <w:r w:rsidRPr="00E924A3">
        <w:rPr>
          <w:rFonts w:ascii="Times New Roman" w:hAnsi="Times New Roman" w:cs="Times New Roman"/>
          <w:sz w:val="18"/>
          <w:szCs w:val="18"/>
        </w:rPr>
        <w:t xml:space="preserve"> und </w:t>
      </w:r>
      <w:r w:rsidR="00923F6A">
        <w:rPr>
          <w:rFonts w:ascii="Times New Roman" w:hAnsi="Times New Roman" w:cs="Times New Roman"/>
          <w:sz w:val="18"/>
          <w:szCs w:val="18"/>
        </w:rPr>
        <w:t>schütze</w:t>
      </w:r>
      <w:r w:rsidR="00923F6A" w:rsidRPr="00E924A3">
        <w:rPr>
          <w:rFonts w:ascii="Times New Roman" w:hAnsi="Times New Roman" w:cs="Times New Roman"/>
          <w:sz w:val="18"/>
          <w:szCs w:val="18"/>
        </w:rPr>
        <w:t xml:space="preserve"> </w:t>
      </w:r>
      <w:r w:rsidRPr="00E924A3">
        <w:rPr>
          <w:rFonts w:ascii="Times New Roman" w:hAnsi="Times New Roman" w:cs="Times New Roman"/>
          <w:sz w:val="18"/>
          <w:szCs w:val="18"/>
        </w:rPr>
        <w:t xml:space="preserve">auch davor, dass ein Gesprächsteilnehmer einen Dritten ohne Kenntnis des anderen (durch einen Zweithörer) mit einbezieht. Allein das allgemeine Interesse an einer funktionstüchtigen Straf- und Zivilrechtspflege setze sich im Rahmen der Abwägung nicht grundsätzlich gegen das Allgemeine Persönlichkeitsrecht durch. Vielmehr müssten weitere Aspekte hinzutreten, die ergeben, dass das Interesse an der Beweiserhebung trotz der Persönlichkeitsbeeinträchtigung schutzbedürftig </w:t>
      </w:r>
      <w:r w:rsidR="00923F6A">
        <w:rPr>
          <w:rFonts w:ascii="Times New Roman" w:hAnsi="Times New Roman" w:cs="Times New Roman"/>
          <w:sz w:val="18"/>
          <w:szCs w:val="18"/>
        </w:rPr>
        <w:t>ist</w:t>
      </w:r>
      <w:r w:rsidRPr="00E924A3">
        <w:rPr>
          <w:rFonts w:ascii="Times New Roman" w:hAnsi="Times New Roman" w:cs="Times New Roman"/>
          <w:sz w:val="18"/>
          <w:szCs w:val="18"/>
        </w:rPr>
        <w:t xml:space="preserve">. Dies </w:t>
      </w:r>
      <w:r w:rsidR="00923F6A">
        <w:rPr>
          <w:rFonts w:ascii="Times New Roman" w:hAnsi="Times New Roman" w:cs="Times New Roman"/>
          <w:sz w:val="18"/>
          <w:szCs w:val="18"/>
        </w:rPr>
        <w:t>könne</w:t>
      </w:r>
      <w:r w:rsidR="00923F6A" w:rsidRPr="00E924A3">
        <w:rPr>
          <w:rFonts w:ascii="Times New Roman" w:hAnsi="Times New Roman" w:cs="Times New Roman"/>
          <w:sz w:val="18"/>
          <w:szCs w:val="18"/>
        </w:rPr>
        <w:t xml:space="preserve"> </w:t>
      </w:r>
      <w:r w:rsidRPr="00E924A3">
        <w:rPr>
          <w:rFonts w:ascii="Times New Roman" w:hAnsi="Times New Roman" w:cs="Times New Roman"/>
          <w:sz w:val="18"/>
          <w:szCs w:val="18"/>
        </w:rPr>
        <w:t xml:space="preserve">bei der </w:t>
      </w:r>
      <w:r w:rsidRPr="00E924A3">
        <w:rPr>
          <w:rFonts w:ascii="Times New Roman" w:hAnsi="Times New Roman" w:cs="Times New Roman"/>
          <w:b/>
          <w:sz w:val="18"/>
          <w:szCs w:val="18"/>
        </w:rPr>
        <w:t>Aufklärung schwerer Straftaten</w:t>
      </w:r>
      <w:r w:rsidRPr="00E924A3">
        <w:rPr>
          <w:rFonts w:ascii="Times New Roman" w:hAnsi="Times New Roman" w:cs="Times New Roman"/>
          <w:sz w:val="18"/>
          <w:szCs w:val="18"/>
        </w:rPr>
        <w:t xml:space="preserve"> oder einer notwehrähnlichen Lage gelten. Allein das Interesse, sich ein Beweismittel für zivilrechtliche Ansprüche zu sichern, reiche nicht aus.</w:t>
      </w:r>
    </w:p>
    <w:p w14:paraId="4F6039D6" w14:textId="77777777" w:rsidR="007C65C9" w:rsidRPr="00D325B8" w:rsidRDefault="007C65C9" w:rsidP="007C65C9">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cs="Times New Roman"/>
          <w:b/>
          <w:spacing w:val="-2"/>
          <w:sz w:val="16"/>
        </w:rPr>
      </w:pPr>
    </w:p>
    <w:p w14:paraId="3997A53A" w14:textId="50F1CA47" w:rsidR="007C65C9" w:rsidRPr="00D325B8" w:rsidRDefault="007C65C9" w:rsidP="007C65C9">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cs="Times New Roman"/>
          <w:spacing w:val="-2"/>
          <w:sz w:val="16"/>
          <w:szCs w:val="20"/>
        </w:rPr>
      </w:pPr>
      <w:r w:rsidRPr="00D325B8">
        <w:rPr>
          <w:rFonts w:ascii="Times New Roman" w:hAnsi="Times New Roman" w:cs="Times New Roman"/>
          <w:b/>
          <w:spacing w:val="-2"/>
          <w:sz w:val="16"/>
        </w:rPr>
        <w:t>Literatur/Lehrbücher:</w:t>
      </w:r>
      <w:r w:rsidRPr="00D325B8">
        <w:rPr>
          <w:rFonts w:ascii="Times New Roman" w:hAnsi="Times New Roman" w:cs="Times New Roman"/>
          <w:b/>
          <w:spacing w:val="-2"/>
          <w:sz w:val="16"/>
          <w:szCs w:val="20"/>
        </w:rPr>
        <w:t xml:space="preserve"> </w:t>
      </w:r>
      <w:r w:rsidRPr="00D325B8">
        <w:rPr>
          <w:rFonts w:ascii="Times New Roman" w:hAnsi="Times New Roman" w:cs="Times New Roman"/>
          <w:b/>
          <w:spacing w:val="-2"/>
          <w:sz w:val="16"/>
          <w:szCs w:val="20"/>
        </w:rPr>
        <w:tab/>
      </w:r>
      <w:r w:rsidR="0061028A" w:rsidRPr="00D325B8">
        <w:rPr>
          <w:rFonts w:ascii="Times New Roman" w:hAnsi="Times New Roman" w:cs="Times New Roman"/>
          <w:i/>
          <w:spacing w:val="-2"/>
          <w:sz w:val="16"/>
          <w:szCs w:val="20"/>
        </w:rPr>
        <w:t>Heinrich/Reinbacher</w:t>
      </w:r>
      <w:r w:rsidR="0061028A" w:rsidRPr="00D325B8">
        <w:rPr>
          <w:rFonts w:ascii="Times New Roman" w:hAnsi="Times New Roman" w:cs="Times New Roman"/>
          <w:spacing w:val="-2"/>
          <w:sz w:val="16"/>
          <w:szCs w:val="20"/>
        </w:rPr>
        <w:t>, Examinatorium Strafprozessrecht,</w:t>
      </w:r>
      <w:r w:rsidR="00FD45A7" w:rsidRPr="00FD45A7">
        <w:rPr>
          <w:rFonts w:ascii="Times New Roman" w:hAnsi="Times New Roman"/>
          <w:spacing w:val="-2"/>
          <w:sz w:val="14"/>
          <w:szCs w:val="16"/>
        </w:rPr>
        <w:t xml:space="preserve"> </w:t>
      </w:r>
      <w:r w:rsidR="00A0130A">
        <w:rPr>
          <w:rFonts w:ascii="Times New Roman" w:hAnsi="Times New Roman"/>
          <w:spacing w:val="-2"/>
          <w:sz w:val="16"/>
          <w:szCs w:val="16"/>
        </w:rPr>
        <w:t>4</w:t>
      </w:r>
      <w:r w:rsidR="00FD45A7" w:rsidRPr="000335C8">
        <w:rPr>
          <w:rFonts w:ascii="Times New Roman" w:hAnsi="Times New Roman"/>
          <w:spacing w:val="-2"/>
          <w:sz w:val="16"/>
          <w:szCs w:val="16"/>
        </w:rPr>
        <w:t>. Auflage 20</w:t>
      </w:r>
      <w:r w:rsidR="001C70CC">
        <w:rPr>
          <w:rFonts w:ascii="Times New Roman" w:hAnsi="Times New Roman"/>
          <w:spacing w:val="-2"/>
          <w:sz w:val="16"/>
          <w:szCs w:val="16"/>
        </w:rPr>
        <w:t>2</w:t>
      </w:r>
      <w:r w:rsidR="00A0130A">
        <w:rPr>
          <w:rFonts w:ascii="Times New Roman" w:hAnsi="Times New Roman"/>
          <w:spacing w:val="-2"/>
          <w:sz w:val="16"/>
          <w:szCs w:val="16"/>
        </w:rPr>
        <w:t>3</w:t>
      </w:r>
      <w:r w:rsidR="00FD45A7" w:rsidRPr="000335C8">
        <w:rPr>
          <w:rFonts w:ascii="Times New Roman" w:hAnsi="Times New Roman"/>
          <w:spacing w:val="-2"/>
          <w:sz w:val="16"/>
          <w:szCs w:val="16"/>
        </w:rPr>
        <w:t>,</w:t>
      </w:r>
      <w:r w:rsidR="0061028A" w:rsidRPr="000335C8">
        <w:rPr>
          <w:rFonts w:ascii="Times New Roman" w:hAnsi="Times New Roman" w:cs="Times New Roman"/>
          <w:spacing w:val="-2"/>
          <w:sz w:val="18"/>
          <w:szCs w:val="20"/>
        </w:rPr>
        <w:t xml:space="preserve"> </w:t>
      </w:r>
      <w:r w:rsidR="0061028A" w:rsidRPr="00D325B8">
        <w:rPr>
          <w:rFonts w:ascii="Times New Roman" w:hAnsi="Times New Roman" w:cs="Times New Roman"/>
          <w:spacing w:val="-2"/>
          <w:sz w:val="16"/>
          <w:szCs w:val="20"/>
        </w:rPr>
        <w:t>Problem</w:t>
      </w:r>
      <w:r w:rsidR="00C2631A">
        <w:rPr>
          <w:rFonts w:ascii="Times New Roman" w:hAnsi="Times New Roman" w:cs="Times New Roman"/>
          <w:spacing w:val="-2"/>
          <w:sz w:val="16"/>
          <w:szCs w:val="20"/>
        </w:rPr>
        <w:t> </w:t>
      </w:r>
      <w:r w:rsidR="0061028A" w:rsidRPr="00D325B8">
        <w:rPr>
          <w:rFonts w:ascii="Times New Roman" w:hAnsi="Times New Roman" w:cs="Times New Roman"/>
          <w:spacing w:val="-2"/>
          <w:sz w:val="16"/>
          <w:szCs w:val="20"/>
        </w:rPr>
        <w:t>31.</w:t>
      </w:r>
    </w:p>
    <w:p w14:paraId="09AA7DC9" w14:textId="77777777" w:rsidR="007C65C9" w:rsidRPr="00D325B8" w:rsidRDefault="007C65C9" w:rsidP="007C65C9">
      <w:pPr>
        <w:widowControl/>
        <w:tabs>
          <w:tab w:val="left" w:pos="-720"/>
          <w:tab w:val="left" w:pos="288"/>
          <w:tab w:val="left" w:pos="567"/>
          <w:tab w:val="left" w:pos="864"/>
          <w:tab w:val="left" w:pos="1116"/>
          <w:tab w:val="left" w:pos="1404"/>
          <w:tab w:val="left" w:pos="1701"/>
          <w:tab w:val="left" w:pos="1980"/>
          <w:tab w:val="left" w:pos="2880"/>
        </w:tabs>
        <w:ind w:left="1700" w:hanging="1700"/>
        <w:jc w:val="both"/>
        <w:rPr>
          <w:rFonts w:ascii="Times New Roman" w:hAnsi="Times New Roman" w:cs="Times New Roman"/>
          <w:spacing w:val="-2"/>
          <w:sz w:val="16"/>
        </w:rPr>
      </w:pPr>
      <w:r w:rsidRPr="00D325B8">
        <w:rPr>
          <w:rFonts w:ascii="Times New Roman" w:hAnsi="Times New Roman" w:cs="Times New Roman"/>
          <w:b/>
          <w:spacing w:val="-2"/>
          <w:sz w:val="16"/>
        </w:rPr>
        <w:t>Literatur/Aufsätze:</w:t>
      </w:r>
      <w:r w:rsidRPr="00D325B8">
        <w:rPr>
          <w:rFonts w:ascii="Times New Roman" w:hAnsi="Times New Roman" w:cs="Times New Roman"/>
          <w:b/>
          <w:spacing w:val="-2"/>
          <w:sz w:val="16"/>
        </w:rPr>
        <w:tab/>
      </w:r>
      <w:r w:rsidRPr="00D325B8">
        <w:rPr>
          <w:rFonts w:ascii="Times New Roman" w:hAnsi="Times New Roman" w:cs="Times New Roman"/>
          <w:b/>
          <w:spacing w:val="-2"/>
          <w:sz w:val="16"/>
        </w:rPr>
        <w:tab/>
      </w:r>
      <w:r w:rsidRPr="00D325B8">
        <w:rPr>
          <w:rFonts w:ascii="Times New Roman" w:hAnsi="Times New Roman" w:cs="Times New Roman"/>
          <w:b/>
          <w:spacing w:val="-2"/>
          <w:sz w:val="16"/>
        </w:rPr>
        <w:tab/>
      </w:r>
      <w:r w:rsidRPr="00D325B8">
        <w:rPr>
          <w:rFonts w:ascii="Times New Roman" w:hAnsi="Times New Roman" w:cs="Times New Roman"/>
          <w:i/>
          <w:spacing w:val="-2"/>
          <w:sz w:val="16"/>
        </w:rPr>
        <w:t>Geier/Schäl/</w:t>
      </w:r>
      <w:proofErr w:type="spellStart"/>
      <w:r w:rsidRPr="00D325B8">
        <w:rPr>
          <w:rFonts w:ascii="Times New Roman" w:hAnsi="Times New Roman" w:cs="Times New Roman"/>
          <w:i/>
          <w:spacing w:val="-2"/>
          <w:sz w:val="16"/>
        </w:rPr>
        <w:t>Twelmeier</w:t>
      </w:r>
      <w:proofErr w:type="spellEnd"/>
      <w:r w:rsidRPr="00D325B8">
        <w:rPr>
          <w:rFonts w:ascii="Times New Roman" w:hAnsi="Times New Roman" w:cs="Times New Roman"/>
          <w:spacing w:val="-2"/>
          <w:sz w:val="16"/>
        </w:rPr>
        <w:t xml:space="preserve">, Die Entscheidung des BVerfG vom 9.10.2002 (BVerfGE 106, 28): Das Ende der </w:t>
      </w:r>
      <w:proofErr w:type="spellStart"/>
      <w:r w:rsidRPr="00D325B8">
        <w:rPr>
          <w:rFonts w:ascii="Times New Roman" w:hAnsi="Times New Roman" w:cs="Times New Roman"/>
          <w:spacing w:val="-2"/>
          <w:sz w:val="16"/>
        </w:rPr>
        <w:t>Hörfalle</w:t>
      </w:r>
      <w:proofErr w:type="spellEnd"/>
      <w:r w:rsidRPr="00D325B8">
        <w:rPr>
          <w:rFonts w:ascii="Times New Roman" w:hAnsi="Times New Roman" w:cs="Times New Roman"/>
          <w:spacing w:val="-2"/>
          <w:sz w:val="16"/>
        </w:rPr>
        <w:t>?, JURA 2004, 121;</w:t>
      </w:r>
      <w:r w:rsidR="00D704E9">
        <w:rPr>
          <w:rFonts w:ascii="Times New Roman" w:hAnsi="Times New Roman" w:cs="Times New Roman"/>
          <w:spacing w:val="-2"/>
          <w:sz w:val="16"/>
        </w:rPr>
        <w:t xml:space="preserve"> </w:t>
      </w:r>
      <w:r w:rsidR="00D704E9" w:rsidRPr="00DF42EB">
        <w:rPr>
          <w:rFonts w:ascii="Times New Roman" w:hAnsi="Times New Roman" w:cs="Times New Roman"/>
          <w:i/>
          <w:iCs/>
          <w:spacing w:val="-2"/>
          <w:sz w:val="16"/>
        </w:rPr>
        <w:t>Lesch</w:t>
      </w:r>
      <w:r w:rsidR="00D704E9">
        <w:rPr>
          <w:rFonts w:ascii="Times New Roman" w:hAnsi="Times New Roman" w:cs="Times New Roman"/>
          <w:spacing w:val="-2"/>
          <w:sz w:val="16"/>
        </w:rPr>
        <w:t>, »</w:t>
      </w:r>
      <w:proofErr w:type="spellStart"/>
      <w:r w:rsidR="00D704E9">
        <w:rPr>
          <w:rFonts w:ascii="Times New Roman" w:hAnsi="Times New Roman" w:cs="Times New Roman"/>
          <w:spacing w:val="-2"/>
          <w:sz w:val="16"/>
        </w:rPr>
        <w:t>Hörfalle</w:t>
      </w:r>
      <w:proofErr w:type="spellEnd"/>
      <w:r w:rsidR="00D704E9">
        <w:rPr>
          <w:rFonts w:ascii="Times New Roman" w:hAnsi="Times New Roman" w:cs="Times New Roman"/>
          <w:spacing w:val="-2"/>
          <w:sz w:val="16"/>
        </w:rPr>
        <w:t xml:space="preserve">« und kein Ende – Zur Verwertbarkeit von selbstbelastenden Angaben des Beschuldigten in der Untersuchungshaft, GA 2000, 355; </w:t>
      </w:r>
      <w:r w:rsidR="00B651E9" w:rsidRPr="00DF42EB">
        <w:rPr>
          <w:rFonts w:ascii="Times New Roman" w:hAnsi="Times New Roman" w:cs="Times New Roman"/>
          <w:i/>
          <w:spacing w:val="-2"/>
          <w:sz w:val="16"/>
        </w:rPr>
        <w:t>Popp</w:t>
      </w:r>
      <w:r w:rsidR="00B651E9">
        <w:rPr>
          <w:rFonts w:ascii="Times New Roman" w:hAnsi="Times New Roman" w:cs="Times New Roman"/>
          <w:spacing w:val="-2"/>
          <w:sz w:val="16"/>
        </w:rPr>
        <w:t xml:space="preserve">, </w:t>
      </w:r>
      <w:proofErr w:type="spellStart"/>
      <w:r w:rsidR="00B651E9" w:rsidRPr="00B651E9">
        <w:rPr>
          <w:rFonts w:ascii="Times New Roman" w:hAnsi="Times New Roman" w:cs="Times New Roman"/>
          <w:spacing w:val="-2"/>
          <w:sz w:val="16"/>
        </w:rPr>
        <w:t>Hörfalle</w:t>
      </w:r>
      <w:proofErr w:type="spellEnd"/>
      <w:r w:rsidR="00B651E9" w:rsidRPr="00B651E9">
        <w:rPr>
          <w:rFonts w:ascii="Times New Roman" w:hAnsi="Times New Roman" w:cs="Times New Roman"/>
          <w:spacing w:val="-2"/>
          <w:sz w:val="16"/>
        </w:rPr>
        <w:t xml:space="preserve">, Romeo und Knastbruder </w:t>
      </w:r>
      <w:r w:rsidR="00DF42EB">
        <w:rPr>
          <w:rFonts w:ascii="Times New Roman" w:hAnsi="Times New Roman" w:cs="Times New Roman"/>
          <w:spacing w:val="-2"/>
          <w:sz w:val="16"/>
        </w:rPr>
        <w:t>–</w:t>
      </w:r>
      <w:r w:rsidR="00DF42EB" w:rsidRPr="00B651E9">
        <w:rPr>
          <w:rFonts w:ascii="Times New Roman" w:hAnsi="Times New Roman" w:cs="Times New Roman"/>
          <w:spacing w:val="-2"/>
          <w:sz w:val="16"/>
        </w:rPr>
        <w:t xml:space="preserve"> </w:t>
      </w:r>
      <w:r w:rsidR="00B651E9" w:rsidRPr="00B651E9">
        <w:rPr>
          <w:rFonts w:ascii="Times New Roman" w:hAnsi="Times New Roman" w:cs="Times New Roman"/>
          <w:spacing w:val="-2"/>
          <w:sz w:val="16"/>
        </w:rPr>
        <w:t>oder wieviel List ist der Polizei erlaubt?</w:t>
      </w:r>
      <w:r w:rsidR="00B651E9">
        <w:rPr>
          <w:rFonts w:ascii="Times New Roman" w:hAnsi="Times New Roman" w:cs="Times New Roman"/>
          <w:spacing w:val="-2"/>
          <w:sz w:val="16"/>
        </w:rPr>
        <w:t>, JA 1998, 900;</w:t>
      </w:r>
      <w:r w:rsidRPr="00D325B8">
        <w:rPr>
          <w:rFonts w:ascii="Times New Roman" w:hAnsi="Times New Roman" w:cs="Times New Roman"/>
          <w:spacing w:val="-2"/>
          <w:sz w:val="16"/>
        </w:rPr>
        <w:t xml:space="preserve"> </w:t>
      </w:r>
      <w:r w:rsidRPr="00D325B8">
        <w:rPr>
          <w:rFonts w:ascii="Times New Roman" w:hAnsi="Times New Roman" w:cs="Times New Roman"/>
          <w:i/>
          <w:spacing w:val="-2"/>
          <w:sz w:val="16"/>
        </w:rPr>
        <w:t>Sternberg-Lieben</w:t>
      </w:r>
      <w:r w:rsidRPr="00D325B8">
        <w:rPr>
          <w:rFonts w:ascii="Times New Roman" w:hAnsi="Times New Roman" w:cs="Times New Roman"/>
          <w:spacing w:val="-2"/>
          <w:sz w:val="16"/>
        </w:rPr>
        <w:t>, Die „</w:t>
      </w:r>
      <w:proofErr w:type="spellStart"/>
      <w:r w:rsidRPr="00D325B8">
        <w:rPr>
          <w:rFonts w:ascii="Times New Roman" w:hAnsi="Times New Roman" w:cs="Times New Roman"/>
          <w:spacing w:val="-2"/>
          <w:sz w:val="16"/>
        </w:rPr>
        <w:t>Hörfalle</w:t>
      </w:r>
      <w:proofErr w:type="spellEnd"/>
      <w:r w:rsidRPr="00D325B8">
        <w:rPr>
          <w:rFonts w:ascii="Times New Roman" w:hAnsi="Times New Roman" w:cs="Times New Roman"/>
          <w:spacing w:val="-2"/>
          <w:sz w:val="16"/>
        </w:rPr>
        <w:t>“ – Eine Falle für die rechtsstaatliche Strafverfolgung?, JURA 1995, 299.</w:t>
      </w:r>
    </w:p>
    <w:p w14:paraId="6CA84815" w14:textId="63A3132B" w:rsidR="007C65C9" w:rsidRPr="00D325B8" w:rsidRDefault="007C65C9" w:rsidP="007C65C9">
      <w:pPr>
        <w:widowControl/>
        <w:tabs>
          <w:tab w:val="left" w:pos="-720"/>
          <w:tab w:val="left" w:pos="288"/>
          <w:tab w:val="left" w:pos="567"/>
          <w:tab w:val="left" w:pos="864"/>
          <w:tab w:val="left" w:pos="1116"/>
          <w:tab w:val="left" w:pos="1418"/>
          <w:tab w:val="left" w:pos="2880"/>
          <w:tab w:val="left" w:pos="2977"/>
        </w:tabs>
        <w:ind w:left="1701" w:hanging="1701"/>
        <w:jc w:val="both"/>
        <w:rPr>
          <w:rFonts w:ascii="Times New Roman" w:hAnsi="Times New Roman" w:cs="Times New Roman"/>
          <w:sz w:val="16"/>
        </w:rPr>
      </w:pPr>
      <w:r w:rsidRPr="00D325B8">
        <w:rPr>
          <w:rFonts w:ascii="Times New Roman" w:hAnsi="Times New Roman" w:cs="Times New Roman"/>
          <w:b/>
          <w:spacing w:val="-2"/>
          <w:sz w:val="16"/>
        </w:rPr>
        <w:t xml:space="preserve">Rechtsprechung: </w:t>
      </w:r>
      <w:r w:rsidRPr="00D325B8">
        <w:rPr>
          <w:rFonts w:ascii="Times New Roman" w:hAnsi="Times New Roman" w:cs="Times New Roman"/>
          <w:b/>
          <w:spacing w:val="-2"/>
          <w:sz w:val="16"/>
        </w:rPr>
        <w:tab/>
      </w:r>
      <w:r w:rsidRPr="005C00C3">
        <w:rPr>
          <w:rFonts w:ascii="Times New Roman" w:hAnsi="Times New Roman" w:cs="Times New Roman"/>
          <w:b/>
          <w:spacing w:val="-2"/>
          <w:sz w:val="16"/>
          <w:szCs w:val="16"/>
        </w:rPr>
        <w:tab/>
        <w:t xml:space="preserve">EGMR StV 2003, 257 – </w:t>
      </w:r>
      <w:proofErr w:type="spellStart"/>
      <w:r w:rsidR="00CC6C56" w:rsidRPr="004A6372">
        <w:rPr>
          <w:rFonts w:ascii="Times New Roman" w:hAnsi="Times New Roman" w:cs="Times New Roman"/>
          <w:bCs/>
          <w:spacing w:val="-2"/>
          <w:sz w:val="16"/>
          <w:szCs w:val="16"/>
        </w:rPr>
        <w:t>Allan</w:t>
      </w:r>
      <w:proofErr w:type="spellEnd"/>
      <w:r w:rsidR="00CC6C56" w:rsidRPr="004A6372">
        <w:rPr>
          <w:rFonts w:ascii="Times New Roman" w:hAnsi="Times New Roman" w:cs="Times New Roman"/>
          <w:bCs/>
          <w:spacing w:val="-2"/>
          <w:sz w:val="16"/>
          <w:szCs w:val="16"/>
        </w:rPr>
        <w:t xml:space="preserve"> (</w:t>
      </w:r>
      <w:r w:rsidRPr="00CC6C56">
        <w:rPr>
          <w:rFonts w:ascii="Times New Roman" w:hAnsi="Times New Roman" w:cs="Times New Roman"/>
          <w:bCs/>
          <w:spacing w:val="-2"/>
          <w:sz w:val="16"/>
          <w:szCs w:val="16"/>
        </w:rPr>
        <w:t>Nemo</w:t>
      </w:r>
      <w:r w:rsidRPr="005C00C3">
        <w:rPr>
          <w:rFonts w:ascii="Times New Roman" w:hAnsi="Times New Roman" w:cs="Times New Roman"/>
          <w:spacing w:val="-2"/>
          <w:sz w:val="16"/>
          <w:szCs w:val="16"/>
        </w:rPr>
        <w:t>-tenetur-Grundsatz</w:t>
      </w:r>
      <w:r w:rsidR="00CC6C56">
        <w:rPr>
          <w:rFonts w:ascii="Times New Roman" w:hAnsi="Times New Roman" w:cs="Times New Roman"/>
          <w:spacing w:val="-2"/>
          <w:sz w:val="16"/>
          <w:szCs w:val="16"/>
        </w:rPr>
        <w:t xml:space="preserve"> nach</w:t>
      </w:r>
      <w:r w:rsidRPr="005C00C3">
        <w:rPr>
          <w:rFonts w:ascii="Times New Roman" w:hAnsi="Times New Roman" w:cs="Times New Roman"/>
          <w:spacing w:val="-2"/>
          <w:sz w:val="16"/>
          <w:szCs w:val="16"/>
        </w:rPr>
        <w:t xml:space="preserve"> Art. 6 EMRK); </w:t>
      </w:r>
      <w:r w:rsidRPr="005C00C3">
        <w:rPr>
          <w:rFonts w:ascii="Times New Roman" w:hAnsi="Times New Roman" w:cs="Times New Roman"/>
          <w:b/>
          <w:spacing w:val="-2"/>
          <w:sz w:val="16"/>
          <w:szCs w:val="16"/>
        </w:rPr>
        <w:t>BVerfGE 106, 28</w:t>
      </w:r>
      <w:r w:rsidRPr="005C00C3">
        <w:rPr>
          <w:rFonts w:ascii="Times New Roman" w:hAnsi="Times New Roman" w:cs="Times New Roman"/>
          <w:spacing w:val="-2"/>
          <w:sz w:val="16"/>
          <w:szCs w:val="16"/>
        </w:rPr>
        <w:t xml:space="preserve"> – Zum Mithören von Telefongesprächen (Reichweite des Persönlichkeitsrechts und des Art</w:t>
      </w:r>
      <w:r w:rsidR="00681E45">
        <w:rPr>
          <w:rFonts w:ascii="Times New Roman" w:hAnsi="Times New Roman" w:cs="Times New Roman"/>
          <w:spacing w:val="-2"/>
          <w:sz w:val="16"/>
          <w:szCs w:val="16"/>
        </w:rPr>
        <w:t>.</w:t>
      </w:r>
      <w:r w:rsidRPr="005C00C3">
        <w:rPr>
          <w:rFonts w:ascii="Times New Roman" w:hAnsi="Times New Roman" w:cs="Times New Roman"/>
          <w:spacing w:val="-2"/>
          <w:sz w:val="16"/>
          <w:szCs w:val="16"/>
        </w:rPr>
        <w:t xml:space="preserve"> 10 I GG bei Telefongesprächen);</w:t>
      </w:r>
      <w:r w:rsidR="00F73B35" w:rsidRPr="003635CC">
        <w:rPr>
          <w:rFonts w:ascii="Times New Roman" w:hAnsi="Times New Roman" w:cs="Times New Roman"/>
          <w:b/>
          <w:bCs/>
          <w:color w:val="339966"/>
          <w:sz w:val="16"/>
          <w:szCs w:val="16"/>
        </w:rPr>
        <w:t xml:space="preserve"> </w:t>
      </w:r>
      <w:r w:rsidR="00F73B35" w:rsidRPr="005C00C3">
        <w:rPr>
          <w:rFonts w:ascii="Times New Roman" w:hAnsi="Times New Roman" w:cs="Times New Roman"/>
          <w:b/>
          <w:bCs/>
          <w:spacing w:val="-2"/>
          <w:sz w:val="16"/>
          <w:szCs w:val="16"/>
        </w:rPr>
        <w:t xml:space="preserve">BGHSt 34, 362 </w:t>
      </w:r>
      <w:r w:rsidR="00F73B35" w:rsidRPr="00316AD7">
        <w:rPr>
          <w:rFonts w:ascii="Times New Roman" w:hAnsi="Times New Roman" w:cs="Times New Roman"/>
          <w:bCs/>
          <w:spacing w:val="-2"/>
          <w:sz w:val="16"/>
          <w:szCs w:val="16"/>
        </w:rPr>
        <w:t xml:space="preserve">– </w:t>
      </w:r>
      <w:r w:rsidR="005C00C3" w:rsidRPr="003635CC">
        <w:rPr>
          <w:rFonts w:ascii="Times New Roman" w:hAnsi="Times New Roman"/>
          <w:spacing w:val="-2"/>
          <w:sz w:val="16"/>
          <w:szCs w:val="16"/>
        </w:rPr>
        <w:t>Haftzelle (</w:t>
      </w:r>
      <w:r w:rsidR="005C00C3" w:rsidRPr="003635CC">
        <w:rPr>
          <w:rFonts w:ascii="Times New Roman" w:hAnsi="Times New Roman"/>
          <w:color w:val="000000"/>
          <w:spacing w:val="-2"/>
          <w:sz w:val="16"/>
          <w:szCs w:val="16"/>
        </w:rPr>
        <w:t xml:space="preserve">unzulässige Täuschung bei in die Zelle verlegtem Mitgefangenem zur </w:t>
      </w:r>
      <w:proofErr w:type="spellStart"/>
      <w:r w:rsidR="005C00C3" w:rsidRPr="003635CC">
        <w:rPr>
          <w:rFonts w:ascii="Times New Roman" w:hAnsi="Times New Roman"/>
          <w:color w:val="000000"/>
          <w:spacing w:val="-2"/>
          <w:sz w:val="16"/>
          <w:szCs w:val="16"/>
        </w:rPr>
        <w:t>Ausfragung</w:t>
      </w:r>
      <w:proofErr w:type="spellEnd"/>
      <w:r w:rsidR="005C00C3" w:rsidRPr="003635CC">
        <w:rPr>
          <w:rFonts w:ascii="Times New Roman" w:hAnsi="Times New Roman"/>
          <w:color w:val="000000"/>
          <w:spacing w:val="-2"/>
          <w:sz w:val="16"/>
          <w:szCs w:val="16"/>
        </w:rPr>
        <w:t xml:space="preserve"> des Beschuldigten)</w:t>
      </w:r>
      <w:r w:rsidR="00F73B35" w:rsidRPr="00316AD7">
        <w:rPr>
          <w:rFonts w:ascii="Times New Roman" w:hAnsi="Times New Roman" w:cs="Times New Roman"/>
          <w:bCs/>
          <w:spacing w:val="-2"/>
          <w:sz w:val="16"/>
          <w:szCs w:val="16"/>
        </w:rPr>
        <w:t>;</w:t>
      </w:r>
      <w:r w:rsidRPr="00316AD7">
        <w:rPr>
          <w:rFonts w:ascii="Times New Roman" w:hAnsi="Times New Roman" w:cs="Times New Roman"/>
          <w:b/>
          <w:spacing w:val="-2"/>
          <w:sz w:val="16"/>
          <w:szCs w:val="16"/>
        </w:rPr>
        <w:t xml:space="preserve"> BGHSt 39, 335</w:t>
      </w:r>
      <w:r w:rsidRPr="00316AD7">
        <w:rPr>
          <w:rFonts w:ascii="Times New Roman" w:hAnsi="Times New Roman" w:cs="Times New Roman"/>
          <w:spacing w:val="-2"/>
          <w:sz w:val="16"/>
          <w:szCs w:val="16"/>
        </w:rPr>
        <w:t xml:space="preserve"> – </w:t>
      </w:r>
      <w:proofErr w:type="spellStart"/>
      <w:r w:rsidRPr="00316AD7">
        <w:rPr>
          <w:rFonts w:ascii="Times New Roman" w:hAnsi="Times New Roman" w:cs="Times New Roman"/>
          <w:spacing w:val="-2"/>
          <w:sz w:val="16"/>
          <w:szCs w:val="16"/>
        </w:rPr>
        <w:t>Hörfalle</w:t>
      </w:r>
      <w:proofErr w:type="spellEnd"/>
      <w:r w:rsidR="00FD6AB7" w:rsidRPr="00316AD7">
        <w:rPr>
          <w:rFonts w:ascii="Times New Roman" w:hAnsi="Times New Roman" w:cs="Times New Roman"/>
          <w:spacing w:val="-2"/>
          <w:sz w:val="16"/>
          <w:szCs w:val="16"/>
        </w:rPr>
        <w:t xml:space="preserve"> </w:t>
      </w:r>
      <w:r w:rsidRPr="00316AD7">
        <w:rPr>
          <w:rFonts w:ascii="Times New Roman" w:hAnsi="Times New Roman" w:cs="Times New Roman"/>
          <w:spacing w:val="-2"/>
          <w:sz w:val="16"/>
          <w:szCs w:val="16"/>
        </w:rPr>
        <w:t>I (Mithören üb</w:t>
      </w:r>
      <w:r w:rsidRPr="003635CC">
        <w:rPr>
          <w:rFonts w:ascii="Times New Roman" w:hAnsi="Times New Roman" w:cs="Times New Roman"/>
          <w:spacing w:val="-2"/>
          <w:sz w:val="16"/>
          <w:szCs w:val="16"/>
        </w:rPr>
        <w:t xml:space="preserve">er den zweiten Hörer mit Erlaubnis des einen Gesprächspartners); </w:t>
      </w:r>
      <w:r w:rsidRPr="003635CC">
        <w:rPr>
          <w:rFonts w:ascii="Times New Roman" w:hAnsi="Times New Roman" w:cs="Times New Roman"/>
          <w:b/>
          <w:spacing w:val="-2"/>
          <w:sz w:val="16"/>
          <w:szCs w:val="16"/>
        </w:rPr>
        <w:t>BGHSt 42, 139 </w:t>
      </w:r>
      <w:r w:rsidRPr="003635CC">
        <w:rPr>
          <w:rFonts w:ascii="Times New Roman" w:hAnsi="Times New Roman" w:cs="Times New Roman"/>
          <w:spacing w:val="-2"/>
          <w:sz w:val="16"/>
          <w:szCs w:val="16"/>
        </w:rPr>
        <w:t xml:space="preserve">– </w:t>
      </w:r>
      <w:proofErr w:type="spellStart"/>
      <w:r w:rsidR="005C00C3" w:rsidRPr="003635CC">
        <w:rPr>
          <w:rFonts w:ascii="Times New Roman" w:hAnsi="Times New Roman"/>
          <w:bCs/>
          <w:color w:val="000000"/>
          <w:spacing w:val="-2"/>
          <w:sz w:val="16"/>
          <w:szCs w:val="16"/>
        </w:rPr>
        <w:t>Hörfalle</w:t>
      </w:r>
      <w:proofErr w:type="spellEnd"/>
      <w:r w:rsidR="00316AD7">
        <w:rPr>
          <w:rFonts w:ascii="Times New Roman" w:hAnsi="Times New Roman"/>
          <w:bCs/>
          <w:color w:val="000000"/>
          <w:spacing w:val="-2"/>
          <w:sz w:val="16"/>
          <w:szCs w:val="16"/>
        </w:rPr>
        <w:t xml:space="preserve"> II</w:t>
      </w:r>
      <w:r w:rsidR="005C00C3" w:rsidRPr="003635CC">
        <w:rPr>
          <w:rFonts w:ascii="Times New Roman" w:hAnsi="Times New Roman"/>
          <w:bCs/>
          <w:color w:val="000000"/>
          <w:spacing w:val="-2"/>
          <w:sz w:val="16"/>
          <w:szCs w:val="16"/>
        </w:rPr>
        <w:t xml:space="preserve"> (Keine Täuschung bei Mithören am Zweithörer)</w:t>
      </w:r>
      <w:r w:rsidR="00583B23" w:rsidRPr="00316AD7">
        <w:rPr>
          <w:rFonts w:ascii="Times New Roman" w:hAnsi="Times New Roman" w:cs="Times New Roman"/>
          <w:spacing w:val="-2"/>
          <w:sz w:val="16"/>
          <w:szCs w:val="16"/>
        </w:rPr>
        <w:t xml:space="preserve">; </w:t>
      </w:r>
      <w:r w:rsidR="00583B23" w:rsidRPr="00316AD7">
        <w:rPr>
          <w:rFonts w:ascii="Times New Roman" w:hAnsi="Times New Roman" w:cs="Times New Roman"/>
          <w:b/>
          <w:spacing w:val="-2"/>
          <w:sz w:val="16"/>
          <w:szCs w:val="16"/>
        </w:rPr>
        <w:t>BGHSt 52, 11</w:t>
      </w:r>
      <w:r w:rsidR="00583B23" w:rsidRPr="003635CC">
        <w:rPr>
          <w:rFonts w:ascii="Times New Roman" w:hAnsi="Times New Roman" w:cs="Times New Roman"/>
          <w:spacing w:val="-2"/>
          <w:sz w:val="16"/>
          <w:szCs w:val="16"/>
        </w:rPr>
        <w:t xml:space="preserve"> – </w:t>
      </w:r>
      <w:r w:rsidR="005C00C3" w:rsidRPr="003635CC">
        <w:rPr>
          <w:rFonts w:ascii="Times New Roman" w:hAnsi="Times New Roman"/>
          <w:spacing w:val="-2"/>
          <w:sz w:val="16"/>
          <w:szCs w:val="16"/>
        </w:rPr>
        <w:t>Verdeckter Ermittler (Beweisverwertungsverbot bei beharrlichem Drängen auf Aussage)</w:t>
      </w:r>
      <w:r w:rsidR="00583B23" w:rsidRPr="00316AD7">
        <w:rPr>
          <w:rFonts w:ascii="Times New Roman" w:hAnsi="Times New Roman" w:cs="Times New Roman"/>
          <w:spacing w:val="-2"/>
          <w:sz w:val="16"/>
          <w:szCs w:val="16"/>
        </w:rPr>
        <w:t xml:space="preserve">; </w:t>
      </w:r>
      <w:r w:rsidR="00583B23" w:rsidRPr="00316AD7">
        <w:rPr>
          <w:rFonts w:ascii="Times New Roman" w:hAnsi="Times New Roman" w:cs="Times New Roman"/>
          <w:b/>
          <w:spacing w:val="-2"/>
          <w:sz w:val="16"/>
          <w:szCs w:val="16"/>
        </w:rPr>
        <w:t>BGHSt 53, 294</w:t>
      </w:r>
      <w:r w:rsidR="00583B23" w:rsidRPr="00316AD7">
        <w:rPr>
          <w:rFonts w:ascii="Times New Roman" w:hAnsi="Times New Roman" w:cs="Times New Roman"/>
          <w:spacing w:val="-2"/>
          <w:sz w:val="16"/>
          <w:szCs w:val="16"/>
        </w:rPr>
        <w:t xml:space="preserve"> – Ehegattengespräch (Verstoß gegen das fair-trial Prinzip bei Abhören von Ehegattengespräch in der U-Haft).</w:t>
      </w:r>
    </w:p>
    <w:sectPr w:rsidR="007C65C9" w:rsidRPr="00D325B8" w:rsidSect="007C65C9">
      <w:pgSz w:w="11906" w:h="16838"/>
      <w:pgMar w:top="566" w:right="424" w:bottom="288" w:left="1276"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FEF10" w14:textId="77777777" w:rsidR="009946C9" w:rsidRDefault="009946C9">
      <w:r>
        <w:separator/>
      </w:r>
    </w:p>
  </w:endnote>
  <w:endnote w:type="continuationSeparator" w:id="0">
    <w:p w14:paraId="49464033" w14:textId="77777777" w:rsidR="009946C9" w:rsidRDefault="0099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8780" w14:textId="77777777" w:rsidR="009946C9" w:rsidRDefault="009946C9">
      <w:r>
        <w:separator/>
      </w:r>
    </w:p>
  </w:footnote>
  <w:footnote w:type="continuationSeparator" w:id="0">
    <w:p w14:paraId="19B63135" w14:textId="77777777" w:rsidR="009946C9" w:rsidRDefault="0099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9637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C44C0EC"/>
    <w:lvl w:ilvl="0" w:tplc="92BA6090">
      <w:numFmt w:val="none"/>
      <w:lvlText w:val=""/>
      <w:lvlJc w:val="left"/>
      <w:pPr>
        <w:tabs>
          <w:tab w:val="num" w:pos="360"/>
        </w:tabs>
      </w:pPr>
    </w:lvl>
    <w:lvl w:ilvl="1" w:tplc="EEBE9E9C">
      <w:numFmt w:val="decimal"/>
      <w:lvlText w:val=""/>
      <w:lvlJc w:val="left"/>
    </w:lvl>
    <w:lvl w:ilvl="2" w:tplc="4F3C2C60">
      <w:numFmt w:val="decimal"/>
      <w:lvlText w:val=""/>
      <w:lvlJc w:val="left"/>
    </w:lvl>
    <w:lvl w:ilvl="3" w:tplc="C8528C1C">
      <w:numFmt w:val="decimal"/>
      <w:lvlText w:val=""/>
      <w:lvlJc w:val="left"/>
    </w:lvl>
    <w:lvl w:ilvl="4" w:tplc="AD261246">
      <w:numFmt w:val="decimal"/>
      <w:lvlText w:val=""/>
      <w:lvlJc w:val="left"/>
    </w:lvl>
    <w:lvl w:ilvl="5" w:tplc="8BE0A528">
      <w:numFmt w:val="decimal"/>
      <w:lvlText w:val=""/>
      <w:lvlJc w:val="left"/>
    </w:lvl>
    <w:lvl w:ilvl="6" w:tplc="6EA8A672">
      <w:numFmt w:val="decimal"/>
      <w:lvlText w:val=""/>
      <w:lvlJc w:val="left"/>
    </w:lvl>
    <w:lvl w:ilvl="7" w:tplc="0C3CC62C">
      <w:numFmt w:val="decimal"/>
      <w:lvlText w:val=""/>
      <w:lvlJc w:val="left"/>
    </w:lvl>
    <w:lvl w:ilvl="8" w:tplc="1284D8EA">
      <w:numFmt w:val="decimal"/>
      <w:lvlText w:val=""/>
      <w:lvlJc w:val="left"/>
    </w:lvl>
  </w:abstractNum>
  <w:abstractNum w:abstractNumId="2" w15:restartNumberingAfterBreak="0">
    <w:nsid w:val="214B7019"/>
    <w:multiLevelType w:val="hybridMultilevel"/>
    <w:tmpl w:val="50AADEBE"/>
    <w:lvl w:ilvl="0" w:tplc="E2D29ABE">
      <w:start w:val="1"/>
      <w:numFmt w:val="decimal"/>
      <w:lvlText w:val="%1."/>
      <w:lvlJc w:val="left"/>
      <w:pPr>
        <w:tabs>
          <w:tab w:val="num" w:pos="921"/>
        </w:tabs>
        <w:ind w:left="921" w:hanging="360"/>
      </w:pPr>
      <w:rPr>
        <w:rFonts w:hint="default"/>
        <w:u w:val="single"/>
      </w:rPr>
    </w:lvl>
    <w:lvl w:ilvl="1" w:tplc="00190407">
      <w:start w:val="1"/>
      <w:numFmt w:val="lowerLetter"/>
      <w:lvlText w:val="%2."/>
      <w:lvlJc w:val="left"/>
      <w:pPr>
        <w:tabs>
          <w:tab w:val="num" w:pos="1641"/>
        </w:tabs>
        <w:ind w:left="1641" w:hanging="360"/>
      </w:pPr>
    </w:lvl>
    <w:lvl w:ilvl="2" w:tplc="001B0407" w:tentative="1">
      <w:start w:val="1"/>
      <w:numFmt w:val="lowerRoman"/>
      <w:lvlText w:val="%3."/>
      <w:lvlJc w:val="right"/>
      <w:pPr>
        <w:tabs>
          <w:tab w:val="num" w:pos="2361"/>
        </w:tabs>
        <w:ind w:left="2361" w:hanging="180"/>
      </w:pPr>
    </w:lvl>
    <w:lvl w:ilvl="3" w:tplc="000F0407" w:tentative="1">
      <w:start w:val="1"/>
      <w:numFmt w:val="decimal"/>
      <w:lvlText w:val="%4."/>
      <w:lvlJc w:val="left"/>
      <w:pPr>
        <w:tabs>
          <w:tab w:val="num" w:pos="3081"/>
        </w:tabs>
        <w:ind w:left="3081" w:hanging="360"/>
      </w:pPr>
    </w:lvl>
    <w:lvl w:ilvl="4" w:tplc="00190407" w:tentative="1">
      <w:start w:val="1"/>
      <w:numFmt w:val="lowerLetter"/>
      <w:lvlText w:val="%5."/>
      <w:lvlJc w:val="left"/>
      <w:pPr>
        <w:tabs>
          <w:tab w:val="num" w:pos="3801"/>
        </w:tabs>
        <w:ind w:left="3801" w:hanging="360"/>
      </w:pPr>
    </w:lvl>
    <w:lvl w:ilvl="5" w:tplc="001B0407" w:tentative="1">
      <w:start w:val="1"/>
      <w:numFmt w:val="lowerRoman"/>
      <w:lvlText w:val="%6."/>
      <w:lvlJc w:val="right"/>
      <w:pPr>
        <w:tabs>
          <w:tab w:val="num" w:pos="4521"/>
        </w:tabs>
        <w:ind w:left="4521" w:hanging="180"/>
      </w:pPr>
    </w:lvl>
    <w:lvl w:ilvl="6" w:tplc="000F0407" w:tentative="1">
      <w:start w:val="1"/>
      <w:numFmt w:val="decimal"/>
      <w:lvlText w:val="%7."/>
      <w:lvlJc w:val="left"/>
      <w:pPr>
        <w:tabs>
          <w:tab w:val="num" w:pos="5241"/>
        </w:tabs>
        <w:ind w:left="5241" w:hanging="360"/>
      </w:pPr>
    </w:lvl>
    <w:lvl w:ilvl="7" w:tplc="00190407" w:tentative="1">
      <w:start w:val="1"/>
      <w:numFmt w:val="lowerLetter"/>
      <w:lvlText w:val="%8."/>
      <w:lvlJc w:val="left"/>
      <w:pPr>
        <w:tabs>
          <w:tab w:val="num" w:pos="5961"/>
        </w:tabs>
        <w:ind w:left="5961" w:hanging="360"/>
      </w:pPr>
    </w:lvl>
    <w:lvl w:ilvl="8" w:tplc="001B0407" w:tentative="1">
      <w:start w:val="1"/>
      <w:numFmt w:val="lowerRoman"/>
      <w:lvlText w:val="%9."/>
      <w:lvlJc w:val="right"/>
      <w:pPr>
        <w:tabs>
          <w:tab w:val="num" w:pos="6681"/>
        </w:tabs>
        <w:ind w:left="6681" w:hanging="180"/>
      </w:pPr>
    </w:lvl>
  </w:abstractNum>
  <w:abstractNum w:abstractNumId="3"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4"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8"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9" w15:restartNumberingAfterBreak="0">
    <w:nsid w:val="756D32B1"/>
    <w:multiLevelType w:val="hybridMultilevel"/>
    <w:tmpl w:val="8674B266"/>
    <w:lvl w:ilvl="0" w:tplc="C3866A1A">
      <w:start w:val="1"/>
      <w:numFmt w:val="decimal"/>
      <w:lvlText w:val="%1."/>
      <w:lvlJc w:val="left"/>
      <w:pPr>
        <w:tabs>
          <w:tab w:val="num" w:pos="927"/>
        </w:tabs>
        <w:ind w:left="927" w:hanging="360"/>
      </w:pPr>
      <w:rPr>
        <w:rFonts w:hint="default"/>
        <w:u w:val="single"/>
      </w:rPr>
    </w:lvl>
    <w:lvl w:ilvl="1" w:tplc="00190407" w:tentative="1">
      <w:start w:val="1"/>
      <w:numFmt w:val="lowerLetter"/>
      <w:lvlText w:val="%2."/>
      <w:lvlJc w:val="left"/>
      <w:pPr>
        <w:tabs>
          <w:tab w:val="num" w:pos="1647"/>
        </w:tabs>
        <w:ind w:left="1647" w:hanging="360"/>
      </w:pPr>
    </w:lvl>
    <w:lvl w:ilvl="2" w:tplc="001B0407" w:tentative="1">
      <w:start w:val="1"/>
      <w:numFmt w:val="lowerRoman"/>
      <w:lvlText w:val="%3."/>
      <w:lvlJc w:val="right"/>
      <w:pPr>
        <w:tabs>
          <w:tab w:val="num" w:pos="2367"/>
        </w:tabs>
        <w:ind w:left="2367" w:hanging="180"/>
      </w:pPr>
    </w:lvl>
    <w:lvl w:ilvl="3" w:tplc="000F0407" w:tentative="1">
      <w:start w:val="1"/>
      <w:numFmt w:val="decimal"/>
      <w:lvlText w:val="%4."/>
      <w:lvlJc w:val="left"/>
      <w:pPr>
        <w:tabs>
          <w:tab w:val="num" w:pos="3087"/>
        </w:tabs>
        <w:ind w:left="3087" w:hanging="360"/>
      </w:pPr>
    </w:lvl>
    <w:lvl w:ilvl="4" w:tplc="00190407" w:tentative="1">
      <w:start w:val="1"/>
      <w:numFmt w:val="lowerLetter"/>
      <w:lvlText w:val="%5."/>
      <w:lvlJc w:val="left"/>
      <w:pPr>
        <w:tabs>
          <w:tab w:val="num" w:pos="3807"/>
        </w:tabs>
        <w:ind w:left="3807" w:hanging="360"/>
      </w:pPr>
    </w:lvl>
    <w:lvl w:ilvl="5" w:tplc="001B0407" w:tentative="1">
      <w:start w:val="1"/>
      <w:numFmt w:val="lowerRoman"/>
      <w:lvlText w:val="%6."/>
      <w:lvlJc w:val="right"/>
      <w:pPr>
        <w:tabs>
          <w:tab w:val="num" w:pos="4527"/>
        </w:tabs>
        <w:ind w:left="4527" w:hanging="180"/>
      </w:pPr>
    </w:lvl>
    <w:lvl w:ilvl="6" w:tplc="000F0407" w:tentative="1">
      <w:start w:val="1"/>
      <w:numFmt w:val="decimal"/>
      <w:lvlText w:val="%7."/>
      <w:lvlJc w:val="left"/>
      <w:pPr>
        <w:tabs>
          <w:tab w:val="num" w:pos="5247"/>
        </w:tabs>
        <w:ind w:left="5247" w:hanging="360"/>
      </w:pPr>
    </w:lvl>
    <w:lvl w:ilvl="7" w:tplc="00190407" w:tentative="1">
      <w:start w:val="1"/>
      <w:numFmt w:val="lowerLetter"/>
      <w:lvlText w:val="%8."/>
      <w:lvlJc w:val="left"/>
      <w:pPr>
        <w:tabs>
          <w:tab w:val="num" w:pos="5967"/>
        </w:tabs>
        <w:ind w:left="5967" w:hanging="360"/>
      </w:pPr>
    </w:lvl>
    <w:lvl w:ilvl="8" w:tplc="001B0407" w:tentative="1">
      <w:start w:val="1"/>
      <w:numFmt w:val="lowerRoman"/>
      <w:lvlText w:val="%9."/>
      <w:lvlJc w:val="right"/>
      <w:pPr>
        <w:tabs>
          <w:tab w:val="num" w:pos="6687"/>
        </w:tabs>
        <w:ind w:left="6687" w:hanging="180"/>
      </w:pPr>
    </w:lvl>
  </w:abstractNum>
  <w:abstractNum w:abstractNumId="10" w15:restartNumberingAfterBreak="0">
    <w:nsid w:val="79BF6AE7"/>
    <w:multiLevelType w:val="hybridMultilevel"/>
    <w:tmpl w:val="B35C59F8"/>
    <w:lvl w:ilvl="0" w:tplc="5D120DF8">
      <w:start w:val="1"/>
      <w:numFmt w:val="decimal"/>
      <w:lvlText w:val="%1."/>
      <w:lvlJc w:val="left"/>
      <w:pPr>
        <w:tabs>
          <w:tab w:val="num" w:pos="720"/>
        </w:tabs>
        <w:ind w:left="720" w:hanging="360"/>
      </w:pPr>
      <w:rPr>
        <w:rFonts w:hint="default"/>
        <w:b w:val="0"/>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16cid:durableId="1502699709">
    <w:abstractNumId w:val="6"/>
  </w:num>
  <w:num w:numId="2" w16cid:durableId="1329361903">
    <w:abstractNumId w:val="5"/>
  </w:num>
  <w:num w:numId="3" w16cid:durableId="689599499">
    <w:abstractNumId w:val="3"/>
  </w:num>
  <w:num w:numId="4" w16cid:durableId="714349489">
    <w:abstractNumId w:val="8"/>
  </w:num>
  <w:num w:numId="5" w16cid:durableId="1400051727">
    <w:abstractNumId w:val="4"/>
  </w:num>
  <w:num w:numId="6" w16cid:durableId="1612132379">
    <w:abstractNumId w:val="7"/>
  </w:num>
  <w:num w:numId="7" w16cid:durableId="1842963965">
    <w:abstractNumId w:val="1"/>
  </w:num>
  <w:num w:numId="8" w16cid:durableId="124854504">
    <w:abstractNumId w:val="9"/>
  </w:num>
  <w:num w:numId="9" w16cid:durableId="402726234">
    <w:abstractNumId w:val="2"/>
  </w:num>
  <w:num w:numId="10" w16cid:durableId="1182430700">
    <w:abstractNumId w:val="10"/>
  </w:num>
  <w:num w:numId="11" w16cid:durableId="48012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ctiveWritingStyle w:appName="MSWord" w:lang="de-DE" w:vendorID="6" w:dllVersion="2" w:checkStyle="1"/>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108E8"/>
    <w:rsid w:val="000335C8"/>
    <w:rsid w:val="0004547B"/>
    <w:rsid w:val="000918D4"/>
    <w:rsid w:val="0010396E"/>
    <w:rsid w:val="00115C85"/>
    <w:rsid w:val="00133CA1"/>
    <w:rsid w:val="0015125A"/>
    <w:rsid w:val="001929BD"/>
    <w:rsid w:val="001A1FB6"/>
    <w:rsid w:val="001B49AD"/>
    <w:rsid w:val="001C70CC"/>
    <w:rsid w:val="001D7585"/>
    <w:rsid w:val="0021470E"/>
    <w:rsid w:val="00262A96"/>
    <w:rsid w:val="002757AF"/>
    <w:rsid w:val="00290ACC"/>
    <w:rsid w:val="00291F12"/>
    <w:rsid w:val="00294EA1"/>
    <w:rsid w:val="002A305F"/>
    <w:rsid w:val="002A3134"/>
    <w:rsid w:val="002C296A"/>
    <w:rsid w:val="002E4E68"/>
    <w:rsid w:val="00316AD7"/>
    <w:rsid w:val="003635CC"/>
    <w:rsid w:val="003A77C2"/>
    <w:rsid w:val="003E6DBB"/>
    <w:rsid w:val="003F27D1"/>
    <w:rsid w:val="004875CF"/>
    <w:rsid w:val="004A6372"/>
    <w:rsid w:val="005564C2"/>
    <w:rsid w:val="00570CD6"/>
    <w:rsid w:val="00580430"/>
    <w:rsid w:val="005812BC"/>
    <w:rsid w:val="00583B23"/>
    <w:rsid w:val="005C00C3"/>
    <w:rsid w:val="005D74C0"/>
    <w:rsid w:val="0060592A"/>
    <w:rsid w:val="0061028A"/>
    <w:rsid w:val="00613B96"/>
    <w:rsid w:val="00675E71"/>
    <w:rsid w:val="00681E45"/>
    <w:rsid w:val="00691743"/>
    <w:rsid w:val="006932D5"/>
    <w:rsid w:val="00701B60"/>
    <w:rsid w:val="00714D6D"/>
    <w:rsid w:val="00720397"/>
    <w:rsid w:val="007443B6"/>
    <w:rsid w:val="00752886"/>
    <w:rsid w:val="00763D10"/>
    <w:rsid w:val="00781F04"/>
    <w:rsid w:val="007C65C9"/>
    <w:rsid w:val="007D1F23"/>
    <w:rsid w:val="007D366F"/>
    <w:rsid w:val="008376BC"/>
    <w:rsid w:val="008405A8"/>
    <w:rsid w:val="00842A71"/>
    <w:rsid w:val="00871A50"/>
    <w:rsid w:val="008C164A"/>
    <w:rsid w:val="008F7AA4"/>
    <w:rsid w:val="00921144"/>
    <w:rsid w:val="00923F6A"/>
    <w:rsid w:val="009348E0"/>
    <w:rsid w:val="009806C4"/>
    <w:rsid w:val="009946C9"/>
    <w:rsid w:val="009A2EEA"/>
    <w:rsid w:val="009C7325"/>
    <w:rsid w:val="00A0130A"/>
    <w:rsid w:val="00A470B0"/>
    <w:rsid w:val="00AE7D94"/>
    <w:rsid w:val="00B07367"/>
    <w:rsid w:val="00B465BB"/>
    <w:rsid w:val="00B651E9"/>
    <w:rsid w:val="00B7320C"/>
    <w:rsid w:val="00B97CF2"/>
    <w:rsid w:val="00BA3DD7"/>
    <w:rsid w:val="00BC14DB"/>
    <w:rsid w:val="00BD2FF2"/>
    <w:rsid w:val="00BE63CD"/>
    <w:rsid w:val="00C1274E"/>
    <w:rsid w:val="00C164F2"/>
    <w:rsid w:val="00C2631A"/>
    <w:rsid w:val="00C36A27"/>
    <w:rsid w:val="00C914C2"/>
    <w:rsid w:val="00CC6C56"/>
    <w:rsid w:val="00D17DD6"/>
    <w:rsid w:val="00D325B8"/>
    <w:rsid w:val="00D62B7B"/>
    <w:rsid w:val="00D704E9"/>
    <w:rsid w:val="00D95E9E"/>
    <w:rsid w:val="00DB3EB3"/>
    <w:rsid w:val="00DD0D25"/>
    <w:rsid w:val="00DF42EB"/>
    <w:rsid w:val="00E30DEC"/>
    <w:rsid w:val="00E43A46"/>
    <w:rsid w:val="00E604F9"/>
    <w:rsid w:val="00E62FA7"/>
    <w:rsid w:val="00E66E8D"/>
    <w:rsid w:val="00E90658"/>
    <w:rsid w:val="00E924A3"/>
    <w:rsid w:val="00EB21CA"/>
    <w:rsid w:val="00F0733D"/>
    <w:rsid w:val="00F128C6"/>
    <w:rsid w:val="00F17F74"/>
    <w:rsid w:val="00F61EC8"/>
    <w:rsid w:val="00F63EC9"/>
    <w:rsid w:val="00F72719"/>
    <w:rsid w:val="00F73B35"/>
    <w:rsid w:val="00F93054"/>
    <w:rsid w:val="00FD45A7"/>
    <w:rsid w:val="00FD6A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EADFF5"/>
  <w15:chartTrackingRefBased/>
  <w15:docId w15:val="{7AC189DD-2EC1-4777-AAC4-4CEFC188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semiHidden/>
    <w:rsid w:val="000A00A2"/>
    <w:rPr>
      <w:rFonts w:ascii="Tahoma" w:hAnsi="Tahoma" w:cs="Tahoma"/>
      <w:sz w:val="16"/>
      <w:szCs w:val="16"/>
    </w:rPr>
  </w:style>
  <w:style w:type="character" w:styleId="Kommentarzeichen">
    <w:name w:val="annotation reference"/>
    <w:uiPriority w:val="99"/>
    <w:semiHidden/>
    <w:unhideWhenUsed/>
    <w:rsid w:val="00842A71"/>
    <w:rPr>
      <w:sz w:val="18"/>
      <w:szCs w:val="18"/>
    </w:rPr>
  </w:style>
  <w:style w:type="paragraph" w:styleId="Kommentartext">
    <w:name w:val="annotation text"/>
    <w:basedOn w:val="Standard"/>
    <w:link w:val="KommentartextZchn"/>
    <w:uiPriority w:val="99"/>
    <w:semiHidden/>
    <w:unhideWhenUsed/>
    <w:rsid w:val="00842A71"/>
  </w:style>
  <w:style w:type="character" w:customStyle="1" w:styleId="KommentartextZchn">
    <w:name w:val="Kommentartext Zchn"/>
    <w:link w:val="Kommentartext"/>
    <w:uiPriority w:val="99"/>
    <w:semiHidden/>
    <w:rsid w:val="00842A71"/>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842A71"/>
    <w:rPr>
      <w:b/>
      <w:bCs/>
      <w:sz w:val="20"/>
      <w:szCs w:val="20"/>
    </w:rPr>
  </w:style>
  <w:style w:type="character" w:customStyle="1" w:styleId="KommentarthemaZchn">
    <w:name w:val="Kommentarthema Zchn"/>
    <w:link w:val="Kommentarthema"/>
    <w:uiPriority w:val="99"/>
    <w:semiHidden/>
    <w:rsid w:val="00842A71"/>
    <w:rPr>
      <w:rFonts w:ascii="Dutch Roman 12pt" w:hAnsi="Dutch Roman 12pt" w:cs="Arial Narrow"/>
      <w:b/>
      <w:bCs/>
      <w:sz w:val="24"/>
      <w:szCs w:val="24"/>
    </w:rPr>
  </w:style>
  <w:style w:type="paragraph" w:styleId="berarbeitung">
    <w:name w:val="Revision"/>
    <w:hidden/>
    <w:uiPriority w:val="71"/>
    <w:rsid w:val="00A0130A"/>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1018</Words>
  <Characters>6418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2020-10-28T13:55:00Z</cp:lastPrinted>
  <dcterms:created xsi:type="dcterms:W3CDTF">2024-10-10T13:42:00Z</dcterms:created>
  <dcterms:modified xsi:type="dcterms:W3CDTF">2024-10-10T13:42:00Z</dcterms:modified>
</cp:coreProperties>
</file>