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58A5" w14:textId="4D2A7D6F" w:rsidR="00BF5261" w:rsidRPr="00755469" w:rsidRDefault="00BF5261" w:rsidP="00BC39A3">
      <w:pPr>
        <w:tabs>
          <w:tab w:val="right" w:pos="10206"/>
        </w:tabs>
        <w:jc w:val="both"/>
        <w:rPr>
          <w:b/>
          <w:spacing w:val="-3"/>
        </w:rPr>
      </w:pPr>
      <w:r>
        <w:rPr>
          <w:b/>
          <w:spacing w:val="-3"/>
        </w:rPr>
        <w:t xml:space="preserve">Prof. Dr. </w:t>
      </w:r>
      <w:r w:rsidR="007F011C">
        <w:rPr>
          <w:b/>
          <w:spacing w:val="-3"/>
        </w:rPr>
        <w:t xml:space="preserve">Dr. h.c. </w:t>
      </w:r>
      <w:r>
        <w:rPr>
          <w:b/>
          <w:spacing w:val="-3"/>
        </w:rPr>
        <w:t>Bernd Heinrich/</w:t>
      </w:r>
      <w:r w:rsidR="00225F46">
        <w:rPr>
          <w:b/>
          <w:spacing w:val="-3"/>
        </w:rPr>
        <w:t>Pr</w:t>
      </w:r>
      <w:r w:rsidR="009753BD">
        <w:rPr>
          <w:b/>
          <w:spacing w:val="-3"/>
        </w:rPr>
        <w:t>of</w:t>
      </w:r>
      <w:r w:rsidR="00225F46">
        <w:rPr>
          <w:b/>
          <w:spacing w:val="-3"/>
        </w:rPr>
        <w:t xml:space="preserve">. </w:t>
      </w:r>
      <w:r>
        <w:rPr>
          <w:b/>
          <w:spacing w:val="-3"/>
        </w:rPr>
        <w:t>Dr. Tobias Reinbacher</w:t>
      </w:r>
      <w:r>
        <w:rPr>
          <w:b/>
          <w:spacing w:val="-3"/>
        </w:rPr>
        <w:tab/>
        <w:t xml:space="preserve">Stand: 1. </w:t>
      </w:r>
      <w:r w:rsidR="00982FD6">
        <w:rPr>
          <w:b/>
          <w:spacing w:val="-3"/>
        </w:rPr>
        <w:t>Oktober</w:t>
      </w:r>
      <w:r w:rsidR="00A433A8">
        <w:rPr>
          <w:b/>
          <w:spacing w:val="-3"/>
        </w:rPr>
        <w:t xml:space="preserve"> </w:t>
      </w:r>
      <w:r w:rsidR="000D56C9">
        <w:rPr>
          <w:b/>
          <w:spacing w:val="-3"/>
        </w:rPr>
        <w:t>20</w:t>
      </w:r>
      <w:r w:rsidR="005623B8">
        <w:rPr>
          <w:b/>
          <w:spacing w:val="-3"/>
        </w:rPr>
        <w:t>2</w:t>
      </w:r>
      <w:r w:rsidR="00CC082D">
        <w:rPr>
          <w:b/>
          <w:spacing w:val="-3"/>
        </w:rPr>
        <w:t>4</w:t>
      </w:r>
    </w:p>
    <w:p w14:paraId="30F287E3" w14:textId="02BC28F8" w:rsidR="00BF5261" w:rsidRDefault="00BF5261" w:rsidP="00BF5261">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CC082D">
        <w:rPr>
          <w:b/>
          <w:spacing w:val="-3"/>
        </w:rPr>
        <w:t> </w:t>
      </w:r>
      <w:r>
        <w:rPr>
          <w:b/>
          <w:spacing w:val="-3"/>
        </w:rPr>
        <w:t>32</w:t>
      </w:r>
    </w:p>
    <w:p w14:paraId="6353D00D" w14:textId="77777777" w:rsidR="00BC39A3" w:rsidRDefault="00BF5261" w:rsidP="00BF5261">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BC39A3">
        <w:rPr>
          <w:b/>
          <w:spacing w:val="-7"/>
          <w:sz w:val="52"/>
          <w:szCs w:val="52"/>
        </w:rPr>
        <w:t xml:space="preserve">Beweisverwertungsverbote VII – </w:t>
      </w:r>
    </w:p>
    <w:p w14:paraId="21617298" w14:textId="77777777" w:rsidR="00BF5261" w:rsidRPr="00BC39A3" w:rsidRDefault="00BF5261" w:rsidP="00BF5261">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BC39A3">
        <w:rPr>
          <w:b/>
          <w:spacing w:val="-7"/>
          <w:sz w:val="52"/>
          <w:szCs w:val="52"/>
        </w:rPr>
        <w:t>Fernwirkung</w:t>
      </w:r>
    </w:p>
    <w:p w14:paraId="3275EBF7" w14:textId="77777777" w:rsidR="00BF5261" w:rsidRDefault="00BF5261">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4A4E00">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3320D3">
        <w:rPr>
          <w:rFonts w:ascii="Times New Roman" w:hAnsi="Times New Roman"/>
          <w:noProof/>
          <w:vanish/>
          <w:spacing w:val="-7"/>
          <w:sz w:val="60"/>
        </w:rPr>
        <w:t>1</w:t>
      </w:r>
      <w:r>
        <w:rPr>
          <w:rFonts w:ascii="Times New Roman" w:hAnsi="Times New Roman"/>
          <w:vanish/>
          <w:spacing w:val="-7"/>
          <w:sz w:val="60"/>
        </w:rPr>
        <w:fldChar w:fldCharType="end"/>
      </w:r>
    </w:p>
    <w:p w14:paraId="70EA25CA" w14:textId="77777777" w:rsidR="00BF5261" w:rsidRPr="00C9744F" w:rsidRDefault="00BF5261">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20"/>
        </w:rPr>
      </w:pPr>
    </w:p>
    <w:p w14:paraId="61B8A606" w14:textId="40C76C4A" w:rsidR="00BF5261" w:rsidRDefault="00BF5261" w:rsidP="00BF5261">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9F1333">
        <w:rPr>
          <w:rFonts w:ascii="Times New Roman" w:hAnsi="Times New Roman"/>
          <w:b/>
          <w:spacing w:val="-2"/>
          <w:sz w:val="16"/>
          <w:szCs w:val="16"/>
        </w:rPr>
        <w:t xml:space="preserve">I. </w:t>
      </w:r>
      <w:r w:rsidRPr="009F1333">
        <w:rPr>
          <w:rFonts w:ascii="Times New Roman" w:hAnsi="Times New Roman"/>
          <w:b/>
          <w:spacing w:val="-2"/>
          <w:sz w:val="16"/>
          <w:szCs w:val="16"/>
        </w:rPr>
        <w:tab/>
        <w:t xml:space="preserve">Allgemeines: </w:t>
      </w:r>
      <w:r w:rsidRPr="009F1333">
        <w:rPr>
          <w:rFonts w:ascii="Times New Roman" w:hAnsi="Times New Roman"/>
          <w:spacing w:val="-2"/>
          <w:sz w:val="16"/>
          <w:szCs w:val="16"/>
        </w:rPr>
        <w:t xml:space="preserve">Liegt ein Beweisverwertungsverbot hinsichtlich eines bestimmten Beweismittels vor, so stellt sich die wichtige Frage, ob dies auch zu einer Unzulässigkeit der Verwertung solcher Beweismittel führt, die </w:t>
      </w:r>
      <w:r w:rsidRPr="009F1333">
        <w:rPr>
          <w:rFonts w:ascii="Times New Roman" w:hAnsi="Times New Roman"/>
          <w:b/>
          <w:spacing w:val="-2"/>
          <w:sz w:val="16"/>
          <w:szCs w:val="16"/>
        </w:rPr>
        <w:t>mittelbar</w:t>
      </w:r>
      <w:r w:rsidRPr="009F1333">
        <w:rPr>
          <w:rFonts w:ascii="Times New Roman" w:hAnsi="Times New Roman"/>
          <w:spacing w:val="-2"/>
          <w:sz w:val="16"/>
          <w:szCs w:val="16"/>
        </w:rPr>
        <w:t xml:space="preserve"> aus dem ersten Beweismittel gewonnen werden (sog. </w:t>
      </w:r>
      <w:r w:rsidRPr="009F1333">
        <w:rPr>
          <w:rFonts w:ascii="Times New Roman" w:hAnsi="Times New Roman"/>
          <w:b/>
          <w:spacing w:val="-2"/>
          <w:sz w:val="16"/>
          <w:szCs w:val="16"/>
        </w:rPr>
        <w:t>Fernwirkung</w:t>
      </w:r>
      <w:r w:rsidRPr="009F1333">
        <w:rPr>
          <w:rFonts w:ascii="Times New Roman" w:hAnsi="Times New Roman"/>
          <w:spacing w:val="-2"/>
          <w:sz w:val="16"/>
          <w:szCs w:val="16"/>
        </w:rPr>
        <w:t xml:space="preserve">). Gesteht z.B. der Täter unter Androhung von Folter (so im </w:t>
      </w:r>
      <w:r w:rsidRPr="009F1333">
        <w:rPr>
          <w:rFonts w:ascii="Times New Roman" w:hAnsi="Times New Roman"/>
          <w:b/>
          <w:spacing w:val="-2"/>
          <w:sz w:val="16"/>
          <w:szCs w:val="16"/>
        </w:rPr>
        <w:t xml:space="preserve">Daschner-Fall; </w:t>
      </w:r>
      <w:r w:rsidRPr="009F1333">
        <w:rPr>
          <w:rFonts w:ascii="Times New Roman" w:hAnsi="Times New Roman"/>
          <w:spacing w:val="-2"/>
          <w:sz w:val="16"/>
          <w:szCs w:val="16"/>
        </w:rPr>
        <w:t xml:space="preserve">LG Frankfurt </w:t>
      </w:r>
      <w:r w:rsidR="00BB193C" w:rsidRPr="009F1333">
        <w:rPr>
          <w:rFonts w:ascii="Times New Roman" w:hAnsi="Times New Roman"/>
          <w:spacing w:val="-2"/>
          <w:sz w:val="16"/>
          <w:szCs w:val="16"/>
        </w:rPr>
        <w:t xml:space="preserve">am Main </w:t>
      </w:r>
      <w:r w:rsidRPr="009F1333">
        <w:rPr>
          <w:rFonts w:ascii="Times New Roman" w:hAnsi="Times New Roman"/>
          <w:spacing w:val="-2"/>
          <w:sz w:val="16"/>
          <w:szCs w:val="16"/>
        </w:rPr>
        <w:t xml:space="preserve">StV 2003, 325) einen Mord und nennt dabei auch den Fundort der Leiche, so kann sein Geständnis </w:t>
      </w:r>
      <w:r w:rsidRPr="009F1333">
        <w:rPr>
          <w:sz w:val="16"/>
          <w:szCs w:val="16"/>
        </w:rPr>
        <w:t xml:space="preserve">gemäß </w:t>
      </w:r>
      <w:r w:rsidRPr="009F1333">
        <w:rPr>
          <w:b/>
          <w:sz w:val="16"/>
          <w:szCs w:val="16"/>
        </w:rPr>
        <w:t>§ 136a III 2 StPO</w:t>
      </w:r>
      <w:r w:rsidRPr="009F1333">
        <w:rPr>
          <w:rFonts w:ascii="Times New Roman" w:hAnsi="Times New Roman"/>
          <w:spacing w:val="-2"/>
          <w:sz w:val="16"/>
          <w:szCs w:val="16"/>
        </w:rPr>
        <w:t xml:space="preserve"> nicht verwertet werden</w:t>
      </w:r>
      <w:r w:rsidR="00CC082D" w:rsidRPr="009F1333">
        <w:rPr>
          <w:rFonts w:ascii="Times New Roman" w:hAnsi="Times New Roman"/>
          <w:spacing w:val="-2"/>
          <w:sz w:val="16"/>
          <w:szCs w:val="16"/>
        </w:rPr>
        <w:t>. E</w:t>
      </w:r>
      <w:r w:rsidRPr="009F1333">
        <w:rPr>
          <w:rFonts w:ascii="Times New Roman" w:hAnsi="Times New Roman"/>
          <w:spacing w:val="-2"/>
          <w:sz w:val="16"/>
          <w:szCs w:val="16"/>
        </w:rPr>
        <w:t>s fragt sich aber, ob die am Fundort oder bei einer Obduktion der Leiche gefundenen Spuren ebenfalls einem Verwertungsverbot unterliegen.</w:t>
      </w:r>
    </w:p>
    <w:p w14:paraId="5F9FFE77" w14:textId="77777777" w:rsidR="00CC082D" w:rsidRPr="009F1333" w:rsidRDefault="00CC082D" w:rsidP="00BF5261">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p>
    <w:p w14:paraId="03C626E6" w14:textId="77777777" w:rsidR="00BF5261" w:rsidRPr="009F1333" w:rsidRDefault="00BF5261" w:rsidP="00BF5261">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szCs w:val="16"/>
        </w:rPr>
      </w:pPr>
      <w:r w:rsidRPr="009F1333">
        <w:rPr>
          <w:rFonts w:ascii="Times New Roman" w:hAnsi="Times New Roman"/>
          <w:b/>
          <w:spacing w:val="-2"/>
          <w:sz w:val="16"/>
          <w:szCs w:val="16"/>
        </w:rPr>
        <w:t>II.</w:t>
      </w:r>
      <w:r w:rsidRPr="009F1333">
        <w:rPr>
          <w:rFonts w:ascii="Times New Roman" w:hAnsi="Times New Roman"/>
          <w:b/>
          <w:spacing w:val="-2"/>
          <w:sz w:val="16"/>
          <w:szCs w:val="16"/>
        </w:rPr>
        <w:tab/>
      </w:r>
      <w:r w:rsidRPr="009F1333">
        <w:rPr>
          <w:rFonts w:ascii="Times New Roman" w:hAnsi="Times New Roman"/>
          <w:b/>
          <w:spacing w:val="-2"/>
          <w:sz w:val="16"/>
          <w:szCs w:val="16"/>
        </w:rPr>
        <w:tab/>
        <w:t>Auffassungen zur Fernwirkung:</w:t>
      </w:r>
    </w:p>
    <w:p w14:paraId="63CEFC8D" w14:textId="77777777" w:rsidR="00BF5261" w:rsidRPr="009F1333" w:rsidRDefault="00BF5261" w:rsidP="00BF5261">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9F1333">
        <w:rPr>
          <w:rFonts w:ascii="Times New Roman" w:hAnsi="Times New Roman"/>
          <w:spacing w:val="-2"/>
          <w:sz w:val="16"/>
          <w:szCs w:val="16"/>
        </w:rPr>
        <w:t xml:space="preserve">1. </w:t>
      </w:r>
      <w:r w:rsidRPr="009F1333">
        <w:rPr>
          <w:rFonts w:ascii="Times New Roman" w:hAnsi="Times New Roman"/>
          <w:spacing w:val="-2"/>
          <w:sz w:val="16"/>
          <w:szCs w:val="16"/>
        </w:rPr>
        <w:tab/>
        <w:t xml:space="preserve">Die </w:t>
      </w:r>
      <w:r w:rsidRPr="009F1333">
        <w:rPr>
          <w:rFonts w:ascii="Times New Roman" w:hAnsi="Times New Roman"/>
          <w:spacing w:val="-2"/>
          <w:sz w:val="16"/>
          <w:szCs w:val="16"/>
          <w:u w:val="single"/>
        </w:rPr>
        <w:t>Rechtsprechung</w:t>
      </w:r>
      <w:r w:rsidRPr="009F1333">
        <w:rPr>
          <w:rFonts w:ascii="Times New Roman" w:hAnsi="Times New Roman"/>
          <w:spacing w:val="-2"/>
          <w:sz w:val="16"/>
          <w:szCs w:val="16"/>
        </w:rPr>
        <w:t xml:space="preserve"> </w:t>
      </w:r>
      <w:r w:rsidRPr="009F1333">
        <w:rPr>
          <w:rFonts w:ascii="Times New Roman" w:hAnsi="Times New Roman"/>
          <w:b/>
          <w:spacing w:val="-2"/>
          <w:sz w:val="16"/>
          <w:szCs w:val="16"/>
        </w:rPr>
        <w:t>verneint</w:t>
      </w:r>
      <w:r w:rsidRPr="009F1333">
        <w:rPr>
          <w:rFonts w:ascii="Times New Roman" w:hAnsi="Times New Roman"/>
          <w:spacing w:val="-2"/>
          <w:sz w:val="16"/>
          <w:szCs w:val="16"/>
        </w:rPr>
        <w:t xml:space="preserve"> regelmäßig eine Fernwirkung. Begründet wird dies damit, dass ein Verfahrensfehler nicht das gesamte Verfahren </w:t>
      </w:r>
      <w:r w:rsidR="00937FC6" w:rsidRPr="009F1333">
        <w:rPr>
          <w:rFonts w:ascii="Times New Roman" w:hAnsi="Times New Roman"/>
          <w:spacing w:val="-2"/>
          <w:sz w:val="16"/>
          <w:szCs w:val="16"/>
        </w:rPr>
        <w:t>lahmlegen</w:t>
      </w:r>
      <w:r w:rsidRPr="009F1333">
        <w:rPr>
          <w:rFonts w:ascii="Times New Roman" w:hAnsi="Times New Roman"/>
          <w:spacing w:val="-2"/>
          <w:sz w:val="16"/>
          <w:szCs w:val="16"/>
        </w:rPr>
        <w:t xml:space="preserve"> dar</w:t>
      </w:r>
      <w:r w:rsidR="009B526F" w:rsidRPr="009F1333">
        <w:rPr>
          <w:rFonts w:ascii="Times New Roman" w:hAnsi="Times New Roman"/>
          <w:spacing w:val="-2"/>
          <w:sz w:val="16"/>
          <w:szCs w:val="16"/>
        </w:rPr>
        <w:t>f (Gewährleistung einer effektiven Strafverfolgung)</w:t>
      </w:r>
      <w:r w:rsidRPr="009F1333">
        <w:rPr>
          <w:rFonts w:ascii="Times New Roman" w:hAnsi="Times New Roman"/>
          <w:spacing w:val="-2"/>
          <w:sz w:val="16"/>
          <w:szCs w:val="16"/>
        </w:rPr>
        <w:t>. Im Übrigen lässt sich in der Praxis schwer feststellen, ob es der Polizei nicht auch gelungen wäre, das Beweismittel auf andere Weise zu erlangen.</w:t>
      </w:r>
    </w:p>
    <w:p w14:paraId="16BB9381" w14:textId="6E76BE9D" w:rsidR="00BF5261" w:rsidRPr="009F1333" w:rsidRDefault="00BF5261" w:rsidP="00BF5261">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9F1333">
        <w:rPr>
          <w:rFonts w:ascii="Times New Roman" w:hAnsi="Times New Roman"/>
          <w:spacing w:val="-2"/>
          <w:sz w:val="16"/>
          <w:szCs w:val="16"/>
        </w:rPr>
        <w:t>2.</w:t>
      </w:r>
      <w:r w:rsidRPr="009F1333">
        <w:rPr>
          <w:rFonts w:ascii="Times New Roman" w:hAnsi="Times New Roman"/>
          <w:spacing w:val="-2"/>
          <w:sz w:val="16"/>
          <w:szCs w:val="16"/>
        </w:rPr>
        <w:tab/>
        <w:t xml:space="preserve">In der </w:t>
      </w:r>
      <w:r w:rsidRPr="009F1333">
        <w:rPr>
          <w:rFonts w:ascii="Times New Roman" w:hAnsi="Times New Roman"/>
          <w:spacing w:val="-2"/>
          <w:sz w:val="16"/>
          <w:szCs w:val="16"/>
          <w:u w:val="single"/>
        </w:rPr>
        <w:t>Literatur</w:t>
      </w:r>
      <w:r w:rsidRPr="009F1333">
        <w:rPr>
          <w:rFonts w:ascii="Times New Roman" w:hAnsi="Times New Roman"/>
          <w:spacing w:val="-2"/>
          <w:sz w:val="16"/>
          <w:szCs w:val="16"/>
        </w:rPr>
        <w:t xml:space="preserve"> wird teilweise </w:t>
      </w:r>
      <w:r w:rsidR="00755469" w:rsidRPr="009F1333">
        <w:rPr>
          <w:rFonts w:ascii="Times New Roman" w:hAnsi="Times New Roman"/>
          <w:spacing w:val="-2"/>
          <w:sz w:val="16"/>
          <w:szCs w:val="16"/>
        </w:rPr>
        <w:t xml:space="preserve">eine Fernwirkung bejaht, wie es auch </w:t>
      </w:r>
      <w:r w:rsidRPr="009F1333">
        <w:rPr>
          <w:rFonts w:ascii="Times New Roman" w:hAnsi="Times New Roman"/>
          <w:spacing w:val="-2"/>
          <w:sz w:val="16"/>
          <w:szCs w:val="16"/>
        </w:rPr>
        <w:t xml:space="preserve">die </w:t>
      </w:r>
      <w:r w:rsidRPr="009F1333">
        <w:rPr>
          <w:rFonts w:ascii="Times New Roman" w:hAnsi="Times New Roman"/>
          <w:b/>
          <w:spacing w:val="-2"/>
          <w:sz w:val="16"/>
          <w:szCs w:val="16"/>
        </w:rPr>
        <w:t>„</w:t>
      </w:r>
      <w:proofErr w:type="spellStart"/>
      <w:r w:rsidRPr="009F1333">
        <w:rPr>
          <w:rFonts w:ascii="Times New Roman" w:hAnsi="Times New Roman"/>
          <w:b/>
          <w:spacing w:val="-2"/>
          <w:sz w:val="16"/>
          <w:szCs w:val="16"/>
        </w:rPr>
        <w:t>fruit-of-the-poisonous-tree-doctrine</w:t>
      </w:r>
      <w:proofErr w:type="spellEnd"/>
      <w:r w:rsidRPr="009F1333">
        <w:rPr>
          <w:rFonts w:ascii="Times New Roman" w:hAnsi="Times New Roman"/>
          <w:b/>
          <w:spacing w:val="-2"/>
          <w:sz w:val="16"/>
          <w:szCs w:val="16"/>
        </w:rPr>
        <w:t>“</w:t>
      </w:r>
      <w:r w:rsidRPr="009F1333">
        <w:rPr>
          <w:rFonts w:ascii="Times New Roman" w:hAnsi="Times New Roman"/>
          <w:spacing w:val="-2"/>
          <w:sz w:val="16"/>
          <w:szCs w:val="16"/>
        </w:rPr>
        <w:t xml:space="preserve"> des US-amerikanischen Rechts </w:t>
      </w:r>
      <w:r w:rsidR="00755469" w:rsidRPr="009F1333">
        <w:rPr>
          <w:rFonts w:ascii="Times New Roman" w:hAnsi="Times New Roman"/>
          <w:spacing w:val="-2"/>
          <w:sz w:val="16"/>
          <w:szCs w:val="16"/>
        </w:rPr>
        <w:t>annimmt</w:t>
      </w:r>
      <w:r w:rsidR="00FC43AB" w:rsidRPr="009F1333">
        <w:rPr>
          <w:rFonts w:ascii="Times New Roman" w:hAnsi="Times New Roman"/>
          <w:spacing w:val="-2"/>
          <w:sz w:val="16"/>
          <w:szCs w:val="16"/>
        </w:rPr>
        <w:t>, der</w:t>
      </w:r>
      <w:r w:rsidRPr="009F1333">
        <w:rPr>
          <w:rFonts w:ascii="Times New Roman" w:hAnsi="Times New Roman"/>
          <w:spacing w:val="-2"/>
          <w:sz w:val="16"/>
          <w:szCs w:val="16"/>
        </w:rPr>
        <w:t xml:space="preserve"> </w:t>
      </w:r>
      <w:r w:rsidR="00FC43AB" w:rsidRPr="009F1333">
        <w:rPr>
          <w:rFonts w:ascii="Times New Roman" w:hAnsi="Times New Roman"/>
          <w:spacing w:val="-2"/>
          <w:sz w:val="16"/>
          <w:szCs w:val="16"/>
        </w:rPr>
        <w:t>insofern</w:t>
      </w:r>
      <w:r w:rsidRPr="009F1333">
        <w:rPr>
          <w:rFonts w:ascii="Times New Roman" w:hAnsi="Times New Roman"/>
          <w:spacing w:val="-2"/>
          <w:sz w:val="16"/>
          <w:szCs w:val="16"/>
        </w:rPr>
        <w:t xml:space="preserve"> eine Disziplinierungsfunktion </w:t>
      </w:r>
      <w:r w:rsidR="00FC43AB" w:rsidRPr="009F1333">
        <w:rPr>
          <w:rFonts w:ascii="Times New Roman" w:hAnsi="Times New Roman"/>
          <w:spacing w:val="-2"/>
          <w:sz w:val="16"/>
          <w:szCs w:val="16"/>
        </w:rPr>
        <w:t>zukomm</w:t>
      </w:r>
      <w:r w:rsidR="007A348D" w:rsidRPr="009F1333">
        <w:rPr>
          <w:rFonts w:ascii="Times New Roman" w:hAnsi="Times New Roman"/>
          <w:spacing w:val="-2"/>
          <w:sz w:val="16"/>
          <w:szCs w:val="16"/>
        </w:rPr>
        <w:t>en soll,</w:t>
      </w:r>
      <w:r w:rsidRPr="009F1333">
        <w:rPr>
          <w:rFonts w:ascii="Times New Roman" w:hAnsi="Times New Roman"/>
          <w:spacing w:val="-2"/>
          <w:sz w:val="16"/>
          <w:szCs w:val="16"/>
        </w:rPr>
        <w:t xml:space="preserve"> </w:t>
      </w:r>
      <w:r w:rsidR="007A348D" w:rsidRPr="009F1333">
        <w:rPr>
          <w:rFonts w:ascii="Times New Roman" w:hAnsi="Times New Roman"/>
          <w:spacing w:val="-2"/>
          <w:sz w:val="16"/>
          <w:szCs w:val="16"/>
        </w:rPr>
        <w:t>um</w:t>
      </w:r>
      <w:r w:rsidRPr="009F1333">
        <w:rPr>
          <w:rFonts w:ascii="Times New Roman" w:hAnsi="Times New Roman"/>
          <w:spacing w:val="-2"/>
          <w:sz w:val="16"/>
          <w:szCs w:val="16"/>
        </w:rPr>
        <w:t xml:space="preserve"> zukünftige Verstöße zu vermeiden. Das wesentliche Argument der deutschen Vertreter </w:t>
      </w:r>
      <w:r w:rsidR="006B202E" w:rsidRPr="009F1333">
        <w:rPr>
          <w:rFonts w:ascii="Times New Roman" w:hAnsi="Times New Roman"/>
          <w:spacing w:val="-2"/>
          <w:sz w:val="16"/>
          <w:szCs w:val="16"/>
        </w:rPr>
        <w:t xml:space="preserve">einer Fernwirkung </w:t>
      </w:r>
      <w:r w:rsidRPr="009F1333">
        <w:rPr>
          <w:rFonts w:ascii="Times New Roman" w:hAnsi="Times New Roman"/>
          <w:spacing w:val="-2"/>
          <w:sz w:val="16"/>
          <w:szCs w:val="16"/>
        </w:rPr>
        <w:t xml:space="preserve">besteht darin, dass es sonst leicht möglich </w:t>
      </w:r>
      <w:r w:rsidR="001B01EF" w:rsidRPr="009F1333">
        <w:rPr>
          <w:rFonts w:ascii="Times New Roman" w:hAnsi="Times New Roman"/>
          <w:spacing w:val="-2"/>
          <w:sz w:val="16"/>
          <w:szCs w:val="16"/>
        </w:rPr>
        <w:t>sei</w:t>
      </w:r>
      <w:r w:rsidRPr="009F1333">
        <w:rPr>
          <w:rFonts w:ascii="Times New Roman" w:hAnsi="Times New Roman"/>
          <w:spacing w:val="-2"/>
          <w:sz w:val="16"/>
          <w:szCs w:val="16"/>
        </w:rPr>
        <w:t xml:space="preserve">, die Beweisverwertungsverbote zu umgehen. Zudem sprächen Sinn und Zweck der Beweisverwertungsverbote für eine Fernwirkung. Ein schwerwiegender Verstoß gegen Grundrechte des Beschuldigten müsse zu einem umfassenden Verbot der solchermaßen erlangten Beweise führen. Eine Ausnahme soll aber nach </w:t>
      </w:r>
      <w:proofErr w:type="spellStart"/>
      <w:r w:rsidR="00CC082D">
        <w:rPr>
          <w:rFonts w:ascii="Times New Roman" w:hAnsi="Times New Roman"/>
          <w:spacing w:val="-2"/>
          <w:sz w:val="16"/>
          <w:szCs w:val="16"/>
        </w:rPr>
        <w:t>t.</w:t>
      </w:r>
      <w:r w:rsidRPr="009F1333">
        <w:rPr>
          <w:rFonts w:ascii="Times New Roman" w:hAnsi="Times New Roman"/>
          <w:spacing w:val="-2"/>
          <w:sz w:val="16"/>
          <w:szCs w:val="16"/>
        </w:rPr>
        <w:t>v</w:t>
      </w:r>
      <w:r w:rsidR="00CC082D">
        <w:rPr>
          <w:rFonts w:ascii="Times New Roman" w:hAnsi="Times New Roman"/>
          <w:spacing w:val="-2"/>
          <w:sz w:val="16"/>
          <w:szCs w:val="16"/>
        </w:rPr>
        <w:t>.</w:t>
      </w:r>
      <w:r w:rsidRPr="009F1333">
        <w:rPr>
          <w:rFonts w:ascii="Times New Roman" w:hAnsi="Times New Roman"/>
          <w:spacing w:val="-2"/>
          <w:sz w:val="16"/>
          <w:szCs w:val="16"/>
        </w:rPr>
        <w:t>A</w:t>
      </w:r>
      <w:proofErr w:type="spellEnd"/>
      <w:r w:rsidR="00CC082D">
        <w:rPr>
          <w:rFonts w:ascii="Times New Roman" w:hAnsi="Times New Roman"/>
          <w:spacing w:val="-2"/>
          <w:sz w:val="16"/>
          <w:szCs w:val="16"/>
        </w:rPr>
        <w:t>.</w:t>
      </w:r>
      <w:r w:rsidRPr="009F1333">
        <w:rPr>
          <w:rFonts w:ascii="Times New Roman" w:hAnsi="Times New Roman"/>
          <w:spacing w:val="-2"/>
          <w:sz w:val="16"/>
          <w:szCs w:val="16"/>
        </w:rPr>
        <w:t xml:space="preserve"> dann bestehen, wenn das Beweismittel höchstwahrscheinlich ohne Verfahrensverstoß hätte erlangt werden können – sog. </w:t>
      </w:r>
      <w:r w:rsidRPr="009F1333">
        <w:rPr>
          <w:rFonts w:ascii="Times New Roman" w:hAnsi="Times New Roman"/>
          <w:b/>
          <w:spacing w:val="-2"/>
          <w:sz w:val="16"/>
          <w:szCs w:val="16"/>
        </w:rPr>
        <w:t xml:space="preserve">hypothetischer </w:t>
      </w:r>
      <w:r w:rsidR="004A72AF" w:rsidRPr="009F1333">
        <w:rPr>
          <w:rFonts w:ascii="Times New Roman" w:hAnsi="Times New Roman"/>
          <w:b/>
          <w:spacing w:val="-2"/>
          <w:sz w:val="16"/>
          <w:szCs w:val="16"/>
        </w:rPr>
        <w:t>Ersatzeingriff</w:t>
      </w:r>
      <w:r w:rsidRPr="009F1333">
        <w:rPr>
          <w:rFonts w:ascii="Times New Roman" w:hAnsi="Times New Roman"/>
          <w:spacing w:val="-2"/>
          <w:sz w:val="16"/>
          <w:szCs w:val="16"/>
        </w:rPr>
        <w:t>.</w:t>
      </w:r>
    </w:p>
    <w:p w14:paraId="35166D04" w14:textId="7B2B5D08" w:rsidR="00BF5261" w:rsidRPr="009F1333" w:rsidRDefault="00BF5261" w:rsidP="00BF2F9E">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9F1333">
        <w:rPr>
          <w:rFonts w:ascii="Times New Roman" w:hAnsi="Times New Roman"/>
          <w:spacing w:val="-2"/>
          <w:sz w:val="16"/>
          <w:szCs w:val="16"/>
        </w:rPr>
        <w:t>3.</w:t>
      </w:r>
      <w:r w:rsidRPr="009F1333">
        <w:rPr>
          <w:rFonts w:ascii="Times New Roman" w:hAnsi="Times New Roman"/>
          <w:spacing w:val="-2"/>
          <w:sz w:val="16"/>
          <w:szCs w:val="16"/>
        </w:rPr>
        <w:tab/>
      </w:r>
      <w:r w:rsidR="00225F46" w:rsidRPr="009F1333">
        <w:rPr>
          <w:rFonts w:ascii="Times New Roman" w:hAnsi="Times New Roman"/>
          <w:spacing w:val="-2"/>
          <w:sz w:val="16"/>
          <w:szCs w:val="16"/>
        </w:rPr>
        <w:t xml:space="preserve">Nach </w:t>
      </w:r>
      <w:proofErr w:type="spellStart"/>
      <w:r w:rsidR="001B01EF" w:rsidRPr="009F1333">
        <w:rPr>
          <w:rFonts w:ascii="Times New Roman" w:hAnsi="Times New Roman"/>
          <w:spacing w:val="-2"/>
          <w:sz w:val="16"/>
          <w:szCs w:val="16"/>
        </w:rPr>
        <w:t>a</w:t>
      </w:r>
      <w:r w:rsidR="00CC082D">
        <w:rPr>
          <w:rFonts w:ascii="Times New Roman" w:hAnsi="Times New Roman"/>
          <w:spacing w:val="-2"/>
          <w:sz w:val="16"/>
          <w:szCs w:val="16"/>
        </w:rPr>
        <w:t>.</w:t>
      </w:r>
      <w:r w:rsidR="00225F46" w:rsidRPr="009F1333">
        <w:rPr>
          <w:rFonts w:ascii="Times New Roman" w:hAnsi="Times New Roman"/>
          <w:spacing w:val="-2"/>
          <w:sz w:val="16"/>
          <w:szCs w:val="16"/>
        </w:rPr>
        <w:t>A</w:t>
      </w:r>
      <w:proofErr w:type="spellEnd"/>
      <w:r w:rsidR="00CC082D">
        <w:rPr>
          <w:rFonts w:ascii="Times New Roman" w:hAnsi="Times New Roman"/>
          <w:spacing w:val="-2"/>
          <w:sz w:val="16"/>
          <w:szCs w:val="16"/>
        </w:rPr>
        <w:t>.</w:t>
      </w:r>
      <w:r w:rsidR="00225F46" w:rsidRPr="009F1333">
        <w:rPr>
          <w:rFonts w:ascii="Times New Roman" w:hAnsi="Times New Roman"/>
          <w:spacing w:val="-2"/>
          <w:sz w:val="16"/>
          <w:szCs w:val="16"/>
        </w:rPr>
        <w:t xml:space="preserve"> </w:t>
      </w:r>
      <w:r w:rsidR="001B01EF" w:rsidRPr="009F1333">
        <w:rPr>
          <w:rFonts w:ascii="Times New Roman" w:hAnsi="Times New Roman"/>
          <w:spacing w:val="-2"/>
          <w:sz w:val="16"/>
          <w:szCs w:val="16"/>
        </w:rPr>
        <w:t xml:space="preserve">muss </w:t>
      </w:r>
      <w:r w:rsidR="00225F46" w:rsidRPr="009F1333">
        <w:rPr>
          <w:rFonts w:ascii="Times New Roman" w:hAnsi="Times New Roman"/>
          <w:spacing w:val="-2"/>
          <w:sz w:val="16"/>
          <w:szCs w:val="16"/>
        </w:rPr>
        <w:t xml:space="preserve">das Problem der Fernwirkung anhand der </w:t>
      </w:r>
      <w:r w:rsidR="00225F46" w:rsidRPr="009F1333">
        <w:rPr>
          <w:rFonts w:ascii="Times New Roman" w:hAnsi="Times New Roman"/>
          <w:b/>
          <w:spacing w:val="-2"/>
          <w:sz w:val="16"/>
          <w:szCs w:val="16"/>
        </w:rPr>
        <w:t>allgemeinen Lehren</w:t>
      </w:r>
      <w:r w:rsidR="00225F46" w:rsidRPr="009F1333">
        <w:rPr>
          <w:rFonts w:ascii="Times New Roman" w:hAnsi="Times New Roman"/>
          <w:spacing w:val="-2"/>
          <w:sz w:val="16"/>
          <w:szCs w:val="16"/>
        </w:rPr>
        <w:t xml:space="preserve"> zu den Beweisverwertungsverboten gelöst werden. Teilweise wird daher auf den Schutzzweck der Verfahrensnorm abgestellt. Andere behandeln</w:t>
      </w:r>
      <w:r w:rsidR="00CB434A" w:rsidRPr="009F1333">
        <w:rPr>
          <w:rFonts w:ascii="Times New Roman" w:hAnsi="Times New Roman"/>
          <w:spacing w:val="-2"/>
          <w:sz w:val="16"/>
          <w:szCs w:val="16"/>
        </w:rPr>
        <w:t xml:space="preserve"> </w:t>
      </w:r>
      <w:r w:rsidR="00225F46" w:rsidRPr="009F1333">
        <w:rPr>
          <w:rFonts w:ascii="Times New Roman" w:hAnsi="Times New Roman"/>
          <w:spacing w:val="-2"/>
          <w:sz w:val="16"/>
          <w:szCs w:val="16"/>
        </w:rPr>
        <w:t xml:space="preserve">die Fernwirkung dagegen als eine Frage der </w:t>
      </w:r>
      <w:r w:rsidR="00225F46" w:rsidRPr="009F1333">
        <w:rPr>
          <w:rFonts w:ascii="Times New Roman" w:hAnsi="Times New Roman"/>
          <w:b/>
          <w:spacing w:val="-2"/>
          <w:sz w:val="16"/>
          <w:szCs w:val="16"/>
        </w:rPr>
        <w:t>Abwägung</w:t>
      </w:r>
      <w:r w:rsidR="00225F46" w:rsidRPr="009F1333">
        <w:rPr>
          <w:rFonts w:ascii="Times New Roman" w:hAnsi="Times New Roman"/>
          <w:spacing w:val="-2"/>
          <w:sz w:val="16"/>
          <w:szCs w:val="16"/>
        </w:rPr>
        <w:t xml:space="preserve"> im Einzelfall. Hierbei </w:t>
      </w:r>
      <w:proofErr w:type="gramStart"/>
      <w:r w:rsidR="00225F46" w:rsidRPr="009F1333">
        <w:rPr>
          <w:rFonts w:ascii="Times New Roman" w:hAnsi="Times New Roman"/>
          <w:spacing w:val="-2"/>
          <w:sz w:val="16"/>
          <w:szCs w:val="16"/>
        </w:rPr>
        <w:t>sind</w:t>
      </w:r>
      <w:proofErr w:type="gramEnd"/>
      <w:r w:rsidR="00225F46" w:rsidRPr="009F1333">
        <w:rPr>
          <w:rFonts w:ascii="Times New Roman" w:hAnsi="Times New Roman"/>
          <w:spacing w:val="-2"/>
          <w:sz w:val="16"/>
          <w:szCs w:val="16"/>
        </w:rPr>
        <w:t xml:space="preserve"> </w:t>
      </w:r>
      <w:r w:rsidR="00F70602" w:rsidRPr="009F1333">
        <w:rPr>
          <w:rFonts w:ascii="Times New Roman" w:hAnsi="Times New Roman"/>
          <w:spacing w:val="-2"/>
          <w:sz w:val="16"/>
          <w:szCs w:val="16"/>
        </w:rPr>
        <w:t xml:space="preserve">u.a. </w:t>
      </w:r>
      <w:r w:rsidR="00225F46" w:rsidRPr="009F1333">
        <w:rPr>
          <w:rFonts w:ascii="Times New Roman" w:hAnsi="Times New Roman"/>
          <w:spacing w:val="-2"/>
          <w:sz w:val="16"/>
          <w:szCs w:val="16"/>
        </w:rPr>
        <w:t xml:space="preserve">das Gewicht des Verfahrensverstoßes und die Schwere der aufzuklärenden Tat gegeneinander abzuwägen. Das LG Frankfurt </w:t>
      </w:r>
      <w:r w:rsidR="00594D4F" w:rsidRPr="009F1333">
        <w:rPr>
          <w:rFonts w:ascii="Times New Roman" w:hAnsi="Times New Roman"/>
          <w:spacing w:val="-2"/>
          <w:sz w:val="16"/>
          <w:szCs w:val="16"/>
        </w:rPr>
        <w:t xml:space="preserve">am Main </w:t>
      </w:r>
      <w:r w:rsidR="00225F46" w:rsidRPr="009F1333">
        <w:rPr>
          <w:rFonts w:ascii="Times New Roman" w:hAnsi="Times New Roman"/>
          <w:spacing w:val="-2"/>
          <w:sz w:val="16"/>
          <w:szCs w:val="16"/>
        </w:rPr>
        <w:t>(StV 2003, 325) hat im Fall Daschner eine Fernwirkung abgelehnt, da die aufzuklärende Tat, die mögliche Tötung des entführten Kindes, besonders schwer wog.</w:t>
      </w:r>
    </w:p>
    <w:p w14:paraId="3861124A" w14:textId="217A6510" w:rsidR="00BF5261" w:rsidRPr="009F1333" w:rsidRDefault="00BF5261" w:rsidP="00BF2F9E">
      <w:pPr>
        <w:widowControl/>
        <w:tabs>
          <w:tab w:val="left" w:pos="-720"/>
          <w:tab w:val="left" w:pos="560"/>
          <w:tab w:val="left" w:pos="864"/>
          <w:tab w:val="left" w:pos="1120"/>
          <w:tab w:val="left" w:pos="1404"/>
          <w:tab w:val="left" w:pos="1680"/>
          <w:tab w:val="left" w:pos="1980"/>
          <w:tab w:val="left" w:pos="2268"/>
          <w:tab w:val="left" w:pos="2880"/>
        </w:tabs>
        <w:ind w:left="567" w:hanging="283"/>
        <w:jc w:val="both"/>
        <w:rPr>
          <w:rFonts w:ascii="Times New Roman" w:hAnsi="Times New Roman" w:cs="Times New Roman"/>
          <w:spacing w:val="-2"/>
          <w:sz w:val="16"/>
          <w:szCs w:val="16"/>
        </w:rPr>
      </w:pPr>
      <w:r w:rsidRPr="009F1333">
        <w:rPr>
          <w:rFonts w:ascii="Times New Roman" w:hAnsi="Times New Roman"/>
          <w:spacing w:val="-2"/>
          <w:sz w:val="16"/>
          <w:szCs w:val="16"/>
        </w:rPr>
        <w:t xml:space="preserve">4. </w:t>
      </w:r>
      <w:r w:rsidRPr="009F1333">
        <w:rPr>
          <w:rFonts w:ascii="Times New Roman" w:hAnsi="Times New Roman"/>
          <w:spacing w:val="-2"/>
          <w:sz w:val="16"/>
          <w:szCs w:val="16"/>
        </w:rPr>
        <w:tab/>
        <w:t>Nach Ansicht des EGMR (NStZ 2008, 699</w:t>
      </w:r>
      <w:r w:rsidR="00594D4F" w:rsidRPr="009F1333">
        <w:rPr>
          <w:rFonts w:ascii="Times New Roman" w:hAnsi="Times New Roman"/>
          <w:spacing w:val="-2"/>
          <w:sz w:val="16"/>
          <w:szCs w:val="16"/>
        </w:rPr>
        <w:t xml:space="preserve"> – Gäfgen, vgl. auch NJW 20110, 3145 – Gäfgen II</w:t>
      </w:r>
      <w:r w:rsidRPr="009F1333">
        <w:rPr>
          <w:rFonts w:ascii="Times New Roman" w:hAnsi="Times New Roman"/>
          <w:spacing w:val="-2"/>
          <w:sz w:val="16"/>
          <w:szCs w:val="16"/>
        </w:rPr>
        <w:t xml:space="preserve">), wiederum im Daschner-Fall, kann die Verwertung von Beweismitteln, die mittelbar auf durch einen Verfahrensverstoß erlangte Beweismittel zurückgehen, gegen </w:t>
      </w:r>
      <w:r w:rsidR="00594D4F" w:rsidRPr="009F1333">
        <w:rPr>
          <w:rFonts w:ascii="Times New Roman" w:hAnsi="Times New Roman"/>
          <w:spacing w:val="-2"/>
          <w:sz w:val="16"/>
          <w:szCs w:val="16"/>
        </w:rPr>
        <w:t xml:space="preserve">das </w:t>
      </w:r>
      <w:r w:rsidR="00594D4F" w:rsidRPr="009F1333">
        <w:rPr>
          <w:rFonts w:ascii="Times New Roman" w:hAnsi="Times New Roman"/>
          <w:b/>
          <w:bCs/>
          <w:spacing w:val="-2"/>
          <w:sz w:val="16"/>
          <w:szCs w:val="16"/>
        </w:rPr>
        <w:t>Fair-trial-Prinzip</w:t>
      </w:r>
      <w:r w:rsidRPr="009F1333">
        <w:rPr>
          <w:rFonts w:ascii="Times New Roman" w:hAnsi="Times New Roman"/>
          <w:spacing w:val="-2"/>
          <w:sz w:val="16"/>
          <w:szCs w:val="16"/>
        </w:rPr>
        <w:t xml:space="preserve"> verstoßen und das Verfahren insgesamt unfair werden lassen; es besteh</w:t>
      </w:r>
      <w:r w:rsidR="00CC082D">
        <w:rPr>
          <w:rFonts w:ascii="Times New Roman" w:hAnsi="Times New Roman"/>
          <w:spacing w:val="-2"/>
          <w:sz w:val="16"/>
          <w:szCs w:val="16"/>
        </w:rPr>
        <w:t>e</w:t>
      </w:r>
      <w:r w:rsidRPr="009F1333">
        <w:rPr>
          <w:rFonts w:ascii="Times New Roman" w:hAnsi="Times New Roman"/>
          <w:spacing w:val="-2"/>
          <w:sz w:val="16"/>
          <w:szCs w:val="16"/>
        </w:rPr>
        <w:t xml:space="preserve"> sogar eine starke Vermutung in diese Richtung. Die Frage, ob das Verfahren insgesamt unfair war, </w:t>
      </w:r>
      <w:r w:rsidR="00CC082D">
        <w:rPr>
          <w:rFonts w:ascii="Times New Roman" w:hAnsi="Times New Roman"/>
          <w:spacing w:val="-2"/>
          <w:sz w:val="16"/>
          <w:szCs w:val="16"/>
        </w:rPr>
        <w:t>sei</w:t>
      </w:r>
      <w:r w:rsidR="00CC082D" w:rsidRPr="009F1333">
        <w:rPr>
          <w:rFonts w:ascii="Times New Roman" w:hAnsi="Times New Roman"/>
          <w:spacing w:val="-2"/>
          <w:sz w:val="16"/>
          <w:szCs w:val="16"/>
        </w:rPr>
        <w:t xml:space="preserve"> </w:t>
      </w:r>
      <w:r w:rsidRPr="009F1333">
        <w:rPr>
          <w:rFonts w:ascii="Times New Roman" w:hAnsi="Times New Roman"/>
          <w:spacing w:val="-2"/>
          <w:sz w:val="16"/>
          <w:szCs w:val="16"/>
        </w:rPr>
        <w:t xml:space="preserve">im Lichte aller Umstände der Rechtssache zu entscheiden. Dabei </w:t>
      </w:r>
      <w:r w:rsidR="00CC082D">
        <w:rPr>
          <w:rFonts w:ascii="Times New Roman" w:hAnsi="Times New Roman"/>
          <w:spacing w:val="-2"/>
          <w:sz w:val="16"/>
          <w:szCs w:val="16"/>
        </w:rPr>
        <w:t>seien</w:t>
      </w:r>
      <w:r w:rsidR="00CC082D" w:rsidRPr="009F1333">
        <w:rPr>
          <w:rFonts w:ascii="Times New Roman" w:hAnsi="Times New Roman"/>
          <w:spacing w:val="-2"/>
          <w:sz w:val="16"/>
          <w:szCs w:val="16"/>
        </w:rPr>
        <w:t xml:space="preserve"> </w:t>
      </w:r>
      <w:r w:rsidRPr="009F1333">
        <w:rPr>
          <w:rFonts w:ascii="Times New Roman" w:hAnsi="Times New Roman"/>
          <w:spacing w:val="-2"/>
          <w:sz w:val="16"/>
          <w:szCs w:val="16"/>
        </w:rPr>
        <w:t>insb</w:t>
      </w:r>
      <w:r w:rsidR="00CC082D">
        <w:rPr>
          <w:rFonts w:ascii="Times New Roman" w:hAnsi="Times New Roman"/>
          <w:spacing w:val="-2"/>
          <w:sz w:val="16"/>
          <w:szCs w:val="16"/>
        </w:rPr>
        <w:t>.</w:t>
      </w:r>
      <w:r w:rsidRPr="009F1333">
        <w:rPr>
          <w:rFonts w:ascii="Times New Roman" w:hAnsi="Times New Roman"/>
          <w:spacing w:val="-2"/>
          <w:sz w:val="16"/>
          <w:szCs w:val="16"/>
        </w:rPr>
        <w:t xml:space="preserve"> zu berücksichtigen: die durch makellose Beweise erwiesenen Umstände, das Gewicht, das den beanstandeten Beweismitteln zukommt, sowie die Frage, ob die Verteidigungsrechte des Beschuldigten gewahrt wurden. Nach Wertung all dieser Umstände kam der EGMR in der Rechtssache zu dem Ergebnis, dass das Verfahren und die Verurteilung des Angeklagten insgesamt nicht unfair waren.</w:t>
      </w:r>
    </w:p>
    <w:p w14:paraId="7F076091" w14:textId="30EE0849" w:rsidR="00A10775" w:rsidRDefault="00684E27" w:rsidP="00D84AF8">
      <w:pPr>
        <w:widowControl/>
        <w:tabs>
          <w:tab w:val="left" w:pos="-720"/>
          <w:tab w:val="left" w:pos="560"/>
          <w:tab w:val="left" w:pos="864"/>
          <w:tab w:val="left" w:pos="1120"/>
          <w:tab w:val="left" w:pos="1404"/>
          <w:tab w:val="left" w:pos="1680"/>
          <w:tab w:val="left" w:pos="1980"/>
          <w:tab w:val="left" w:pos="2268"/>
          <w:tab w:val="left" w:pos="2880"/>
        </w:tabs>
        <w:ind w:left="567" w:hanging="283"/>
        <w:jc w:val="both"/>
        <w:rPr>
          <w:rFonts w:ascii="Times New Roman" w:hAnsi="Times New Roman"/>
          <w:spacing w:val="-2"/>
          <w:sz w:val="16"/>
          <w:szCs w:val="16"/>
        </w:rPr>
      </w:pPr>
      <w:r w:rsidRPr="009F1333">
        <w:rPr>
          <w:rFonts w:ascii="Times New Roman" w:hAnsi="Times New Roman" w:cs="Times New Roman"/>
          <w:spacing w:val="-2"/>
          <w:sz w:val="16"/>
          <w:szCs w:val="16"/>
        </w:rPr>
        <w:t>5.</w:t>
      </w:r>
      <w:r w:rsidRPr="009F1333">
        <w:rPr>
          <w:rFonts w:ascii="Times New Roman" w:hAnsi="Times New Roman" w:cs="Times New Roman"/>
          <w:spacing w:val="-2"/>
          <w:sz w:val="16"/>
          <w:szCs w:val="16"/>
        </w:rPr>
        <w:tab/>
        <w:t xml:space="preserve">Das OLG Düsseldorf </w:t>
      </w:r>
      <w:r w:rsidR="001B2330" w:rsidRPr="009F1333">
        <w:rPr>
          <w:rFonts w:ascii="Times New Roman" w:hAnsi="Times New Roman" w:cs="Times New Roman"/>
          <w:spacing w:val="-2"/>
          <w:sz w:val="16"/>
          <w:szCs w:val="16"/>
        </w:rPr>
        <w:t>hat in seinem Beschluss vom 23.6.2016 (</w:t>
      </w:r>
      <w:r w:rsidR="009133A6" w:rsidRPr="009F1333">
        <w:rPr>
          <w:rStyle w:val="az"/>
          <w:rFonts w:ascii="Times New Roman" w:hAnsi="Times New Roman" w:cs="Times New Roman"/>
          <w:sz w:val="16"/>
          <w:szCs w:val="16"/>
        </w:rPr>
        <w:t>NStZ 2017, 177</w:t>
      </w:r>
      <w:r w:rsidR="001B2330" w:rsidRPr="009F1333">
        <w:rPr>
          <w:rFonts w:ascii="Times New Roman" w:hAnsi="Times New Roman" w:cs="Times New Roman"/>
          <w:spacing w:val="-2"/>
          <w:sz w:val="16"/>
          <w:szCs w:val="16"/>
        </w:rPr>
        <w:t xml:space="preserve">) </w:t>
      </w:r>
      <w:r w:rsidR="001B2330" w:rsidRPr="009F1333">
        <w:rPr>
          <w:rFonts w:ascii="Times New Roman" w:hAnsi="Times New Roman" w:cs="Times New Roman"/>
          <w:b/>
          <w:spacing w:val="-2"/>
          <w:sz w:val="16"/>
          <w:szCs w:val="16"/>
        </w:rPr>
        <w:t>ausnahmsweise</w:t>
      </w:r>
      <w:r w:rsidR="001B2330" w:rsidRPr="009F1333">
        <w:rPr>
          <w:rFonts w:ascii="Times New Roman" w:hAnsi="Times New Roman" w:cs="Times New Roman"/>
          <w:spacing w:val="-2"/>
          <w:sz w:val="16"/>
          <w:szCs w:val="16"/>
        </w:rPr>
        <w:t xml:space="preserve"> eine </w:t>
      </w:r>
      <w:r w:rsidR="001B2330" w:rsidRPr="009F1333">
        <w:rPr>
          <w:rFonts w:ascii="Times New Roman" w:hAnsi="Times New Roman" w:cs="Times New Roman"/>
          <w:b/>
          <w:spacing w:val="-2"/>
          <w:sz w:val="16"/>
          <w:szCs w:val="16"/>
        </w:rPr>
        <w:t>Fernwirkung eines Beweisverwertungsverbotes</w:t>
      </w:r>
      <w:r w:rsidR="00543B0E" w:rsidRPr="009F1333">
        <w:rPr>
          <w:rFonts w:ascii="Times New Roman" w:hAnsi="Times New Roman" w:cs="Times New Roman"/>
          <w:spacing w:val="-2"/>
          <w:sz w:val="16"/>
          <w:szCs w:val="16"/>
        </w:rPr>
        <w:t xml:space="preserve"> angenommen. Die Polizei durchsuchte in diesem Fall eine Wohnung und nahm dabei </w:t>
      </w:r>
      <w:r w:rsidR="00A10775" w:rsidRPr="009F1333">
        <w:rPr>
          <w:rFonts w:ascii="Times New Roman" w:hAnsi="Times New Roman" w:cs="Times New Roman"/>
          <w:spacing w:val="-2"/>
          <w:sz w:val="16"/>
          <w:szCs w:val="16"/>
        </w:rPr>
        <w:t xml:space="preserve">ihre Eilkompetenz zu Unrecht in Anspruch. Die tatsächlichen Voraussetzungen, auf denen sich die Annahme von </w:t>
      </w:r>
      <w:r w:rsidR="00A10775" w:rsidRPr="009F1333">
        <w:rPr>
          <w:rFonts w:ascii="Times New Roman" w:hAnsi="Times New Roman" w:cs="Times New Roman"/>
          <w:b/>
          <w:bCs/>
          <w:spacing w:val="-2"/>
          <w:sz w:val="16"/>
          <w:szCs w:val="16"/>
        </w:rPr>
        <w:t>Gefahr im Verzug</w:t>
      </w:r>
      <w:r w:rsidR="00A10775" w:rsidRPr="009F1333">
        <w:rPr>
          <w:rFonts w:ascii="Times New Roman" w:hAnsi="Times New Roman" w:cs="Times New Roman"/>
          <w:spacing w:val="-2"/>
          <w:sz w:val="16"/>
          <w:szCs w:val="16"/>
        </w:rPr>
        <w:t xml:space="preserve"> gründete, </w:t>
      </w:r>
      <w:r w:rsidR="00A10775" w:rsidRPr="009F1333">
        <w:rPr>
          <w:rFonts w:ascii="Times New Roman" w:hAnsi="Times New Roman" w:cs="Times New Roman"/>
          <w:bCs/>
          <w:spacing w:val="-2"/>
          <w:sz w:val="16"/>
          <w:szCs w:val="16"/>
        </w:rPr>
        <w:t>hatte sie</w:t>
      </w:r>
      <w:r w:rsidR="00A10775" w:rsidRPr="009F1333">
        <w:rPr>
          <w:rFonts w:ascii="Times New Roman" w:hAnsi="Times New Roman" w:cs="Times New Roman"/>
          <w:b/>
          <w:spacing w:val="-2"/>
          <w:sz w:val="16"/>
          <w:szCs w:val="16"/>
        </w:rPr>
        <w:t xml:space="preserve"> </w:t>
      </w:r>
      <w:r w:rsidR="009133A6" w:rsidRPr="009F1333">
        <w:rPr>
          <w:rFonts w:ascii="Times New Roman" w:hAnsi="Times New Roman" w:cs="Times New Roman"/>
          <w:b/>
          <w:spacing w:val="-2"/>
          <w:sz w:val="16"/>
          <w:szCs w:val="16"/>
        </w:rPr>
        <w:t xml:space="preserve">zielgerichtet </w:t>
      </w:r>
      <w:r w:rsidR="00A10775" w:rsidRPr="009F1333">
        <w:rPr>
          <w:rFonts w:ascii="Times New Roman" w:hAnsi="Times New Roman" w:cs="Times New Roman"/>
          <w:b/>
          <w:spacing w:val="-2"/>
          <w:sz w:val="16"/>
          <w:szCs w:val="16"/>
        </w:rPr>
        <w:t>selbst herbeigeführt</w:t>
      </w:r>
      <w:r w:rsidR="00A10775" w:rsidRPr="009F1333">
        <w:rPr>
          <w:rFonts w:ascii="Times New Roman" w:hAnsi="Times New Roman" w:cs="Times New Roman"/>
          <w:spacing w:val="-2"/>
          <w:sz w:val="16"/>
          <w:szCs w:val="16"/>
        </w:rPr>
        <w:t xml:space="preserve">. Der Senat sah in dem Vorgehen der Polizei eine </w:t>
      </w:r>
      <w:r w:rsidR="00A10775" w:rsidRPr="009F1333">
        <w:rPr>
          <w:rFonts w:ascii="Times New Roman" w:hAnsi="Times New Roman" w:cs="Times New Roman"/>
          <w:b/>
          <w:spacing w:val="-2"/>
          <w:sz w:val="16"/>
          <w:szCs w:val="16"/>
        </w:rPr>
        <w:t xml:space="preserve">schwerwiegende und bewusste Missachtung des Richtervorbehalts </w:t>
      </w:r>
      <w:r w:rsidR="00A10775" w:rsidRPr="009F1333">
        <w:rPr>
          <w:rFonts w:ascii="Times New Roman" w:hAnsi="Times New Roman" w:cs="Times New Roman"/>
          <w:bCs/>
          <w:spacing w:val="-2"/>
          <w:sz w:val="16"/>
          <w:szCs w:val="16"/>
        </w:rPr>
        <w:t>aus § 105 I 1 StPO und Art.</w:t>
      </w:r>
      <w:r w:rsidR="00BB193C" w:rsidRPr="009F1333">
        <w:rPr>
          <w:rFonts w:ascii="Times New Roman" w:hAnsi="Times New Roman" w:cs="Times New Roman"/>
          <w:bCs/>
          <w:spacing w:val="-2"/>
          <w:sz w:val="16"/>
          <w:szCs w:val="16"/>
        </w:rPr>
        <w:t> </w:t>
      </w:r>
      <w:r w:rsidR="00A10775" w:rsidRPr="009F1333">
        <w:rPr>
          <w:rFonts w:ascii="Times New Roman" w:hAnsi="Times New Roman" w:cs="Times New Roman"/>
          <w:bCs/>
          <w:spacing w:val="-2"/>
          <w:sz w:val="16"/>
          <w:szCs w:val="16"/>
        </w:rPr>
        <w:t>13 II GG</w:t>
      </w:r>
      <w:r w:rsidR="00543B0E" w:rsidRPr="009F1333">
        <w:rPr>
          <w:rFonts w:ascii="Times New Roman" w:hAnsi="Times New Roman" w:cs="Times New Roman"/>
          <w:spacing w:val="-2"/>
          <w:sz w:val="16"/>
          <w:szCs w:val="16"/>
        </w:rPr>
        <w:t xml:space="preserve">. </w:t>
      </w:r>
      <w:r w:rsidR="009133A6" w:rsidRPr="009F1333">
        <w:rPr>
          <w:rFonts w:ascii="Times New Roman" w:hAnsi="Times New Roman" w:cs="Times New Roman"/>
          <w:spacing w:val="-2"/>
          <w:sz w:val="16"/>
          <w:szCs w:val="16"/>
        </w:rPr>
        <w:t xml:space="preserve">Er nahm zudem eine Fernwirkung des Verwertungsverbotes an. </w:t>
      </w:r>
      <w:r w:rsidR="00CD0C67" w:rsidRPr="009F1333">
        <w:rPr>
          <w:rFonts w:ascii="Times New Roman" w:hAnsi="Times New Roman" w:cs="Times New Roman"/>
          <w:spacing w:val="-2"/>
          <w:sz w:val="16"/>
          <w:szCs w:val="16"/>
        </w:rPr>
        <w:t>Dieses</w:t>
      </w:r>
      <w:r w:rsidR="009133A6" w:rsidRPr="009F1333">
        <w:rPr>
          <w:rFonts w:ascii="Times New Roman" w:hAnsi="Times New Roman" w:cs="Times New Roman"/>
          <w:spacing w:val="-2"/>
          <w:sz w:val="16"/>
          <w:szCs w:val="16"/>
        </w:rPr>
        <w:t xml:space="preserve"> erstreckte sich also nicht nur auf die in der Wohnung aufgefundenen Beweismittel, sondern auch auf die </w:t>
      </w:r>
      <w:r w:rsidR="009133A6" w:rsidRPr="009F1333">
        <w:rPr>
          <w:rFonts w:ascii="Times New Roman" w:hAnsi="Times New Roman" w:cs="Times New Roman"/>
          <w:bCs/>
          <w:spacing w:val="-2"/>
          <w:sz w:val="16"/>
          <w:szCs w:val="16"/>
        </w:rPr>
        <w:t>Angaben</w:t>
      </w:r>
      <w:r w:rsidR="009133A6" w:rsidRPr="009F1333">
        <w:rPr>
          <w:rFonts w:ascii="Times New Roman" w:hAnsi="Times New Roman"/>
          <w:bCs/>
          <w:spacing w:val="-2"/>
          <w:sz w:val="16"/>
          <w:szCs w:val="16"/>
        </w:rPr>
        <w:t xml:space="preserve"> des Angeklagten, die dieser anlässlich der Durchsuchung gemacht hat</w:t>
      </w:r>
      <w:r w:rsidR="00D25B6A" w:rsidRPr="009F1333">
        <w:rPr>
          <w:rFonts w:ascii="Times New Roman" w:hAnsi="Times New Roman"/>
          <w:bCs/>
          <w:spacing w:val="-2"/>
          <w:sz w:val="16"/>
          <w:szCs w:val="16"/>
        </w:rPr>
        <w:t>te</w:t>
      </w:r>
      <w:r w:rsidR="009133A6" w:rsidRPr="009F1333">
        <w:rPr>
          <w:rFonts w:ascii="Times New Roman" w:hAnsi="Times New Roman"/>
          <w:bCs/>
          <w:spacing w:val="-2"/>
          <w:sz w:val="16"/>
          <w:szCs w:val="16"/>
        </w:rPr>
        <w:t>.</w:t>
      </w:r>
      <w:r w:rsidR="009133A6" w:rsidRPr="009F1333">
        <w:rPr>
          <w:rFonts w:ascii="Times New Roman" w:hAnsi="Times New Roman"/>
          <w:b/>
          <w:spacing w:val="-2"/>
          <w:sz w:val="16"/>
          <w:szCs w:val="16"/>
        </w:rPr>
        <w:t xml:space="preserve"> </w:t>
      </w:r>
      <w:r w:rsidR="009133A6" w:rsidRPr="009F1333">
        <w:rPr>
          <w:rFonts w:ascii="Times New Roman" w:hAnsi="Times New Roman"/>
          <w:spacing w:val="-2"/>
          <w:sz w:val="16"/>
          <w:szCs w:val="16"/>
        </w:rPr>
        <w:t xml:space="preserve">Der Senat begründete die Fernwirkung mit den Besonderheiten des Falles: </w:t>
      </w:r>
      <w:r w:rsidR="00A10775" w:rsidRPr="009F1333">
        <w:rPr>
          <w:rFonts w:ascii="Times New Roman" w:hAnsi="Times New Roman"/>
          <w:spacing w:val="-2"/>
          <w:sz w:val="16"/>
          <w:szCs w:val="16"/>
        </w:rPr>
        <w:t xml:space="preserve">Die Vernehmung des Angeklagten wurde noch im Rahmen der Durchsuchung seiner Wohnung und unter dem Eindruck der dabei in unzulässiger Weise gewonnenen Erkenntnisse durchgeführt. Der sich offensichtlich als überführt ansehende Angeklagte hatte also keinen Anlass, von seinem Recht auf Schweigen Gebrauch zu machen; er konnte auch nicht wissen, dass die vorgefundenen Beweismittel unverwertbar waren. Für ihn bestand also ein Zustand, in dem Leugnen oder Schweigen </w:t>
      </w:r>
      <w:r w:rsidR="00937FC6" w:rsidRPr="009F1333">
        <w:rPr>
          <w:rFonts w:ascii="Times New Roman" w:hAnsi="Times New Roman"/>
          <w:spacing w:val="-2"/>
          <w:sz w:val="16"/>
          <w:szCs w:val="16"/>
        </w:rPr>
        <w:t>angesichts der Tatsache, dass sich die Polizeibeamten in seiner Wohnung befanden</w:t>
      </w:r>
      <w:r w:rsidR="00CD6234" w:rsidRPr="009F1333">
        <w:rPr>
          <w:rFonts w:ascii="Times New Roman" w:hAnsi="Times New Roman"/>
          <w:spacing w:val="-2"/>
          <w:sz w:val="16"/>
          <w:szCs w:val="16"/>
        </w:rPr>
        <w:t>,</w:t>
      </w:r>
      <w:r w:rsidR="00937FC6" w:rsidRPr="009F1333">
        <w:rPr>
          <w:rFonts w:ascii="Times New Roman" w:hAnsi="Times New Roman"/>
          <w:spacing w:val="-2"/>
          <w:sz w:val="16"/>
          <w:szCs w:val="16"/>
        </w:rPr>
        <w:t xml:space="preserve"> </w:t>
      </w:r>
      <w:r w:rsidR="00A10775" w:rsidRPr="009F1333">
        <w:rPr>
          <w:rFonts w:ascii="Times New Roman" w:hAnsi="Times New Roman"/>
          <w:spacing w:val="-2"/>
          <w:sz w:val="16"/>
          <w:szCs w:val="16"/>
        </w:rPr>
        <w:t xml:space="preserve">sinnlos war </w:t>
      </w:r>
      <w:r w:rsidR="009133A6" w:rsidRPr="009F1333">
        <w:rPr>
          <w:rFonts w:ascii="Times New Roman" w:hAnsi="Times New Roman"/>
          <w:spacing w:val="-2"/>
          <w:sz w:val="16"/>
          <w:szCs w:val="16"/>
        </w:rPr>
        <w:t>(OLG Düsseldorf NStZ 2017, 177</w:t>
      </w:r>
      <w:r w:rsidR="00CC082D">
        <w:rPr>
          <w:rFonts w:ascii="Times New Roman" w:hAnsi="Times New Roman"/>
          <w:spacing w:val="-2"/>
          <w:sz w:val="16"/>
          <w:szCs w:val="16"/>
        </w:rPr>
        <w:t xml:space="preserve">, </w:t>
      </w:r>
      <w:r w:rsidR="009133A6" w:rsidRPr="009F1333">
        <w:rPr>
          <w:rFonts w:ascii="Times New Roman" w:hAnsi="Times New Roman"/>
          <w:spacing w:val="-2"/>
          <w:sz w:val="16"/>
          <w:szCs w:val="16"/>
        </w:rPr>
        <w:t>180</w:t>
      </w:r>
      <w:r w:rsidR="00603AED" w:rsidRPr="009F1333">
        <w:rPr>
          <w:rFonts w:ascii="Times New Roman" w:hAnsi="Times New Roman"/>
          <w:spacing w:val="-2"/>
          <w:sz w:val="16"/>
          <w:szCs w:val="16"/>
        </w:rPr>
        <w:t>)</w:t>
      </w:r>
      <w:r w:rsidR="009133A6" w:rsidRPr="009F1333">
        <w:rPr>
          <w:rFonts w:ascii="Times New Roman" w:hAnsi="Times New Roman"/>
          <w:spacing w:val="-2"/>
          <w:sz w:val="16"/>
          <w:szCs w:val="16"/>
        </w:rPr>
        <w:t>.</w:t>
      </w:r>
    </w:p>
    <w:p w14:paraId="6E2BE07C" w14:textId="77777777" w:rsidR="00CC082D" w:rsidRPr="009F1333" w:rsidRDefault="00CC082D" w:rsidP="00D84AF8">
      <w:pPr>
        <w:widowControl/>
        <w:tabs>
          <w:tab w:val="left" w:pos="-720"/>
          <w:tab w:val="left" w:pos="560"/>
          <w:tab w:val="left" w:pos="864"/>
          <w:tab w:val="left" w:pos="1120"/>
          <w:tab w:val="left" w:pos="1404"/>
          <w:tab w:val="left" w:pos="1680"/>
          <w:tab w:val="left" w:pos="1980"/>
          <w:tab w:val="left" w:pos="2268"/>
          <w:tab w:val="left" w:pos="2880"/>
        </w:tabs>
        <w:ind w:left="567" w:hanging="283"/>
        <w:jc w:val="both"/>
        <w:rPr>
          <w:rFonts w:ascii="Times New Roman" w:hAnsi="Times New Roman"/>
          <w:spacing w:val="-2"/>
          <w:sz w:val="16"/>
          <w:szCs w:val="16"/>
        </w:rPr>
      </w:pPr>
    </w:p>
    <w:p w14:paraId="5910AA03" w14:textId="239BA9C6" w:rsidR="00CA5BAC" w:rsidRPr="009F1333" w:rsidRDefault="00BF5261" w:rsidP="007554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Fonts w:ascii="Times New Roman" w:hAnsi="Times New Roman"/>
          <w:spacing w:val="-2"/>
          <w:sz w:val="16"/>
          <w:szCs w:val="16"/>
        </w:rPr>
      </w:pPr>
      <w:r w:rsidRPr="009F1333">
        <w:rPr>
          <w:rFonts w:ascii="Times New Roman" w:hAnsi="Times New Roman"/>
          <w:b/>
          <w:spacing w:val="-2"/>
          <w:sz w:val="16"/>
          <w:szCs w:val="16"/>
        </w:rPr>
        <w:t>III.</w:t>
      </w:r>
      <w:r w:rsidR="00DF10D5" w:rsidRPr="009F1333">
        <w:rPr>
          <w:rFonts w:ascii="Times New Roman" w:hAnsi="Times New Roman"/>
          <w:b/>
          <w:spacing w:val="-2"/>
          <w:sz w:val="16"/>
          <w:szCs w:val="16"/>
        </w:rPr>
        <w:t xml:space="preserve"> </w:t>
      </w:r>
      <w:r w:rsidR="00DF10D5" w:rsidRPr="009F1333">
        <w:rPr>
          <w:rFonts w:ascii="Times New Roman" w:hAnsi="Times New Roman"/>
          <w:b/>
          <w:spacing w:val="-2"/>
          <w:sz w:val="16"/>
          <w:szCs w:val="16"/>
        </w:rPr>
        <w:tab/>
      </w:r>
      <w:r w:rsidRPr="009F1333">
        <w:rPr>
          <w:rFonts w:ascii="Times New Roman" w:hAnsi="Times New Roman"/>
          <w:b/>
          <w:spacing w:val="-2"/>
          <w:sz w:val="16"/>
          <w:szCs w:val="16"/>
        </w:rPr>
        <w:t>Fortwirken eines Belehrungsfehlers:</w:t>
      </w:r>
      <w:r w:rsidRPr="009F1333">
        <w:rPr>
          <w:rFonts w:ascii="Times New Roman" w:hAnsi="Times New Roman"/>
          <w:spacing w:val="-2"/>
          <w:sz w:val="16"/>
          <w:szCs w:val="16"/>
        </w:rPr>
        <w:t xml:space="preserve"> </w:t>
      </w:r>
      <w:r w:rsidR="00CA5BAC" w:rsidRPr="009F1333">
        <w:rPr>
          <w:rFonts w:ascii="Times New Roman" w:hAnsi="Times New Roman"/>
          <w:spacing w:val="-2"/>
          <w:sz w:val="16"/>
          <w:szCs w:val="16"/>
        </w:rPr>
        <w:t>Wird ein Tatverdächtiger zunächst zu Unrecht als Zeuge vernommen, so ist er wegen des Belehrungsverstoßes (§</w:t>
      </w:r>
      <w:r w:rsidR="00CC082D">
        <w:rPr>
          <w:rFonts w:ascii="Times New Roman" w:hAnsi="Times New Roman"/>
          <w:spacing w:val="-2"/>
          <w:sz w:val="16"/>
          <w:szCs w:val="16"/>
        </w:rPr>
        <w:t> </w:t>
      </w:r>
      <w:r w:rsidR="00CA5BAC" w:rsidRPr="009F1333">
        <w:rPr>
          <w:rFonts w:ascii="Times New Roman" w:hAnsi="Times New Roman"/>
          <w:spacing w:val="-2"/>
          <w:sz w:val="16"/>
          <w:szCs w:val="16"/>
        </w:rPr>
        <w:t>136</w:t>
      </w:r>
      <w:r w:rsidR="00CC082D">
        <w:rPr>
          <w:rFonts w:ascii="Times New Roman" w:hAnsi="Times New Roman"/>
          <w:spacing w:val="-2"/>
          <w:sz w:val="16"/>
          <w:szCs w:val="16"/>
        </w:rPr>
        <w:t> </w:t>
      </w:r>
      <w:r w:rsidR="00CA5BAC" w:rsidRPr="009F1333">
        <w:rPr>
          <w:rFonts w:ascii="Times New Roman" w:hAnsi="Times New Roman"/>
          <w:spacing w:val="-2"/>
          <w:sz w:val="16"/>
          <w:szCs w:val="16"/>
        </w:rPr>
        <w:t>I</w:t>
      </w:r>
      <w:r w:rsidR="00CC082D">
        <w:rPr>
          <w:rFonts w:ascii="Times New Roman" w:hAnsi="Times New Roman"/>
          <w:spacing w:val="-2"/>
          <w:sz w:val="16"/>
          <w:szCs w:val="16"/>
        </w:rPr>
        <w:t> </w:t>
      </w:r>
      <w:r w:rsidR="00CA5BAC" w:rsidRPr="009F1333">
        <w:rPr>
          <w:rFonts w:ascii="Times New Roman" w:hAnsi="Times New Roman"/>
          <w:spacing w:val="-2"/>
          <w:sz w:val="16"/>
          <w:szCs w:val="16"/>
        </w:rPr>
        <w:t xml:space="preserve">2 StPO) bei Beginn der nachfolgenden Vernehmung als Beschuldigter auf die </w:t>
      </w:r>
      <w:r w:rsidR="00CA5BAC" w:rsidRPr="009F1333">
        <w:rPr>
          <w:rFonts w:ascii="Times New Roman" w:hAnsi="Times New Roman"/>
          <w:b/>
          <w:spacing w:val="-2"/>
          <w:sz w:val="16"/>
          <w:szCs w:val="16"/>
        </w:rPr>
        <w:t>Unverwertbarkeit der früheren Angaben</w:t>
      </w:r>
      <w:r w:rsidR="00CA5BAC" w:rsidRPr="009F1333">
        <w:rPr>
          <w:rFonts w:ascii="Times New Roman" w:hAnsi="Times New Roman"/>
          <w:spacing w:val="-2"/>
          <w:sz w:val="16"/>
          <w:szCs w:val="16"/>
        </w:rPr>
        <w:t xml:space="preserve"> hinzuweisen (</w:t>
      </w:r>
      <w:r w:rsidR="00CA5BAC" w:rsidRPr="009F1333">
        <w:rPr>
          <w:rFonts w:ascii="Times New Roman" w:hAnsi="Times New Roman"/>
          <w:b/>
          <w:spacing w:val="-2"/>
          <w:sz w:val="16"/>
          <w:szCs w:val="16"/>
        </w:rPr>
        <w:t>Erfordernis einer „qualifizierten“ Belehrung</w:t>
      </w:r>
      <w:r w:rsidR="00CA5BAC" w:rsidRPr="009F1333">
        <w:rPr>
          <w:rFonts w:ascii="Times New Roman" w:hAnsi="Times New Roman"/>
          <w:spacing w:val="-2"/>
          <w:sz w:val="16"/>
          <w:szCs w:val="16"/>
        </w:rPr>
        <w:t xml:space="preserve">). </w:t>
      </w:r>
      <w:r w:rsidR="00CA2CDF" w:rsidRPr="009F1333">
        <w:rPr>
          <w:rFonts w:ascii="Times New Roman" w:hAnsi="Times New Roman"/>
          <w:spacing w:val="-2"/>
          <w:sz w:val="16"/>
          <w:szCs w:val="16"/>
        </w:rPr>
        <w:t>Das Recht zu schweigen und das Recht, sich nicht selbst belasten zu müssen („</w:t>
      </w:r>
      <w:r w:rsidR="00496D05" w:rsidRPr="009F1333">
        <w:rPr>
          <w:rFonts w:ascii="Times New Roman" w:hAnsi="Times New Roman"/>
          <w:spacing w:val="-2"/>
          <w:sz w:val="16"/>
          <w:szCs w:val="16"/>
        </w:rPr>
        <w:t>N</w:t>
      </w:r>
      <w:r w:rsidR="00CA2CDF" w:rsidRPr="009F1333">
        <w:rPr>
          <w:rFonts w:ascii="Times New Roman" w:hAnsi="Times New Roman"/>
          <w:spacing w:val="-2"/>
          <w:sz w:val="16"/>
          <w:szCs w:val="16"/>
        </w:rPr>
        <w:t xml:space="preserve">emo tenetur“-Grundsatz), gehören zum „Kernstück des von Art. 6 </w:t>
      </w:r>
      <w:r w:rsidR="003101B4" w:rsidRPr="009F1333">
        <w:rPr>
          <w:rFonts w:ascii="Times New Roman" w:hAnsi="Times New Roman"/>
          <w:spacing w:val="-2"/>
          <w:sz w:val="16"/>
          <w:szCs w:val="16"/>
        </w:rPr>
        <w:t>I</w:t>
      </w:r>
      <w:r w:rsidR="00CA2CDF" w:rsidRPr="009F1333">
        <w:rPr>
          <w:rFonts w:ascii="Times New Roman" w:hAnsi="Times New Roman"/>
          <w:spacing w:val="-2"/>
          <w:sz w:val="16"/>
          <w:szCs w:val="16"/>
        </w:rPr>
        <w:t xml:space="preserve"> EMRK garantierten fairen Verfahrens“ (EGMR NJW 2002, 499</w:t>
      </w:r>
      <w:r w:rsidR="00CC082D">
        <w:rPr>
          <w:rFonts w:ascii="Times New Roman" w:hAnsi="Times New Roman"/>
          <w:spacing w:val="-2"/>
          <w:sz w:val="16"/>
          <w:szCs w:val="16"/>
        </w:rPr>
        <w:t xml:space="preserve">, </w:t>
      </w:r>
      <w:r w:rsidR="00CA2CDF" w:rsidRPr="009F1333">
        <w:rPr>
          <w:rFonts w:ascii="Times New Roman" w:hAnsi="Times New Roman"/>
          <w:spacing w:val="-2"/>
          <w:sz w:val="16"/>
          <w:szCs w:val="16"/>
        </w:rPr>
        <w:t>501). Gerade deshalb muss die rechtsstaatliche Ordnung Vo</w:t>
      </w:r>
      <w:r w:rsidR="00EA548F" w:rsidRPr="009F1333">
        <w:rPr>
          <w:rFonts w:ascii="Times New Roman" w:hAnsi="Times New Roman"/>
          <w:spacing w:val="-2"/>
          <w:sz w:val="16"/>
          <w:szCs w:val="16"/>
        </w:rPr>
        <w:t>rkehrungen in Form einer „quali</w:t>
      </w:r>
      <w:r w:rsidR="00CA2CDF" w:rsidRPr="009F1333">
        <w:rPr>
          <w:rFonts w:ascii="Times New Roman" w:hAnsi="Times New Roman"/>
          <w:spacing w:val="-2"/>
          <w:sz w:val="16"/>
          <w:szCs w:val="16"/>
        </w:rPr>
        <w:t>fizierten“ Belehrung treffen, die verhindert, dass ein Beschuldigter auf sein Aussageverweigerungsrecht nur deshalb verzichtet, weil er möglicherweise glaubt, eine frühere, unter Verstoß gegen die Belehrungspflicht zustande gekommene Selbstbelastung nicht mehr aus der Welt schaffen zu können</w:t>
      </w:r>
      <w:r w:rsidR="00EA548F" w:rsidRPr="009F1333">
        <w:rPr>
          <w:rFonts w:ascii="Times New Roman" w:hAnsi="Times New Roman"/>
          <w:spacing w:val="-2"/>
          <w:sz w:val="16"/>
          <w:szCs w:val="16"/>
        </w:rPr>
        <w:t xml:space="preserve">. </w:t>
      </w:r>
      <w:r w:rsidR="00CA5BAC" w:rsidRPr="009F1333">
        <w:rPr>
          <w:rFonts w:ascii="Times New Roman" w:hAnsi="Times New Roman"/>
          <w:spacing w:val="-2"/>
          <w:sz w:val="16"/>
          <w:szCs w:val="16"/>
        </w:rPr>
        <w:t xml:space="preserve">Unterbleibt diese „qualifizierte“ Belehrung, können nach der </w:t>
      </w:r>
      <w:proofErr w:type="spellStart"/>
      <w:r w:rsidR="00CA5BAC" w:rsidRPr="009F1333">
        <w:rPr>
          <w:rFonts w:ascii="Times New Roman" w:hAnsi="Times New Roman"/>
          <w:spacing w:val="-2"/>
          <w:sz w:val="16"/>
          <w:szCs w:val="16"/>
        </w:rPr>
        <w:t>Rspr</w:t>
      </w:r>
      <w:proofErr w:type="spellEnd"/>
      <w:r w:rsidR="00CA5BAC" w:rsidRPr="009F1333">
        <w:rPr>
          <w:rFonts w:ascii="Times New Roman" w:hAnsi="Times New Roman"/>
          <w:spacing w:val="-2"/>
          <w:sz w:val="16"/>
          <w:szCs w:val="16"/>
        </w:rPr>
        <w:t xml:space="preserve">. </w:t>
      </w:r>
      <w:r w:rsidR="00755469" w:rsidRPr="009F1333">
        <w:rPr>
          <w:rFonts w:ascii="Times New Roman" w:hAnsi="Times New Roman"/>
          <w:spacing w:val="-2"/>
          <w:sz w:val="16"/>
          <w:szCs w:val="16"/>
        </w:rPr>
        <w:t>j</w:t>
      </w:r>
      <w:r w:rsidR="00937FC6" w:rsidRPr="009F1333">
        <w:rPr>
          <w:rFonts w:ascii="Times New Roman" w:hAnsi="Times New Roman"/>
          <w:spacing w:val="-2"/>
          <w:sz w:val="16"/>
          <w:szCs w:val="16"/>
        </w:rPr>
        <w:t xml:space="preserve">edoch </w:t>
      </w:r>
      <w:r w:rsidR="00CA5BAC" w:rsidRPr="009F1333">
        <w:rPr>
          <w:rFonts w:ascii="Times New Roman" w:hAnsi="Times New Roman"/>
          <w:spacing w:val="-2"/>
          <w:sz w:val="16"/>
          <w:szCs w:val="16"/>
        </w:rPr>
        <w:t xml:space="preserve">trotz rechtzeitigen Widerspruchs die nach der Belehrung als Beschuldigter gemachten Angaben nach Maßgabe einer </w:t>
      </w:r>
      <w:r w:rsidR="00CA5BAC" w:rsidRPr="009F1333">
        <w:rPr>
          <w:rFonts w:ascii="Times New Roman" w:hAnsi="Times New Roman"/>
          <w:b/>
          <w:spacing w:val="-2"/>
          <w:sz w:val="16"/>
          <w:szCs w:val="16"/>
        </w:rPr>
        <w:t xml:space="preserve">Abwägung </w:t>
      </w:r>
      <w:r w:rsidR="00CA5BAC" w:rsidRPr="009F1333">
        <w:rPr>
          <w:rFonts w:ascii="Times New Roman" w:hAnsi="Times New Roman"/>
          <w:spacing w:val="-2"/>
          <w:sz w:val="16"/>
          <w:szCs w:val="16"/>
        </w:rPr>
        <w:t xml:space="preserve">im Einzelfall </w:t>
      </w:r>
      <w:r w:rsidR="008C74D3" w:rsidRPr="009F1333">
        <w:rPr>
          <w:rFonts w:ascii="Times New Roman" w:hAnsi="Times New Roman"/>
          <w:spacing w:val="-2"/>
          <w:sz w:val="16"/>
          <w:szCs w:val="16"/>
        </w:rPr>
        <w:t xml:space="preserve">dennoch </w:t>
      </w:r>
      <w:r w:rsidR="00CA5BAC" w:rsidRPr="009F1333">
        <w:rPr>
          <w:rFonts w:ascii="Times New Roman" w:hAnsi="Times New Roman"/>
          <w:b/>
          <w:spacing w:val="-2"/>
          <w:sz w:val="16"/>
          <w:szCs w:val="16"/>
        </w:rPr>
        <w:t>verwertbar</w:t>
      </w:r>
      <w:r w:rsidR="00CA5BAC" w:rsidRPr="009F1333">
        <w:rPr>
          <w:rFonts w:ascii="Times New Roman" w:hAnsi="Times New Roman"/>
          <w:spacing w:val="-2"/>
          <w:sz w:val="16"/>
          <w:szCs w:val="16"/>
        </w:rPr>
        <w:t xml:space="preserve"> sein</w:t>
      </w:r>
      <w:r w:rsidR="00755469" w:rsidRPr="009F1333">
        <w:rPr>
          <w:rFonts w:ascii="Times New Roman" w:hAnsi="Times New Roman"/>
          <w:spacing w:val="-2"/>
          <w:sz w:val="16"/>
          <w:szCs w:val="16"/>
        </w:rPr>
        <w:t xml:space="preserve"> (</w:t>
      </w:r>
      <w:proofErr w:type="spellStart"/>
      <w:r w:rsidR="00755469" w:rsidRPr="009F1333">
        <w:rPr>
          <w:rFonts w:ascii="Times New Roman" w:hAnsi="Times New Roman"/>
          <w:spacing w:val="-2"/>
          <w:sz w:val="16"/>
          <w:szCs w:val="16"/>
        </w:rPr>
        <w:t>str.</w:t>
      </w:r>
      <w:proofErr w:type="spellEnd"/>
      <w:r w:rsidR="00755469" w:rsidRPr="009F1333">
        <w:rPr>
          <w:rFonts w:ascii="Times New Roman" w:hAnsi="Times New Roman"/>
          <w:spacing w:val="-2"/>
          <w:sz w:val="16"/>
          <w:szCs w:val="16"/>
        </w:rPr>
        <w:t>)</w:t>
      </w:r>
      <w:r w:rsidR="00CA2CDF" w:rsidRPr="009F1333">
        <w:rPr>
          <w:rFonts w:ascii="Times New Roman" w:hAnsi="Times New Roman"/>
          <w:spacing w:val="-2"/>
          <w:sz w:val="16"/>
          <w:szCs w:val="16"/>
        </w:rPr>
        <w:t>.</w:t>
      </w:r>
      <w:r w:rsidR="00EA548F" w:rsidRPr="009F1333">
        <w:rPr>
          <w:rFonts w:ascii="Times New Roman" w:hAnsi="Times New Roman"/>
          <w:spacing w:val="-2"/>
          <w:sz w:val="16"/>
          <w:szCs w:val="16"/>
        </w:rPr>
        <w:t xml:space="preserve"> </w:t>
      </w:r>
      <w:r w:rsidR="001B3C0A" w:rsidRPr="009F1333">
        <w:rPr>
          <w:rFonts w:ascii="Times New Roman" w:hAnsi="Times New Roman"/>
          <w:spacing w:val="-2"/>
          <w:sz w:val="16"/>
          <w:szCs w:val="16"/>
        </w:rPr>
        <w:t xml:space="preserve">Neben dem in die Abwägung einzubeziehenden </w:t>
      </w:r>
      <w:r w:rsidR="001B3C0A" w:rsidRPr="009F1333">
        <w:rPr>
          <w:rFonts w:ascii="Times New Roman" w:hAnsi="Times New Roman"/>
          <w:b/>
          <w:spacing w:val="-2"/>
          <w:sz w:val="16"/>
          <w:szCs w:val="16"/>
        </w:rPr>
        <w:t>Gewicht des Verfahrensverstoßes</w:t>
      </w:r>
      <w:r w:rsidR="001B3C0A" w:rsidRPr="009F1333">
        <w:rPr>
          <w:rFonts w:ascii="Times New Roman" w:hAnsi="Times New Roman"/>
          <w:spacing w:val="-2"/>
          <w:sz w:val="16"/>
          <w:szCs w:val="16"/>
        </w:rPr>
        <w:t xml:space="preserve"> und des </w:t>
      </w:r>
      <w:r w:rsidR="001B3C0A" w:rsidRPr="009F1333">
        <w:rPr>
          <w:rFonts w:ascii="Times New Roman" w:hAnsi="Times New Roman"/>
          <w:b/>
          <w:spacing w:val="-2"/>
          <w:sz w:val="16"/>
          <w:szCs w:val="16"/>
        </w:rPr>
        <w:t>Sachaufklärungsinteresses</w:t>
      </w:r>
      <w:r w:rsidR="001B3C0A" w:rsidRPr="009F1333">
        <w:rPr>
          <w:rFonts w:ascii="Times New Roman" w:hAnsi="Times New Roman"/>
          <w:spacing w:val="-2"/>
          <w:sz w:val="16"/>
          <w:szCs w:val="16"/>
        </w:rPr>
        <w:t xml:space="preserve"> ist maßgeblich darauf abzustellen, </w:t>
      </w:r>
      <w:r w:rsidR="001B3C0A" w:rsidRPr="009F1333">
        <w:rPr>
          <w:rFonts w:ascii="Times New Roman" w:hAnsi="Times New Roman"/>
          <w:b/>
          <w:spacing w:val="-2"/>
          <w:sz w:val="16"/>
          <w:szCs w:val="16"/>
        </w:rPr>
        <w:t>ob der Betreffende nach erfolgter Beschuldigtenbelehrung davon ausgegangen ist, von seinen früheren Angabe</w:t>
      </w:r>
      <w:r w:rsidR="00CA2CDF" w:rsidRPr="009F1333">
        <w:rPr>
          <w:rFonts w:ascii="Times New Roman" w:hAnsi="Times New Roman"/>
          <w:b/>
          <w:spacing w:val="-2"/>
          <w:sz w:val="16"/>
          <w:szCs w:val="16"/>
        </w:rPr>
        <w:t>n nicht mehr abrücken zu können</w:t>
      </w:r>
      <w:r w:rsidR="00CA2CDF" w:rsidRPr="009F1333">
        <w:rPr>
          <w:rFonts w:ascii="Times New Roman" w:hAnsi="Times New Roman"/>
          <w:spacing w:val="-2"/>
          <w:sz w:val="16"/>
          <w:szCs w:val="16"/>
        </w:rPr>
        <w:t xml:space="preserve"> (BGHSt 53, 112).</w:t>
      </w:r>
    </w:p>
    <w:p w14:paraId="6F57215C" w14:textId="77777777" w:rsidR="00BC39A3" w:rsidRPr="00755469" w:rsidRDefault="00BC39A3" w:rsidP="00BF5261">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3"/>
          <w:szCs w:val="13"/>
        </w:rPr>
      </w:pPr>
    </w:p>
    <w:p w14:paraId="7CA7B251" w14:textId="25CCDF02" w:rsidR="00BF5261" w:rsidRPr="009F1333" w:rsidRDefault="00BF5261" w:rsidP="00982FD6">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spacing w:val="-2"/>
          <w:sz w:val="15"/>
          <w:szCs w:val="15"/>
        </w:rPr>
      </w:pPr>
      <w:r w:rsidRPr="009F1333">
        <w:rPr>
          <w:rFonts w:ascii="Times New Roman" w:hAnsi="Times New Roman"/>
          <w:b/>
          <w:spacing w:val="-2"/>
          <w:sz w:val="15"/>
          <w:szCs w:val="15"/>
        </w:rPr>
        <w:t xml:space="preserve">Literatur/Lehrbücher: </w:t>
      </w:r>
      <w:r w:rsidR="00A10775" w:rsidRPr="009F1333">
        <w:rPr>
          <w:rFonts w:ascii="Times New Roman" w:hAnsi="Times New Roman"/>
          <w:b/>
          <w:spacing w:val="-2"/>
          <w:sz w:val="15"/>
          <w:szCs w:val="15"/>
        </w:rPr>
        <w:tab/>
      </w:r>
      <w:r w:rsidR="00761546" w:rsidRPr="009F1333">
        <w:rPr>
          <w:rFonts w:ascii="Times New Roman" w:hAnsi="Times New Roman"/>
          <w:i/>
          <w:spacing w:val="-2"/>
          <w:sz w:val="15"/>
          <w:szCs w:val="15"/>
        </w:rPr>
        <w:t>Heinrich/Reinbacher</w:t>
      </w:r>
      <w:r w:rsidR="00761546" w:rsidRPr="009F1333">
        <w:rPr>
          <w:rFonts w:ascii="Times New Roman" w:hAnsi="Times New Roman"/>
          <w:spacing w:val="-2"/>
          <w:sz w:val="15"/>
          <w:szCs w:val="15"/>
        </w:rPr>
        <w:t xml:space="preserve">, Examinatorium Strafprozessrecht, </w:t>
      </w:r>
      <w:r w:rsidR="00603AED" w:rsidRPr="009F1333">
        <w:rPr>
          <w:rFonts w:ascii="Times New Roman" w:hAnsi="Times New Roman"/>
          <w:spacing w:val="-2"/>
          <w:sz w:val="15"/>
          <w:szCs w:val="15"/>
        </w:rPr>
        <w:t>4</w:t>
      </w:r>
      <w:r w:rsidR="005623B8" w:rsidRPr="009F1333">
        <w:rPr>
          <w:rFonts w:ascii="Times New Roman" w:hAnsi="Times New Roman"/>
          <w:spacing w:val="-2"/>
          <w:sz w:val="15"/>
          <w:szCs w:val="15"/>
        </w:rPr>
        <w:t>. Auflage 202</w:t>
      </w:r>
      <w:r w:rsidR="00603AED" w:rsidRPr="009F1333">
        <w:rPr>
          <w:rFonts w:ascii="Times New Roman" w:hAnsi="Times New Roman"/>
          <w:spacing w:val="-2"/>
          <w:sz w:val="15"/>
          <w:szCs w:val="15"/>
        </w:rPr>
        <w:t>3</w:t>
      </w:r>
      <w:r w:rsidR="0026004A" w:rsidRPr="009F1333">
        <w:rPr>
          <w:rFonts w:ascii="Times New Roman" w:hAnsi="Times New Roman"/>
          <w:spacing w:val="-2"/>
          <w:sz w:val="15"/>
          <w:szCs w:val="15"/>
        </w:rPr>
        <w:t xml:space="preserve">, </w:t>
      </w:r>
      <w:r w:rsidR="00761546" w:rsidRPr="009F1333">
        <w:rPr>
          <w:rFonts w:ascii="Times New Roman" w:hAnsi="Times New Roman"/>
          <w:spacing w:val="-2"/>
          <w:sz w:val="15"/>
          <w:szCs w:val="15"/>
        </w:rPr>
        <w:t>Problem</w:t>
      </w:r>
      <w:r w:rsidR="00CC082D">
        <w:rPr>
          <w:rFonts w:ascii="Times New Roman" w:hAnsi="Times New Roman"/>
          <w:spacing w:val="-2"/>
          <w:sz w:val="15"/>
          <w:szCs w:val="15"/>
        </w:rPr>
        <w:t> </w:t>
      </w:r>
      <w:r w:rsidR="00761546" w:rsidRPr="009F1333">
        <w:rPr>
          <w:rFonts w:ascii="Times New Roman" w:hAnsi="Times New Roman"/>
          <w:spacing w:val="-2"/>
          <w:sz w:val="15"/>
          <w:szCs w:val="15"/>
        </w:rPr>
        <w:t>32.</w:t>
      </w:r>
    </w:p>
    <w:p w14:paraId="4870BCD8" w14:textId="41110789" w:rsidR="00BF5261" w:rsidRPr="009F1333" w:rsidRDefault="00BF5261" w:rsidP="00982FD6">
      <w:pPr>
        <w:widowControl/>
        <w:tabs>
          <w:tab w:val="left" w:pos="-720"/>
          <w:tab w:val="left" w:pos="288"/>
          <w:tab w:val="left" w:pos="567"/>
          <w:tab w:val="left" w:pos="864"/>
          <w:tab w:val="left" w:pos="1116"/>
          <w:tab w:val="left" w:pos="1404"/>
          <w:tab w:val="left" w:pos="1692"/>
          <w:tab w:val="left" w:pos="1985"/>
          <w:tab w:val="left" w:pos="2880"/>
        </w:tabs>
        <w:ind w:left="1701" w:hanging="1701"/>
        <w:jc w:val="both"/>
        <w:rPr>
          <w:rFonts w:ascii="Times New Roman" w:hAnsi="Times New Roman"/>
          <w:spacing w:val="-2"/>
          <w:sz w:val="15"/>
          <w:szCs w:val="15"/>
        </w:rPr>
      </w:pPr>
      <w:r w:rsidRPr="009F1333">
        <w:rPr>
          <w:rFonts w:ascii="Times New Roman" w:hAnsi="Times New Roman"/>
          <w:b/>
          <w:spacing w:val="-2"/>
          <w:sz w:val="15"/>
          <w:szCs w:val="15"/>
        </w:rPr>
        <w:t>Literatur/Aufsätze:</w:t>
      </w:r>
      <w:r w:rsidRPr="009F1333">
        <w:rPr>
          <w:rFonts w:ascii="Times New Roman" w:hAnsi="Times New Roman"/>
          <w:b/>
          <w:spacing w:val="-2"/>
          <w:sz w:val="15"/>
          <w:szCs w:val="15"/>
        </w:rPr>
        <w:tab/>
      </w:r>
      <w:r w:rsidR="000A2D35" w:rsidRPr="009F1333">
        <w:rPr>
          <w:rFonts w:ascii="Times New Roman" w:hAnsi="Times New Roman"/>
          <w:b/>
          <w:spacing w:val="-2"/>
          <w:sz w:val="15"/>
          <w:szCs w:val="15"/>
        </w:rPr>
        <w:tab/>
      </w:r>
      <w:r w:rsidRPr="009F1333">
        <w:rPr>
          <w:rFonts w:ascii="Times New Roman" w:hAnsi="Times New Roman"/>
          <w:i/>
          <w:spacing w:val="-2"/>
          <w:sz w:val="15"/>
          <w:szCs w:val="15"/>
        </w:rPr>
        <w:t>Fahl</w:t>
      </w:r>
      <w:r w:rsidRPr="009F1333">
        <w:rPr>
          <w:rFonts w:ascii="Times New Roman" w:hAnsi="Times New Roman"/>
          <w:spacing w:val="-2"/>
          <w:sz w:val="15"/>
          <w:szCs w:val="15"/>
        </w:rPr>
        <w:t xml:space="preserve">, Beweisverwertungsverbote, JA 1998, 754; </w:t>
      </w:r>
      <w:r w:rsidRPr="009F1333">
        <w:rPr>
          <w:rFonts w:ascii="Times New Roman" w:hAnsi="Times New Roman"/>
          <w:i/>
          <w:spacing w:val="-2"/>
          <w:sz w:val="15"/>
          <w:szCs w:val="15"/>
        </w:rPr>
        <w:t>Jahn</w:t>
      </w:r>
      <w:r w:rsidRPr="009F1333">
        <w:rPr>
          <w:rFonts w:ascii="Times New Roman" w:hAnsi="Times New Roman"/>
          <w:spacing w:val="-2"/>
          <w:sz w:val="15"/>
          <w:szCs w:val="15"/>
        </w:rPr>
        <w:t xml:space="preserve">, Strafprozessrecht als geronnenes Verfassungsrecht – Hauptprobleme und Streitfragen des § 136a StPO, </w:t>
      </w:r>
      <w:proofErr w:type="spellStart"/>
      <w:r w:rsidRPr="009F1333">
        <w:rPr>
          <w:rFonts w:ascii="Times New Roman" w:hAnsi="Times New Roman"/>
          <w:spacing w:val="-2"/>
          <w:sz w:val="15"/>
          <w:szCs w:val="15"/>
        </w:rPr>
        <w:t>JuS</w:t>
      </w:r>
      <w:proofErr w:type="spellEnd"/>
      <w:r w:rsidRPr="009F1333">
        <w:rPr>
          <w:rFonts w:ascii="Times New Roman" w:hAnsi="Times New Roman"/>
          <w:spacing w:val="-2"/>
          <w:sz w:val="15"/>
          <w:szCs w:val="15"/>
        </w:rPr>
        <w:t xml:space="preserve"> 2005, 1057; </w:t>
      </w:r>
      <w:proofErr w:type="spellStart"/>
      <w:r w:rsidRPr="009F1333">
        <w:rPr>
          <w:rFonts w:ascii="Times New Roman" w:hAnsi="Times New Roman"/>
          <w:i/>
          <w:spacing w:val="-2"/>
          <w:sz w:val="15"/>
          <w:szCs w:val="15"/>
        </w:rPr>
        <w:t>Joerden</w:t>
      </w:r>
      <w:proofErr w:type="spellEnd"/>
      <w:r w:rsidRPr="009F1333">
        <w:rPr>
          <w:rFonts w:ascii="Times New Roman" w:hAnsi="Times New Roman"/>
          <w:spacing w:val="-2"/>
          <w:sz w:val="15"/>
          <w:szCs w:val="15"/>
        </w:rPr>
        <w:t xml:space="preserve">, Verbotene Vernehmungsmethoden – Grundfragen des § 136a StPO, </w:t>
      </w:r>
      <w:proofErr w:type="spellStart"/>
      <w:r w:rsidRPr="009F1333">
        <w:rPr>
          <w:rFonts w:ascii="Times New Roman" w:hAnsi="Times New Roman"/>
          <w:spacing w:val="-2"/>
          <w:sz w:val="15"/>
          <w:szCs w:val="15"/>
        </w:rPr>
        <w:t>JuS</w:t>
      </w:r>
      <w:proofErr w:type="spellEnd"/>
      <w:r w:rsidRPr="009F1333">
        <w:rPr>
          <w:rFonts w:ascii="Times New Roman" w:hAnsi="Times New Roman"/>
          <w:spacing w:val="-2"/>
          <w:sz w:val="15"/>
          <w:szCs w:val="15"/>
        </w:rPr>
        <w:t xml:space="preserve"> 1993, 927</w:t>
      </w:r>
      <w:r w:rsidR="00745B58" w:rsidRPr="009F1333">
        <w:rPr>
          <w:rFonts w:ascii="Times New Roman" w:hAnsi="Times New Roman"/>
          <w:spacing w:val="-2"/>
          <w:sz w:val="15"/>
          <w:szCs w:val="15"/>
        </w:rPr>
        <w:t xml:space="preserve">; </w:t>
      </w:r>
      <w:r w:rsidR="00C40614" w:rsidRPr="009F1333">
        <w:rPr>
          <w:rFonts w:ascii="Times New Roman" w:hAnsi="Times New Roman"/>
          <w:i/>
          <w:iCs/>
          <w:spacing w:val="-2"/>
          <w:sz w:val="15"/>
          <w:szCs w:val="15"/>
        </w:rPr>
        <w:t>Reinbacher/Werkmeister</w:t>
      </w:r>
      <w:r w:rsidR="00C40614" w:rsidRPr="009F1333">
        <w:rPr>
          <w:rFonts w:ascii="Times New Roman" w:hAnsi="Times New Roman"/>
          <w:spacing w:val="-2"/>
          <w:sz w:val="15"/>
          <w:szCs w:val="15"/>
        </w:rPr>
        <w:t xml:space="preserve">, Zufallsfunde im Strafverfahren, </w:t>
      </w:r>
      <w:proofErr w:type="spellStart"/>
      <w:r w:rsidR="00C40614" w:rsidRPr="009F1333">
        <w:rPr>
          <w:rFonts w:ascii="Times New Roman" w:hAnsi="Times New Roman"/>
          <w:spacing w:val="-2"/>
          <w:sz w:val="15"/>
          <w:szCs w:val="15"/>
        </w:rPr>
        <w:t>ZStW</w:t>
      </w:r>
      <w:proofErr w:type="spellEnd"/>
      <w:r w:rsidR="00C40614" w:rsidRPr="009F1333">
        <w:rPr>
          <w:rFonts w:ascii="Times New Roman" w:hAnsi="Times New Roman"/>
          <w:spacing w:val="-2"/>
          <w:sz w:val="15"/>
          <w:szCs w:val="15"/>
        </w:rPr>
        <w:t xml:space="preserve"> 130 (2018), 1104; </w:t>
      </w:r>
      <w:r w:rsidR="00C40614" w:rsidRPr="009F1333">
        <w:rPr>
          <w:rFonts w:ascii="Times New Roman" w:hAnsi="Times New Roman"/>
          <w:i/>
          <w:iCs/>
          <w:spacing w:val="-2"/>
          <w:sz w:val="15"/>
          <w:szCs w:val="15"/>
        </w:rPr>
        <w:t>Roxin</w:t>
      </w:r>
      <w:r w:rsidR="00C40614" w:rsidRPr="009F1333">
        <w:rPr>
          <w:rFonts w:ascii="Times New Roman" w:hAnsi="Times New Roman"/>
          <w:spacing w:val="-2"/>
          <w:sz w:val="15"/>
          <w:szCs w:val="15"/>
        </w:rPr>
        <w:t xml:space="preserve">, Für ein Beweisverwertungsverbot bei unterlassender qualifizierter Belehrung, HRRS 2009, 186; </w:t>
      </w:r>
      <w:r w:rsidR="00745B58" w:rsidRPr="009F1333">
        <w:rPr>
          <w:rFonts w:ascii="Times New Roman" w:hAnsi="Times New Roman"/>
          <w:i/>
          <w:spacing w:val="-2"/>
          <w:sz w:val="15"/>
          <w:szCs w:val="15"/>
        </w:rPr>
        <w:t>Trüg/</w:t>
      </w:r>
      <w:proofErr w:type="spellStart"/>
      <w:r w:rsidR="00745B58" w:rsidRPr="009F1333">
        <w:rPr>
          <w:rFonts w:ascii="Times New Roman" w:hAnsi="Times New Roman"/>
          <w:i/>
          <w:spacing w:val="-2"/>
          <w:sz w:val="15"/>
          <w:szCs w:val="15"/>
        </w:rPr>
        <w:t>Habetha</w:t>
      </w:r>
      <w:proofErr w:type="spellEnd"/>
      <w:r w:rsidR="00745B58" w:rsidRPr="009F1333">
        <w:rPr>
          <w:rFonts w:ascii="Times New Roman" w:hAnsi="Times New Roman"/>
          <w:spacing w:val="-2"/>
          <w:sz w:val="15"/>
          <w:szCs w:val="15"/>
        </w:rPr>
        <w:t xml:space="preserve">, Beweisverwertung trotz rechtswidriger Beweisgewinnung – insbesondere mit Blick auf die „Liechtensteiner Steueraffäre“, NStZ 2008, 481; </w:t>
      </w:r>
      <w:r w:rsidR="00745B58" w:rsidRPr="009F1333">
        <w:rPr>
          <w:rFonts w:ascii="Times New Roman" w:hAnsi="Times New Roman"/>
          <w:i/>
          <w:spacing w:val="-2"/>
          <w:sz w:val="15"/>
          <w:szCs w:val="15"/>
        </w:rPr>
        <w:t>Mitsch</w:t>
      </w:r>
      <w:r w:rsidR="00745B58" w:rsidRPr="009F1333">
        <w:rPr>
          <w:rFonts w:ascii="Times New Roman" w:hAnsi="Times New Roman"/>
          <w:spacing w:val="-2"/>
          <w:sz w:val="15"/>
          <w:szCs w:val="15"/>
        </w:rPr>
        <w:t>, Strafprozessuale Beweisverbote im Spannungsfeld zwischen Jurisprudenz und realer Gefahr, NJW 2008, 2295</w:t>
      </w:r>
      <w:r w:rsidR="00C40614" w:rsidRPr="009F1333">
        <w:rPr>
          <w:rFonts w:ascii="Times New Roman" w:hAnsi="Times New Roman"/>
          <w:spacing w:val="-2"/>
          <w:sz w:val="15"/>
          <w:szCs w:val="15"/>
        </w:rPr>
        <w:t>.</w:t>
      </w:r>
    </w:p>
    <w:p w14:paraId="28098835" w14:textId="6129899D" w:rsidR="00BF5261" w:rsidRPr="009F1333" w:rsidRDefault="00BF5261" w:rsidP="0098224E">
      <w:pPr>
        <w:widowControl/>
        <w:tabs>
          <w:tab w:val="left" w:pos="-720"/>
          <w:tab w:val="left" w:pos="288"/>
          <w:tab w:val="left" w:pos="567"/>
          <w:tab w:val="left" w:pos="864"/>
          <w:tab w:val="left" w:pos="1116"/>
          <w:tab w:val="left" w:pos="1404"/>
          <w:tab w:val="left" w:pos="1692"/>
          <w:tab w:val="left" w:pos="2268"/>
          <w:tab w:val="left" w:pos="2880"/>
        </w:tabs>
        <w:spacing w:line="216" w:lineRule="auto"/>
        <w:ind w:left="1701" w:hanging="1701"/>
        <w:jc w:val="both"/>
        <w:rPr>
          <w:rFonts w:ascii="Times New Roman" w:hAnsi="Times New Roman"/>
          <w:spacing w:val="-2"/>
          <w:sz w:val="15"/>
          <w:szCs w:val="15"/>
        </w:rPr>
      </w:pPr>
      <w:r w:rsidRPr="009F1333">
        <w:rPr>
          <w:rFonts w:ascii="Times New Roman" w:hAnsi="Times New Roman"/>
          <w:b/>
          <w:spacing w:val="-2"/>
          <w:sz w:val="15"/>
          <w:szCs w:val="15"/>
        </w:rPr>
        <w:t xml:space="preserve">Rechtsprechung: </w:t>
      </w:r>
      <w:r w:rsidRPr="009F1333">
        <w:rPr>
          <w:rFonts w:ascii="Times New Roman" w:hAnsi="Times New Roman"/>
          <w:b/>
          <w:spacing w:val="-2"/>
          <w:sz w:val="15"/>
          <w:szCs w:val="15"/>
        </w:rPr>
        <w:tab/>
      </w:r>
      <w:r w:rsidR="00A72409" w:rsidRPr="009F1333">
        <w:rPr>
          <w:rFonts w:ascii="Times New Roman" w:hAnsi="Times New Roman"/>
          <w:b/>
          <w:spacing w:val="-2"/>
          <w:sz w:val="15"/>
          <w:szCs w:val="15"/>
        </w:rPr>
        <w:tab/>
      </w:r>
      <w:r w:rsidR="00CC082D">
        <w:rPr>
          <w:rFonts w:ascii="Times New Roman" w:hAnsi="Times New Roman"/>
          <w:b/>
          <w:spacing w:val="-2"/>
          <w:sz w:val="15"/>
          <w:szCs w:val="15"/>
        </w:rPr>
        <w:tab/>
      </w:r>
      <w:r w:rsidRPr="009F1333">
        <w:rPr>
          <w:rFonts w:ascii="Times New Roman" w:hAnsi="Times New Roman"/>
          <w:b/>
          <w:spacing w:val="-2"/>
          <w:sz w:val="15"/>
          <w:szCs w:val="15"/>
        </w:rPr>
        <w:t xml:space="preserve">EGMR NStZ 2008, 699 – </w:t>
      </w:r>
      <w:r w:rsidR="00BF2F9E" w:rsidRPr="009F1333">
        <w:rPr>
          <w:rFonts w:ascii="Times New Roman" w:hAnsi="Times New Roman"/>
          <w:spacing w:val="-2"/>
          <w:sz w:val="15"/>
          <w:szCs w:val="15"/>
        </w:rPr>
        <w:t xml:space="preserve">Gäfgen I </w:t>
      </w:r>
      <w:r w:rsidRPr="009F1333">
        <w:rPr>
          <w:rFonts w:ascii="Times New Roman" w:hAnsi="Times New Roman"/>
          <w:spacing w:val="-2"/>
          <w:sz w:val="15"/>
          <w:szCs w:val="15"/>
        </w:rPr>
        <w:t>(</w:t>
      </w:r>
      <w:r w:rsidR="00BF2F9E" w:rsidRPr="009F1333">
        <w:rPr>
          <w:rFonts w:ascii="Times New Roman" w:hAnsi="Times New Roman"/>
          <w:spacing w:val="-2"/>
          <w:sz w:val="15"/>
          <w:szCs w:val="15"/>
        </w:rPr>
        <w:t>d</w:t>
      </w:r>
      <w:r w:rsidRPr="009F1333">
        <w:rPr>
          <w:rFonts w:ascii="Times New Roman" w:hAnsi="Times New Roman"/>
          <w:spacing w:val="-2"/>
          <w:sz w:val="15"/>
          <w:szCs w:val="15"/>
        </w:rPr>
        <w:t>urch Folter erzwungenes Geständnis im Ermittlungsverfahren);</w:t>
      </w:r>
      <w:r w:rsidR="00BD311E" w:rsidRPr="009F1333">
        <w:rPr>
          <w:rFonts w:ascii="Arial" w:hAnsi="Arial" w:cs="Times New Roman"/>
          <w:b/>
          <w:bCs/>
          <w:sz w:val="15"/>
          <w:szCs w:val="15"/>
        </w:rPr>
        <w:t xml:space="preserve"> </w:t>
      </w:r>
      <w:r w:rsidR="00BD311E" w:rsidRPr="009F1333">
        <w:rPr>
          <w:rFonts w:ascii="Times New Roman" w:hAnsi="Times New Roman"/>
          <w:b/>
          <w:bCs/>
          <w:spacing w:val="-2"/>
          <w:sz w:val="15"/>
          <w:szCs w:val="15"/>
        </w:rPr>
        <w:t xml:space="preserve">EGMR NJW 2010, 3145 </w:t>
      </w:r>
      <w:r w:rsidR="00BD311E" w:rsidRPr="009F1333">
        <w:rPr>
          <w:rFonts w:ascii="Times New Roman" w:hAnsi="Times New Roman"/>
          <w:bCs/>
          <w:spacing w:val="-2"/>
          <w:sz w:val="15"/>
          <w:szCs w:val="15"/>
        </w:rPr>
        <w:t>– Gäfgen</w:t>
      </w:r>
      <w:r w:rsidR="00BF2F9E" w:rsidRPr="009F1333">
        <w:rPr>
          <w:rFonts w:ascii="Times New Roman" w:hAnsi="Times New Roman"/>
          <w:bCs/>
          <w:spacing w:val="-2"/>
          <w:sz w:val="15"/>
          <w:szCs w:val="15"/>
        </w:rPr>
        <w:t xml:space="preserve"> II</w:t>
      </w:r>
      <w:r w:rsidR="00BD311E" w:rsidRPr="009F1333">
        <w:rPr>
          <w:rFonts w:ascii="Times New Roman" w:hAnsi="Times New Roman"/>
          <w:bCs/>
          <w:spacing w:val="-2"/>
          <w:sz w:val="15"/>
          <w:szCs w:val="15"/>
        </w:rPr>
        <w:t xml:space="preserve"> (durch Folter erzwungenes Geständnis im Ermittlungsverfahren);</w:t>
      </w:r>
      <w:r w:rsidRPr="009F1333">
        <w:rPr>
          <w:rFonts w:ascii="Times New Roman" w:hAnsi="Times New Roman"/>
          <w:b/>
          <w:spacing w:val="-2"/>
          <w:sz w:val="15"/>
          <w:szCs w:val="15"/>
        </w:rPr>
        <w:t xml:space="preserve"> BGHSt 27, 355 – </w:t>
      </w:r>
      <w:r w:rsidRPr="009F1333">
        <w:rPr>
          <w:rFonts w:ascii="Times New Roman" w:hAnsi="Times New Roman"/>
          <w:spacing w:val="-2"/>
          <w:sz w:val="15"/>
          <w:szCs w:val="15"/>
        </w:rPr>
        <w:t>Tonband (Zulässigkeit der Ermittlungen aufgrund der nach § 100a StPO aufgenommenen Tonbänder auch über die Nichtkatalogtaten);</w:t>
      </w:r>
      <w:r w:rsidRPr="009F1333">
        <w:rPr>
          <w:rFonts w:ascii="Times New Roman" w:hAnsi="Times New Roman"/>
          <w:b/>
          <w:spacing w:val="-2"/>
          <w:sz w:val="15"/>
          <w:szCs w:val="15"/>
        </w:rPr>
        <w:t xml:space="preserve"> BGHSt 34, 362</w:t>
      </w:r>
      <w:r w:rsidRPr="009F1333">
        <w:rPr>
          <w:rFonts w:ascii="Times New Roman" w:hAnsi="Times New Roman"/>
          <w:spacing w:val="-2"/>
          <w:sz w:val="15"/>
          <w:szCs w:val="15"/>
        </w:rPr>
        <w:t xml:space="preserve"> – </w:t>
      </w:r>
      <w:r w:rsidR="009919D2" w:rsidRPr="009F1333">
        <w:rPr>
          <w:rFonts w:ascii="Times New Roman" w:hAnsi="Times New Roman"/>
          <w:spacing w:val="-2"/>
          <w:sz w:val="15"/>
          <w:szCs w:val="15"/>
        </w:rPr>
        <w:t>Haftzelle (</w:t>
      </w:r>
      <w:r w:rsidR="009919D2" w:rsidRPr="009F1333">
        <w:rPr>
          <w:rFonts w:ascii="Times New Roman" w:hAnsi="Times New Roman"/>
          <w:color w:val="000000"/>
          <w:spacing w:val="-2"/>
          <w:sz w:val="15"/>
          <w:szCs w:val="15"/>
        </w:rPr>
        <w:t xml:space="preserve">unzulässige Täuschung bei in die Zelle verlegtem Mitgefangenem zur </w:t>
      </w:r>
      <w:proofErr w:type="spellStart"/>
      <w:r w:rsidR="009919D2" w:rsidRPr="009F1333">
        <w:rPr>
          <w:rFonts w:ascii="Times New Roman" w:hAnsi="Times New Roman"/>
          <w:color w:val="000000"/>
          <w:spacing w:val="-2"/>
          <w:sz w:val="15"/>
          <w:szCs w:val="15"/>
        </w:rPr>
        <w:t>Ausfragung</w:t>
      </w:r>
      <w:proofErr w:type="spellEnd"/>
      <w:r w:rsidR="009919D2" w:rsidRPr="009F1333">
        <w:rPr>
          <w:rFonts w:ascii="Times New Roman" w:hAnsi="Times New Roman"/>
          <w:color w:val="000000"/>
          <w:spacing w:val="-2"/>
          <w:sz w:val="15"/>
          <w:szCs w:val="15"/>
        </w:rPr>
        <w:t xml:space="preserve"> des Beschuldigten)</w:t>
      </w:r>
      <w:r w:rsidRPr="009F1333">
        <w:rPr>
          <w:rFonts w:ascii="Times New Roman" w:hAnsi="Times New Roman"/>
          <w:spacing w:val="-2"/>
          <w:sz w:val="15"/>
          <w:szCs w:val="15"/>
        </w:rPr>
        <w:t xml:space="preserve">; </w:t>
      </w:r>
      <w:r w:rsidRPr="009F1333">
        <w:rPr>
          <w:rFonts w:ascii="Times New Roman" w:hAnsi="Times New Roman"/>
          <w:b/>
          <w:spacing w:val="-2"/>
          <w:sz w:val="15"/>
          <w:szCs w:val="15"/>
        </w:rPr>
        <w:t xml:space="preserve">BGHSt 53, 112 </w:t>
      </w:r>
      <w:r w:rsidRPr="009F1333">
        <w:rPr>
          <w:rFonts w:ascii="Times New Roman" w:hAnsi="Times New Roman"/>
          <w:spacing w:val="-2"/>
          <w:sz w:val="15"/>
          <w:szCs w:val="15"/>
        </w:rPr>
        <w:t>– Qualifizierte Belehrung (Verwertbarkeit der Angaben des zunächst als Zeugen vernommenen Angeklagten nach Abwägung im Einzelfall);</w:t>
      </w:r>
      <w:r w:rsidR="00A10775" w:rsidRPr="009F1333">
        <w:rPr>
          <w:rFonts w:ascii="Times New Roman" w:hAnsi="Times New Roman"/>
          <w:spacing w:val="-2"/>
          <w:sz w:val="15"/>
          <w:szCs w:val="15"/>
        </w:rPr>
        <w:t xml:space="preserve"> </w:t>
      </w:r>
      <w:r w:rsidR="000A2D35" w:rsidRPr="009F1333">
        <w:rPr>
          <w:rFonts w:ascii="Times New Roman" w:hAnsi="Times New Roman"/>
          <w:b/>
          <w:spacing w:val="-2"/>
          <w:sz w:val="15"/>
          <w:szCs w:val="15"/>
        </w:rPr>
        <w:t>BGH NStZ-RR 2016, 216</w:t>
      </w:r>
      <w:r w:rsidR="000A2D35" w:rsidRPr="009F1333">
        <w:rPr>
          <w:rFonts w:ascii="Times New Roman" w:hAnsi="Times New Roman"/>
          <w:spacing w:val="-2"/>
          <w:sz w:val="15"/>
          <w:szCs w:val="15"/>
        </w:rPr>
        <w:t xml:space="preserve"> – Unterlassene Belehrung über das Zeugnisverweigerungsrecht (keine Fernwirkung des Beweisverwertungsverbots); </w:t>
      </w:r>
      <w:r w:rsidR="00F86C3B" w:rsidRPr="009F1333">
        <w:rPr>
          <w:rFonts w:ascii="Times New Roman" w:hAnsi="Times New Roman"/>
          <w:b/>
          <w:spacing w:val="-2"/>
          <w:sz w:val="15"/>
          <w:szCs w:val="15"/>
        </w:rPr>
        <w:t>BGH NStZ 2021, 431</w:t>
      </w:r>
      <w:r w:rsidR="00F86C3B" w:rsidRPr="009F1333">
        <w:rPr>
          <w:rFonts w:ascii="Times New Roman" w:hAnsi="Times New Roman"/>
          <w:spacing w:val="-2"/>
          <w:sz w:val="15"/>
          <w:szCs w:val="15"/>
        </w:rPr>
        <w:t xml:space="preserve"> – </w:t>
      </w:r>
      <w:r w:rsidR="0098224E" w:rsidRPr="009F1333">
        <w:rPr>
          <w:rFonts w:ascii="Times New Roman" w:hAnsi="Times New Roman"/>
          <w:spacing w:val="-2"/>
          <w:sz w:val="15"/>
          <w:szCs w:val="15"/>
        </w:rPr>
        <w:t>falsches Versprechen (</w:t>
      </w:r>
      <w:r w:rsidR="00F86C3B" w:rsidRPr="009F1333">
        <w:rPr>
          <w:rFonts w:ascii="Times New Roman" w:hAnsi="Times New Roman"/>
          <w:spacing w:val="-2"/>
          <w:sz w:val="15"/>
          <w:szCs w:val="15"/>
        </w:rPr>
        <w:t>Beweisverwertungsverbot durch Fortwirken einer verbotenen Vernehmungsmethode</w:t>
      </w:r>
      <w:r w:rsidR="0098224E" w:rsidRPr="009F1333">
        <w:rPr>
          <w:rFonts w:ascii="Times New Roman" w:hAnsi="Times New Roman"/>
          <w:spacing w:val="-2"/>
          <w:sz w:val="15"/>
          <w:szCs w:val="15"/>
        </w:rPr>
        <w:t>)</w:t>
      </w:r>
      <w:r w:rsidR="00F86C3B" w:rsidRPr="009F1333">
        <w:rPr>
          <w:rFonts w:ascii="Times New Roman" w:hAnsi="Times New Roman"/>
          <w:spacing w:val="-2"/>
          <w:sz w:val="15"/>
          <w:szCs w:val="15"/>
        </w:rPr>
        <w:t xml:space="preserve">, vgl. </w:t>
      </w:r>
      <w:r w:rsidR="00F86C3B" w:rsidRPr="009F1333">
        <w:rPr>
          <w:rFonts w:ascii="Times New Roman" w:hAnsi="Times New Roman"/>
          <w:i/>
          <w:iCs/>
          <w:spacing w:val="-2"/>
          <w:sz w:val="15"/>
          <w:szCs w:val="15"/>
        </w:rPr>
        <w:t>Pickert/Seligmann</w:t>
      </w:r>
      <w:r w:rsidR="00F86C3B" w:rsidRPr="009F1333">
        <w:rPr>
          <w:rFonts w:ascii="Times New Roman" w:hAnsi="Times New Roman"/>
          <w:spacing w:val="-2"/>
          <w:sz w:val="15"/>
          <w:szCs w:val="15"/>
        </w:rPr>
        <w:t xml:space="preserve">, famos 03/2022; </w:t>
      </w:r>
      <w:r w:rsidR="00A10775" w:rsidRPr="009F1333">
        <w:rPr>
          <w:rFonts w:ascii="Times New Roman" w:hAnsi="Times New Roman"/>
          <w:b/>
          <w:spacing w:val="-2"/>
          <w:sz w:val="15"/>
          <w:szCs w:val="15"/>
        </w:rPr>
        <w:t>OLG Düsseldorf NStZ 2017, 177</w:t>
      </w:r>
      <w:r w:rsidR="00A10775" w:rsidRPr="009F1333">
        <w:rPr>
          <w:rFonts w:ascii="Times New Roman" w:hAnsi="Times New Roman"/>
          <w:spacing w:val="-2"/>
          <w:sz w:val="15"/>
          <w:szCs w:val="15"/>
        </w:rPr>
        <w:t xml:space="preserve"> – Durchsuchung (grob fehlerhafte Annahme von Gefahr im Verzug); </w:t>
      </w:r>
      <w:r w:rsidR="0092313A" w:rsidRPr="009F1333">
        <w:rPr>
          <w:rFonts w:ascii="Times New Roman" w:hAnsi="Times New Roman"/>
          <w:b/>
          <w:bCs/>
          <w:spacing w:val="-2"/>
          <w:sz w:val="15"/>
          <w:szCs w:val="15"/>
        </w:rPr>
        <w:t>OLG Koblenz BeckRS 2017, 146246</w:t>
      </w:r>
      <w:r w:rsidR="0092313A">
        <w:rPr>
          <w:rFonts w:ascii="Times New Roman" w:hAnsi="Times New Roman"/>
          <w:spacing w:val="-2"/>
          <w:sz w:val="15"/>
          <w:szCs w:val="15"/>
        </w:rPr>
        <w:t xml:space="preserve"> – Zufallsfund (keine Fernwirkung von Beweisverwertungsverbot); </w:t>
      </w:r>
      <w:r w:rsidRPr="009F1333">
        <w:rPr>
          <w:rFonts w:ascii="Times New Roman" w:hAnsi="Times New Roman"/>
          <w:b/>
          <w:spacing w:val="-2"/>
          <w:sz w:val="15"/>
          <w:szCs w:val="15"/>
        </w:rPr>
        <w:t xml:space="preserve">LG </w:t>
      </w:r>
      <w:r w:rsidR="00C40614" w:rsidRPr="009F1333">
        <w:rPr>
          <w:rFonts w:ascii="Times New Roman" w:hAnsi="Times New Roman"/>
          <w:b/>
          <w:spacing w:val="-2"/>
          <w:sz w:val="15"/>
          <w:szCs w:val="15"/>
        </w:rPr>
        <w:t>Frankfurt</w:t>
      </w:r>
      <w:r w:rsidR="00C40614" w:rsidRPr="009F1333">
        <w:rPr>
          <w:rFonts w:ascii="Times New Roman" w:hAnsi="Times New Roman"/>
          <w:spacing w:val="-2"/>
          <w:sz w:val="15"/>
          <w:szCs w:val="15"/>
        </w:rPr>
        <w:t xml:space="preserve"> </w:t>
      </w:r>
      <w:r w:rsidR="00C40614" w:rsidRPr="009F1333">
        <w:rPr>
          <w:rFonts w:ascii="Times New Roman" w:hAnsi="Times New Roman"/>
          <w:b/>
          <w:bCs/>
          <w:spacing w:val="-2"/>
          <w:sz w:val="15"/>
          <w:szCs w:val="15"/>
        </w:rPr>
        <w:t>am Main</w:t>
      </w:r>
      <w:r w:rsidR="00C40614" w:rsidRPr="009F1333">
        <w:rPr>
          <w:rFonts w:ascii="Times New Roman" w:hAnsi="Times New Roman"/>
          <w:spacing w:val="-2"/>
          <w:sz w:val="15"/>
          <w:szCs w:val="15"/>
        </w:rPr>
        <w:t xml:space="preserve"> </w:t>
      </w:r>
      <w:r w:rsidRPr="009F1333">
        <w:rPr>
          <w:rFonts w:ascii="Times New Roman" w:hAnsi="Times New Roman"/>
          <w:b/>
          <w:spacing w:val="-2"/>
          <w:sz w:val="15"/>
          <w:szCs w:val="15"/>
        </w:rPr>
        <w:t>StV 2003, 325</w:t>
      </w:r>
      <w:r w:rsidRPr="009F1333">
        <w:rPr>
          <w:rFonts w:ascii="Times New Roman" w:hAnsi="Times New Roman"/>
          <w:spacing w:val="-2"/>
          <w:sz w:val="15"/>
          <w:szCs w:val="15"/>
        </w:rPr>
        <w:t xml:space="preserve"> </w:t>
      </w:r>
      <w:r w:rsidRPr="009F1333">
        <w:rPr>
          <w:rFonts w:ascii="Times New Roman" w:hAnsi="Times New Roman"/>
          <w:b/>
          <w:spacing w:val="-2"/>
          <w:sz w:val="15"/>
          <w:szCs w:val="15"/>
        </w:rPr>
        <w:t xml:space="preserve">– </w:t>
      </w:r>
      <w:r w:rsidRPr="009F1333">
        <w:rPr>
          <w:rFonts w:ascii="Times New Roman" w:hAnsi="Times New Roman"/>
          <w:spacing w:val="-2"/>
          <w:sz w:val="15"/>
          <w:szCs w:val="15"/>
        </w:rPr>
        <w:t>Daschner (Durch Folter erzwungenes Geständnis im Ermittlungsverfahren).</w:t>
      </w:r>
    </w:p>
    <w:sectPr w:rsidR="00BF5261" w:rsidRPr="009F1333">
      <w:pgSz w:w="11906" w:h="16838"/>
      <w:pgMar w:top="566" w:right="566" w:bottom="288"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8A0F" w14:textId="77777777" w:rsidR="003C3519" w:rsidRDefault="003C3519">
      <w:r>
        <w:separator/>
      </w:r>
    </w:p>
  </w:endnote>
  <w:endnote w:type="continuationSeparator" w:id="0">
    <w:p w14:paraId="6E49331D" w14:textId="77777777" w:rsidR="003C3519" w:rsidRDefault="003C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952C" w14:textId="77777777" w:rsidR="003C3519" w:rsidRDefault="003C3519">
      <w:r>
        <w:separator/>
      </w:r>
    </w:p>
  </w:footnote>
  <w:footnote w:type="continuationSeparator" w:id="0">
    <w:p w14:paraId="3C4F6ACE" w14:textId="77777777" w:rsidR="003C3519" w:rsidRDefault="003C3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B85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C44C0EC"/>
    <w:lvl w:ilvl="0" w:tplc="92BA6090">
      <w:numFmt w:val="none"/>
      <w:lvlText w:val=""/>
      <w:lvlJc w:val="left"/>
      <w:pPr>
        <w:tabs>
          <w:tab w:val="num" w:pos="360"/>
        </w:tabs>
      </w:pPr>
    </w:lvl>
    <w:lvl w:ilvl="1" w:tplc="EEBE9E9C">
      <w:numFmt w:val="decimal"/>
      <w:lvlText w:val=""/>
      <w:lvlJc w:val="left"/>
    </w:lvl>
    <w:lvl w:ilvl="2" w:tplc="4F3C2C60">
      <w:numFmt w:val="decimal"/>
      <w:lvlText w:val=""/>
      <w:lvlJc w:val="left"/>
    </w:lvl>
    <w:lvl w:ilvl="3" w:tplc="C8528C1C">
      <w:numFmt w:val="decimal"/>
      <w:lvlText w:val=""/>
      <w:lvlJc w:val="left"/>
    </w:lvl>
    <w:lvl w:ilvl="4" w:tplc="AD261246">
      <w:numFmt w:val="decimal"/>
      <w:lvlText w:val=""/>
      <w:lvlJc w:val="left"/>
    </w:lvl>
    <w:lvl w:ilvl="5" w:tplc="8BE0A528">
      <w:numFmt w:val="decimal"/>
      <w:lvlText w:val=""/>
      <w:lvlJc w:val="left"/>
    </w:lvl>
    <w:lvl w:ilvl="6" w:tplc="6EA8A672">
      <w:numFmt w:val="decimal"/>
      <w:lvlText w:val=""/>
      <w:lvlJc w:val="left"/>
    </w:lvl>
    <w:lvl w:ilvl="7" w:tplc="0C3CC62C">
      <w:numFmt w:val="decimal"/>
      <w:lvlText w:val=""/>
      <w:lvlJc w:val="left"/>
    </w:lvl>
    <w:lvl w:ilvl="8" w:tplc="1284D8EA">
      <w:numFmt w:val="decimal"/>
      <w:lvlText w:val=""/>
      <w:lvlJc w:val="left"/>
    </w:lvl>
  </w:abstractNum>
  <w:abstractNum w:abstractNumId="2" w15:restartNumberingAfterBreak="0">
    <w:nsid w:val="214B7019"/>
    <w:multiLevelType w:val="hybridMultilevel"/>
    <w:tmpl w:val="50AADEBE"/>
    <w:lvl w:ilvl="0" w:tplc="E2D29ABE">
      <w:start w:val="1"/>
      <w:numFmt w:val="decimal"/>
      <w:lvlText w:val="%1."/>
      <w:lvlJc w:val="left"/>
      <w:pPr>
        <w:tabs>
          <w:tab w:val="num" w:pos="921"/>
        </w:tabs>
        <w:ind w:left="921" w:hanging="360"/>
      </w:pPr>
      <w:rPr>
        <w:rFonts w:hint="default"/>
        <w:u w:val="single"/>
      </w:rPr>
    </w:lvl>
    <w:lvl w:ilvl="1" w:tplc="00190407">
      <w:start w:val="1"/>
      <w:numFmt w:val="lowerLetter"/>
      <w:lvlText w:val="%2."/>
      <w:lvlJc w:val="left"/>
      <w:pPr>
        <w:tabs>
          <w:tab w:val="num" w:pos="1641"/>
        </w:tabs>
        <w:ind w:left="1641" w:hanging="360"/>
      </w:pPr>
    </w:lvl>
    <w:lvl w:ilvl="2" w:tplc="001B0407" w:tentative="1">
      <w:start w:val="1"/>
      <w:numFmt w:val="lowerRoman"/>
      <w:lvlText w:val="%3."/>
      <w:lvlJc w:val="right"/>
      <w:pPr>
        <w:tabs>
          <w:tab w:val="num" w:pos="2361"/>
        </w:tabs>
        <w:ind w:left="2361" w:hanging="180"/>
      </w:pPr>
    </w:lvl>
    <w:lvl w:ilvl="3" w:tplc="000F0407" w:tentative="1">
      <w:start w:val="1"/>
      <w:numFmt w:val="decimal"/>
      <w:lvlText w:val="%4."/>
      <w:lvlJc w:val="left"/>
      <w:pPr>
        <w:tabs>
          <w:tab w:val="num" w:pos="3081"/>
        </w:tabs>
        <w:ind w:left="3081" w:hanging="360"/>
      </w:pPr>
    </w:lvl>
    <w:lvl w:ilvl="4" w:tplc="00190407" w:tentative="1">
      <w:start w:val="1"/>
      <w:numFmt w:val="lowerLetter"/>
      <w:lvlText w:val="%5."/>
      <w:lvlJc w:val="left"/>
      <w:pPr>
        <w:tabs>
          <w:tab w:val="num" w:pos="3801"/>
        </w:tabs>
        <w:ind w:left="3801" w:hanging="360"/>
      </w:pPr>
    </w:lvl>
    <w:lvl w:ilvl="5" w:tplc="001B0407" w:tentative="1">
      <w:start w:val="1"/>
      <w:numFmt w:val="lowerRoman"/>
      <w:lvlText w:val="%6."/>
      <w:lvlJc w:val="right"/>
      <w:pPr>
        <w:tabs>
          <w:tab w:val="num" w:pos="4521"/>
        </w:tabs>
        <w:ind w:left="4521" w:hanging="180"/>
      </w:pPr>
    </w:lvl>
    <w:lvl w:ilvl="6" w:tplc="000F0407" w:tentative="1">
      <w:start w:val="1"/>
      <w:numFmt w:val="decimal"/>
      <w:lvlText w:val="%7."/>
      <w:lvlJc w:val="left"/>
      <w:pPr>
        <w:tabs>
          <w:tab w:val="num" w:pos="5241"/>
        </w:tabs>
        <w:ind w:left="5241" w:hanging="360"/>
      </w:pPr>
    </w:lvl>
    <w:lvl w:ilvl="7" w:tplc="00190407" w:tentative="1">
      <w:start w:val="1"/>
      <w:numFmt w:val="lowerLetter"/>
      <w:lvlText w:val="%8."/>
      <w:lvlJc w:val="left"/>
      <w:pPr>
        <w:tabs>
          <w:tab w:val="num" w:pos="5961"/>
        </w:tabs>
        <w:ind w:left="5961" w:hanging="360"/>
      </w:pPr>
    </w:lvl>
    <w:lvl w:ilvl="8" w:tplc="001B0407" w:tentative="1">
      <w:start w:val="1"/>
      <w:numFmt w:val="lowerRoman"/>
      <w:lvlText w:val="%9."/>
      <w:lvlJc w:val="right"/>
      <w:pPr>
        <w:tabs>
          <w:tab w:val="num" w:pos="6681"/>
        </w:tabs>
        <w:ind w:left="6681" w:hanging="180"/>
      </w:pPr>
    </w:lvl>
  </w:abstractNum>
  <w:abstractNum w:abstractNumId="3"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4"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8"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9" w15:restartNumberingAfterBreak="0">
    <w:nsid w:val="756D32B1"/>
    <w:multiLevelType w:val="hybridMultilevel"/>
    <w:tmpl w:val="8674B266"/>
    <w:lvl w:ilvl="0" w:tplc="C3866A1A">
      <w:start w:val="1"/>
      <w:numFmt w:val="decimal"/>
      <w:lvlText w:val="%1."/>
      <w:lvlJc w:val="left"/>
      <w:pPr>
        <w:tabs>
          <w:tab w:val="num" w:pos="927"/>
        </w:tabs>
        <w:ind w:left="927" w:hanging="360"/>
      </w:pPr>
      <w:rPr>
        <w:rFonts w:hint="default"/>
        <w:u w:val="single"/>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abstractNum w:abstractNumId="10" w15:restartNumberingAfterBreak="0">
    <w:nsid w:val="79BF6AE7"/>
    <w:multiLevelType w:val="hybridMultilevel"/>
    <w:tmpl w:val="B35C59F8"/>
    <w:lvl w:ilvl="0" w:tplc="5D120DF8">
      <w:start w:val="1"/>
      <w:numFmt w:val="decimal"/>
      <w:lvlText w:val="%1."/>
      <w:lvlJc w:val="left"/>
      <w:pPr>
        <w:tabs>
          <w:tab w:val="num" w:pos="720"/>
        </w:tabs>
        <w:ind w:left="720" w:hanging="360"/>
      </w:pPr>
      <w:rPr>
        <w:rFonts w:hint="default"/>
        <w:b w:val="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371422576">
    <w:abstractNumId w:val="6"/>
  </w:num>
  <w:num w:numId="2" w16cid:durableId="1261598368">
    <w:abstractNumId w:val="5"/>
  </w:num>
  <w:num w:numId="3" w16cid:durableId="424155818">
    <w:abstractNumId w:val="3"/>
  </w:num>
  <w:num w:numId="4" w16cid:durableId="28727571">
    <w:abstractNumId w:val="8"/>
  </w:num>
  <w:num w:numId="5" w16cid:durableId="1319071941">
    <w:abstractNumId w:val="4"/>
  </w:num>
  <w:num w:numId="6" w16cid:durableId="925767185">
    <w:abstractNumId w:val="7"/>
  </w:num>
  <w:num w:numId="7" w16cid:durableId="940183556">
    <w:abstractNumId w:val="1"/>
  </w:num>
  <w:num w:numId="8" w16cid:durableId="1414084578">
    <w:abstractNumId w:val="9"/>
  </w:num>
  <w:num w:numId="9" w16cid:durableId="77100101">
    <w:abstractNumId w:val="2"/>
  </w:num>
  <w:num w:numId="10" w16cid:durableId="648173809">
    <w:abstractNumId w:val="10"/>
  </w:num>
  <w:num w:numId="11" w16cid:durableId="165341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de-DE" w:vendorID="6" w:dllVersion="2" w:checkStyle="1"/>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5C74"/>
    <w:rsid w:val="00014374"/>
    <w:rsid w:val="00035984"/>
    <w:rsid w:val="000A2D35"/>
    <w:rsid w:val="000D56C9"/>
    <w:rsid w:val="00130F66"/>
    <w:rsid w:val="00133CA1"/>
    <w:rsid w:val="001572EB"/>
    <w:rsid w:val="001616A1"/>
    <w:rsid w:val="001B01EF"/>
    <w:rsid w:val="001B2330"/>
    <w:rsid w:val="001B2BC6"/>
    <w:rsid w:val="001B3C0A"/>
    <w:rsid w:val="001C31FD"/>
    <w:rsid w:val="001D133C"/>
    <w:rsid w:val="00225F46"/>
    <w:rsid w:val="0026004A"/>
    <w:rsid w:val="002721D5"/>
    <w:rsid w:val="00274C38"/>
    <w:rsid w:val="00287CC0"/>
    <w:rsid w:val="002A305F"/>
    <w:rsid w:val="002D6186"/>
    <w:rsid w:val="003101B4"/>
    <w:rsid w:val="003320D3"/>
    <w:rsid w:val="003648A4"/>
    <w:rsid w:val="0037356C"/>
    <w:rsid w:val="003A4B56"/>
    <w:rsid w:val="003A5B26"/>
    <w:rsid w:val="003C3519"/>
    <w:rsid w:val="003E0071"/>
    <w:rsid w:val="003F4C13"/>
    <w:rsid w:val="00400547"/>
    <w:rsid w:val="00496D05"/>
    <w:rsid w:val="004A4E00"/>
    <w:rsid w:val="004A72AF"/>
    <w:rsid w:val="004B1060"/>
    <w:rsid w:val="004B7196"/>
    <w:rsid w:val="00512EC9"/>
    <w:rsid w:val="00543B0E"/>
    <w:rsid w:val="005623B8"/>
    <w:rsid w:val="00580430"/>
    <w:rsid w:val="005933CA"/>
    <w:rsid w:val="00594BB2"/>
    <w:rsid w:val="00594D4F"/>
    <w:rsid w:val="005E2686"/>
    <w:rsid w:val="006021C5"/>
    <w:rsid w:val="00603AED"/>
    <w:rsid w:val="00684E27"/>
    <w:rsid w:val="006A2A03"/>
    <w:rsid w:val="006B202E"/>
    <w:rsid w:val="006B66A3"/>
    <w:rsid w:val="006C343A"/>
    <w:rsid w:val="00701B60"/>
    <w:rsid w:val="00745B58"/>
    <w:rsid w:val="00755469"/>
    <w:rsid w:val="00761546"/>
    <w:rsid w:val="00773F22"/>
    <w:rsid w:val="00786E3E"/>
    <w:rsid w:val="007A348D"/>
    <w:rsid w:val="007F011C"/>
    <w:rsid w:val="00804BC0"/>
    <w:rsid w:val="0080746F"/>
    <w:rsid w:val="008A3BDA"/>
    <w:rsid w:val="008C2442"/>
    <w:rsid w:val="008C74D3"/>
    <w:rsid w:val="008E6F42"/>
    <w:rsid w:val="008F70B4"/>
    <w:rsid w:val="009133A6"/>
    <w:rsid w:val="00913F20"/>
    <w:rsid w:val="0092313A"/>
    <w:rsid w:val="00937FC6"/>
    <w:rsid w:val="009509F4"/>
    <w:rsid w:val="009753BD"/>
    <w:rsid w:val="0098224E"/>
    <w:rsid w:val="00982FD6"/>
    <w:rsid w:val="009919D2"/>
    <w:rsid w:val="009A5D60"/>
    <w:rsid w:val="009B526F"/>
    <w:rsid w:val="009C5BD5"/>
    <w:rsid w:val="009D3708"/>
    <w:rsid w:val="009F1333"/>
    <w:rsid w:val="00A10775"/>
    <w:rsid w:val="00A110F6"/>
    <w:rsid w:val="00A158FA"/>
    <w:rsid w:val="00A27599"/>
    <w:rsid w:val="00A433A8"/>
    <w:rsid w:val="00A64E92"/>
    <w:rsid w:val="00A72409"/>
    <w:rsid w:val="00AA77ED"/>
    <w:rsid w:val="00AC386D"/>
    <w:rsid w:val="00AC7F33"/>
    <w:rsid w:val="00B1284B"/>
    <w:rsid w:val="00B50715"/>
    <w:rsid w:val="00B573BF"/>
    <w:rsid w:val="00BB193C"/>
    <w:rsid w:val="00BC39A3"/>
    <w:rsid w:val="00BD311E"/>
    <w:rsid w:val="00BE3248"/>
    <w:rsid w:val="00BF2F9E"/>
    <w:rsid w:val="00BF5261"/>
    <w:rsid w:val="00C40614"/>
    <w:rsid w:val="00C55E31"/>
    <w:rsid w:val="00C64C4E"/>
    <w:rsid w:val="00CA1DB5"/>
    <w:rsid w:val="00CA2CDF"/>
    <w:rsid w:val="00CA3F64"/>
    <w:rsid w:val="00CA5BAC"/>
    <w:rsid w:val="00CB434A"/>
    <w:rsid w:val="00CC082D"/>
    <w:rsid w:val="00CD0C67"/>
    <w:rsid w:val="00CD6234"/>
    <w:rsid w:val="00CE09B4"/>
    <w:rsid w:val="00D25B6A"/>
    <w:rsid w:val="00D27684"/>
    <w:rsid w:val="00D70D30"/>
    <w:rsid w:val="00D84AF8"/>
    <w:rsid w:val="00DA5BF7"/>
    <w:rsid w:val="00DC024F"/>
    <w:rsid w:val="00DC0547"/>
    <w:rsid w:val="00DD53CC"/>
    <w:rsid w:val="00DE3510"/>
    <w:rsid w:val="00DF10D5"/>
    <w:rsid w:val="00E15B44"/>
    <w:rsid w:val="00E355E3"/>
    <w:rsid w:val="00E548FE"/>
    <w:rsid w:val="00E6398C"/>
    <w:rsid w:val="00E73CAF"/>
    <w:rsid w:val="00E803C5"/>
    <w:rsid w:val="00E9305B"/>
    <w:rsid w:val="00EA548F"/>
    <w:rsid w:val="00EB46DF"/>
    <w:rsid w:val="00EE58ED"/>
    <w:rsid w:val="00EF3E0D"/>
    <w:rsid w:val="00F37772"/>
    <w:rsid w:val="00F50F0A"/>
    <w:rsid w:val="00F63EC9"/>
    <w:rsid w:val="00F653B1"/>
    <w:rsid w:val="00F70602"/>
    <w:rsid w:val="00F74076"/>
    <w:rsid w:val="00F746AD"/>
    <w:rsid w:val="00F86C3B"/>
    <w:rsid w:val="00F90EA6"/>
    <w:rsid w:val="00FC43AB"/>
    <w:rsid w:val="00FD158B"/>
    <w:rsid w:val="00FD3442"/>
    <w:rsid w:val="00FD7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A4A2A3"/>
  <w15:chartTrackingRefBased/>
  <w15:docId w15:val="{3318AA87-F0B9-43ED-8AE1-29D3F1A5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paragraph" w:styleId="berschrift3">
    <w:name w:val="heading 3"/>
    <w:basedOn w:val="Standard"/>
    <w:link w:val="berschrift3Zchn"/>
    <w:uiPriority w:val="9"/>
    <w:qFormat/>
    <w:rsid w:val="00CA5BAC"/>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FE03E6"/>
    <w:rPr>
      <w:rFonts w:ascii="Tahoma" w:hAnsi="Tahoma" w:cs="Tahoma"/>
      <w:sz w:val="16"/>
      <w:szCs w:val="16"/>
    </w:rPr>
  </w:style>
  <w:style w:type="paragraph" w:styleId="Kopfzeile">
    <w:name w:val="header"/>
    <w:basedOn w:val="Standard"/>
    <w:link w:val="KopfzeileZchn"/>
    <w:uiPriority w:val="99"/>
    <w:unhideWhenUsed/>
    <w:rsid w:val="00E9305B"/>
    <w:pPr>
      <w:tabs>
        <w:tab w:val="center" w:pos="4536"/>
        <w:tab w:val="right" w:pos="9072"/>
      </w:tabs>
    </w:pPr>
  </w:style>
  <w:style w:type="character" w:customStyle="1" w:styleId="KopfzeileZchn">
    <w:name w:val="Kopfzeile Zchn"/>
    <w:link w:val="Kopfzeile"/>
    <w:uiPriority w:val="99"/>
    <w:rsid w:val="00E9305B"/>
    <w:rPr>
      <w:rFonts w:ascii="Dutch Roman 12pt" w:hAnsi="Dutch Roman 12pt" w:cs="Arial Narrow"/>
      <w:sz w:val="24"/>
      <w:szCs w:val="24"/>
    </w:rPr>
  </w:style>
  <w:style w:type="paragraph" w:styleId="Fuzeile">
    <w:name w:val="footer"/>
    <w:basedOn w:val="Standard"/>
    <w:link w:val="FuzeileZchn"/>
    <w:uiPriority w:val="99"/>
    <w:unhideWhenUsed/>
    <w:rsid w:val="00E9305B"/>
    <w:pPr>
      <w:tabs>
        <w:tab w:val="center" w:pos="4536"/>
        <w:tab w:val="right" w:pos="9072"/>
      </w:tabs>
    </w:pPr>
  </w:style>
  <w:style w:type="character" w:customStyle="1" w:styleId="FuzeileZchn">
    <w:name w:val="Fußzeile Zchn"/>
    <w:link w:val="Fuzeile"/>
    <w:uiPriority w:val="99"/>
    <w:rsid w:val="00E9305B"/>
    <w:rPr>
      <w:rFonts w:ascii="Dutch Roman 12pt" w:hAnsi="Dutch Roman 12pt" w:cs="Arial Narrow"/>
      <w:sz w:val="24"/>
      <w:szCs w:val="24"/>
    </w:rPr>
  </w:style>
  <w:style w:type="character" w:customStyle="1" w:styleId="Betonungfett">
    <w:name w:val="Betonung fett"/>
    <w:rsid w:val="00225F46"/>
    <w:rPr>
      <w:b/>
      <w:color w:val="339966"/>
    </w:rPr>
  </w:style>
  <w:style w:type="character" w:customStyle="1" w:styleId="Betonungkursiv">
    <w:name w:val="Betonung kursiv"/>
    <w:rsid w:val="00225F46"/>
    <w:rPr>
      <w:i/>
      <w:color w:val="339966"/>
    </w:rPr>
  </w:style>
  <w:style w:type="paragraph" w:styleId="Kommentartext">
    <w:name w:val="annotation text"/>
    <w:basedOn w:val="Standard"/>
    <w:link w:val="KommentartextZchn"/>
    <w:uiPriority w:val="99"/>
    <w:unhideWhenUsed/>
    <w:rsid w:val="00BD311E"/>
    <w:rPr>
      <w:sz w:val="20"/>
      <w:szCs w:val="20"/>
    </w:rPr>
  </w:style>
  <w:style w:type="character" w:customStyle="1" w:styleId="KommentartextZchn">
    <w:name w:val="Kommentartext Zchn"/>
    <w:link w:val="Kommentartext"/>
    <w:uiPriority w:val="99"/>
    <w:rsid w:val="00BD311E"/>
    <w:rPr>
      <w:rFonts w:ascii="Dutch Roman 12pt" w:hAnsi="Dutch Roman 12pt" w:cs="Arial Narrow"/>
    </w:rPr>
  </w:style>
  <w:style w:type="character" w:styleId="Kommentarzeichen">
    <w:name w:val="annotation reference"/>
    <w:uiPriority w:val="99"/>
    <w:semiHidden/>
    <w:rsid w:val="00BD311E"/>
    <w:rPr>
      <w:sz w:val="16"/>
      <w:szCs w:val="16"/>
    </w:rPr>
  </w:style>
  <w:style w:type="character" w:customStyle="1" w:styleId="berschrift3Zchn">
    <w:name w:val="Überschrift 3 Zchn"/>
    <w:link w:val="berschrift3"/>
    <w:uiPriority w:val="9"/>
    <w:rsid w:val="00CA5BAC"/>
    <w:rPr>
      <w:b/>
      <w:bCs/>
      <w:sz w:val="27"/>
      <w:szCs w:val="27"/>
    </w:rPr>
  </w:style>
  <w:style w:type="character" w:styleId="Hyperlink">
    <w:name w:val="Hyperlink"/>
    <w:uiPriority w:val="99"/>
    <w:semiHidden/>
    <w:unhideWhenUsed/>
    <w:rsid w:val="00CA5BAC"/>
    <w:rPr>
      <w:color w:val="0000FF"/>
      <w:u w:val="single"/>
    </w:rPr>
  </w:style>
  <w:style w:type="character" w:customStyle="1" w:styleId="zit">
    <w:name w:val="zit"/>
    <w:rsid w:val="008C74D3"/>
  </w:style>
  <w:style w:type="character" w:customStyle="1" w:styleId="unsichtbar">
    <w:name w:val="unsichtbar"/>
    <w:rsid w:val="008C74D3"/>
  </w:style>
  <w:style w:type="character" w:customStyle="1" w:styleId="datum">
    <w:name w:val="datum"/>
    <w:rsid w:val="001B2330"/>
  </w:style>
  <w:style w:type="character" w:customStyle="1" w:styleId="az">
    <w:name w:val="az"/>
    <w:rsid w:val="009133A6"/>
  </w:style>
  <w:style w:type="character" w:customStyle="1" w:styleId="KommentartextZchn1">
    <w:name w:val="Kommentartext Zchn1"/>
    <w:uiPriority w:val="99"/>
    <w:semiHidden/>
    <w:rsid w:val="00F86C3B"/>
    <w:rPr>
      <w:rFonts w:ascii="Arial" w:hAnsi="Arial"/>
      <w:bCs/>
      <w:szCs w:val="21"/>
    </w:rPr>
  </w:style>
  <w:style w:type="paragraph" w:styleId="berarbeitung">
    <w:name w:val="Revision"/>
    <w:hidden/>
    <w:uiPriority w:val="71"/>
    <w:rsid w:val="0098224E"/>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594D4F"/>
    <w:rPr>
      <w:b/>
      <w:bCs/>
    </w:rPr>
  </w:style>
  <w:style w:type="character" w:customStyle="1" w:styleId="KommentarthemaZchn">
    <w:name w:val="Kommentarthema Zchn"/>
    <w:basedOn w:val="KommentartextZchn"/>
    <w:link w:val="Kommentarthema"/>
    <w:uiPriority w:val="99"/>
    <w:semiHidden/>
    <w:rsid w:val="00594D4F"/>
    <w:rPr>
      <w:rFonts w:ascii="Dutch Roman 12pt" w:hAnsi="Dutch Roman 12pt" w:cs="Arial Narrow"/>
      <w:b/>
      <w:bCs/>
    </w:rPr>
  </w:style>
  <w:style w:type="paragraph" w:styleId="Listenabsatz">
    <w:name w:val="List Paragraph"/>
    <w:basedOn w:val="Standard"/>
    <w:uiPriority w:val="72"/>
    <w:qFormat/>
    <w:rsid w:val="00CC0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7334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2020-10-28T13:52:00Z</cp:lastPrinted>
  <dcterms:created xsi:type="dcterms:W3CDTF">2024-10-10T13:48:00Z</dcterms:created>
  <dcterms:modified xsi:type="dcterms:W3CDTF">2024-10-10T13:48:00Z</dcterms:modified>
</cp:coreProperties>
</file>