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B9566" w14:textId="3369FF29" w:rsidR="003244D4" w:rsidRDefault="003244D4">
      <w:pPr>
        <w:tabs>
          <w:tab w:val="right" w:pos="10206"/>
        </w:tabs>
        <w:jc w:val="both"/>
        <w:rPr>
          <w:b/>
          <w:spacing w:val="-3"/>
        </w:rPr>
      </w:pPr>
      <w:r>
        <w:rPr>
          <w:b/>
          <w:spacing w:val="-3"/>
        </w:rPr>
        <w:t>Prof. Dr.</w:t>
      </w:r>
      <w:r w:rsidR="0083259A">
        <w:rPr>
          <w:b/>
          <w:spacing w:val="-3"/>
        </w:rPr>
        <w:t xml:space="preserve"> Dr. h.c.</w:t>
      </w:r>
      <w:r>
        <w:rPr>
          <w:b/>
          <w:spacing w:val="-3"/>
        </w:rPr>
        <w:t xml:space="preserve"> Bernd Heinrich/</w:t>
      </w:r>
      <w:r w:rsidR="005B0C75">
        <w:rPr>
          <w:b/>
          <w:spacing w:val="-3"/>
        </w:rPr>
        <w:t>Pr</w:t>
      </w:r>
      <w:r w:rsidR="005A35FA">
        <w:rPr>
          <w:b/>
          <w:spacing w:val="-3"/>
        </w:rPr>
        <w:t>of</w:t>
      </w:r>
      <w:r w:rsidR="005B0C75">
        <w:rPr>
          <w:b/>
          <w:spacing w:val="-3"/>
        </w:rPr>
        <w:t xml:space="preserve">. </w:t>
      </w:r>
      <w:r>
        <w:rPr>
          <w:b/>
          <w:spacing w:val="-3"/>
        </w:rPr>
        <w:t>Dr. Tobias Reinbacher</w:t>
      </w:r>
      <w:r>
        <w:rPr>
          <w:b/>
          <w:spacing w:val="-3"/>
        </w:rPr>
        <w:tab/>
        <w:t xml:space="preserve">Stand: 1. </w:t>
      </w:r>
      <w:r w:rsidR="00043916">
        <w:rPr>
          <w:b/>
          <w:spacing w:val="-3"/>
        </w:rPr>
        <w:t>Oktober</w:t>
      </w:r>
      <w:r w:rsidR="009A1309">
        <w:rPr>
          <w:b/>
          <w:spacing w:val="-3"/>
        </w:rPr>
        <w:t xml:space="preserve"> </w:t>
      </w:r>
      <w:r w:rsidR="002757CE">
        <w:rPr>
          <w:b/>
          <w:spacing w:val="-3"/>
        </w:rPr>
        <w:t>20</w:t>
      </w:r>
      <w:r w:rsidR="00501A07">
        <w:rPr>
          <w:b/>
          <w:spacing w:val="-3"/>
        </w:rPr>
        <w:t>2</w:t>
      </w:r>
      <w:r w:rsidR="008469CE">
        <w:rPr>
          <w:b/>
          <w:spacing w:val="-3"/>
        </w:rPr>
        <w:t>4</w:t>
      </w:r>
    </w:p>
    <w:p w14:paraId="611F3BCD" w14:textId="77777777" w:rsidR="003244D4" w:rsidRDefault="003244D4">
      <w:pPr>
        <w:tabs>
          <w:tab w:val="left" w:pos="-720"/>
        </w:tabs>
        <w:jc w:val="both"/>
        <w:rPr>
          <w:spacing w:val="-3"/>
        </w:rPr>
      </w:pPr>
    </w:p>
    <w:p w14:paraId="064607D6" w14:textId="1BF941F7" w:rsidR="003244D4" w:rsidRDefault="003244D4" w:rsidP="003244D4">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8469CE">
        <w:rPr>
          <w:b/>
          <w:spacing w:val="-3"/>
        </w:rPr>
        <w:t> </w:t>
      </w:r>
      <w:r>
        <w:rPr>
          <w:b/>
          <w:spacing w:val="-3"/>
        </w:rPr>
        <w:t>35</w:t>
      </w:r>
    </w:p>
    <w:p w14:paraId="47A7407C" w14:textId="77777777" w:rsidR="003244D4" w:rsidRPr="00E146A3" w:rsidRDefault="003244D4" w:rsidP="003244D4">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52"/>
          <w:szCs w:val="52"/>
        </w:rPr>
      </w:pPr>
      <w:r w:rsidRPr="00E146A3">
        <w:rPr>
          <w:b/>
          <w:spacing w:val="-7"/>
          <w:sz w:val="52"/>
          <w:szCs w:val="52"/>
        </w:rPr>
        <w:t>Klageerzwingungsverfahren</w:t>
      </w:r>
    </w:p>
    <w:p w14:paraId="7661A12C" w14:textId="77777777" w:rsidR="003244D4" w:rsidRDefault="003244D4">
      <w:pPr>
        <w:pStyle w:val="Beschriftung"/>
        <w:framePr w:w="9726" w:h="1417" w:hSpace="240" w:vSpace="120" w:wrap="auto" w:vAnchor="text" w:hAnchor="margin" w:x="241" w:y="121"/>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sidR="00A96AC6">
        <w:rPr>
          <w:rFonts w:ascii="Times New Roman" w:hAnsi="Times New Roman"/>
          <w:vanish/>
          <w:spacing w:val="-7"/>
          <w:sz w:val="60"/>
        </w:rPr>
        <w:instrText>SEQ</w:instrText>
      </w:r>
      <w:r>
        <w:rPr>
          <w:rFonts w:ascii="Times New Roman" w:hAnsi="Times New Roman"/>
          <w:vanish/>
          <w:spacing w:val="-7"/>
          <w:sz w:val="60"/>
        </w:rPr>
        <w:instrText xml:space="preserve"> Text_Box  \* ARABIC</w:instrText>
      </w:r>
      <w:r>
        <w:rPr>
          <w:rFonts w:ascii="Times New Roman" w:hAnsi="Times New Roman"/>
          <w:vanish/>
          <w:spacing w:val="-7"/>
          <w:sz w:val="60"/>
        </w:rPr>
        <w:fldChar w:fldCharType="separate"/>
      </w:r>
      <w:r w:rsidR="00232872">
        <w:rPr>
          <w:rFonts w:ascii="Times New Roman" w:hAnsi="Times New Roman"/>
          <w:noProof/>
          <w:vanish/>
          <w:spacing w:val="-7"/>
          <w:sz w:val="60"/>
        </w:rPr>
        <w:t>1</w:t>
      </w:r>
      <w:r>
        <w:rPr>
          <w:rFonts w:ascii="Times New Roman" w:hAnsi="Times New Roman"/>
          <w:vanish/>
          <w:spacing w:val="-7"/>
          <w:sz w:val="60"/>
        </w:rPr>
        <w:fldChar w:fldCharType="end"/>
      </w:r>
    </w:p>
    <w:p w14:paraId="1A7103CE" w14:textId="77777777" w:rsidR="003244D4" w:rsidRPr="00E146A3" w:rsidRDefault="003244D4">
      <w:pPr>
        <w:widowControl/>
        <w:tabs>
          <w:tab w:val="left" w:pos="-720"/>
          <w:tab w:val="left" w:pos="0"/>
          <w:tab w:val="left" w:pos="576"/>
          <w:tab w:val="left" w:pos="864"/>
          <w:tab w:val="left" w:pos="1116"/>
          <w:tab w:val="left" w:pos="1404"/>
          <w:tab w:val="left" w:pos="1692"/>
          <w:tab w:val="left" w:pos="1980"/>
          <w:tab w:val="left" w:pos="2268"/>
          <w:tab w:val="left" w:pos="2880"/>
        </w:tabs>
        <w:ind w:left="567" w:hanging="567"/>
        <w:jc w:val="both"/>
        <w:rPr>
          <w:rFonts w:ascii="Times New Roman" w:hAnsi="Times New Roman"/>
          <w:b/>
          <w:spacing w:val="-2"/>
          <w:sz w:val="22"/>
          <w:szCs w:val="22"/>
        </w:rPr>
      </w:pPr>
    </w:p>
    <w:p w14:paraId="7CABC22F" w14:textId="5B498108" w:rsidR="003244D4" w:rsidRDefault="003244D4" w:rsidP="00873166">
      <w:pPr>
        <w:widowControl/>
        <w:tabs>
          <w:tab w:val="left" w:pos="-720"/>
          <w:tab w:val="left" w:pos="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22"/>
          <w:szCs w:val="22"/>
        </w:rPr>
      </w:pPr>
      <w:r w:rsidRPr="00E146A3">
        <w:rPr>
          <w:rFonts w:ascii="Times New Roman" w:hAnsi="Times New Roman"/>
          <w:b/>
          <w:spacing w:val="-2"/>
          <w:sz w:val="22"/>
          <w:szCs w:val="22"/>
        </w:rPr>
        <w:t>I.</w:t>
      </w:r>
      <w:r w:rsidR="005058A7">
        <w:rPr>
          <w:rFonts w:ascii="Times New Roman" w:hAnsi="Times New Roman"/>
          <w:b/>
          <w:spacing w:val="-2"/>
          <w:sz w:val="22"/>
          <w:szCs w:val="22"/>
        </w:rPr>
        <w:tab/>
      </w:r>
      <w:r w:rsidRPr="00E146A3">
        <w:rPr>
          <w:rFonts w:ascii="Times New Roman" w:hAnsi="Times New Roman"/>
          <w:b/>
          <w:spacing w:val="-2"/>
          <w:sz w:val="22"/>
          <w:szCs w:val="22"/>
        </w:rPr>
        <w:t>Allgemeines</w:t>
      </w:r>
      <w:r w:rsidRPr="00E146A3">
        <w:rPr>
          <w:rFonts w:ascii="Times New Roman" w:hAnsi="Times New Roman"/>
          <w:spacing w:val="-2"/>
          <w:sz w:val="22"/>
          <w:szCs w:val="22"/>
        </w:rPr>
        <w:t xml:space="preserve">: Das Klageerzwingungsverfahren verfolgt zwei Zwecke. Einerseits dient es der Absicherung des Legalitätsprinzips (vgl. dazu Arbeitsblatt Nr. 5) und andererseits dem Interesse des Opfers, dass die Straftat auch tatsächlich verfolgt und angeklagt wird. In der Regel richtet es sich gegen eine Einstellung des Verfahrens durch die </w:t>
      </w:r>
      <w:proofErr w:type="spellStart"/>
      <w:r w:rsidRPr="00E146A3">
        <w:rPr>
          <w:rFonts w:ascii="Times New Roman" w:hAnsi="Times New Roman"/>
          <w:spacing w:val="-2"/>
          <w:sz w:val="22"/>
          <w:szCs w:val="22"/>
        </w:rPr>
        <w:t>StA</w:t>
      </w:r>
      <w:proofErr w:type="spellEnd"/>
      <w:r w:rsidRPr="00E146A3">
        <w:rPr>
          <w:rFonts w:ascii="Times New Roman" w:hAnsi="Times New Roman"/>
          <w:spacing w:val="-2"/>
          <w:sz w:val="22"/>
          <w:szCs w:val="22"/>
        </w:rPr>
        <w:t xml:space="preserve">, nachdem diese Ermittlungen durchgeführt, einen Tatverdacht </w:t>
      </w:r>
      <w:r w:rsidR="00C67D29">
        <w:rPr>
          <w:rFonts w:ascii="Times New Roman" w:hAnsi="Times New Roman"/>
          <w:spacing w:val="-2"/>
          <w:sz w:val="22"/>
          <w:szCs w:val="22"/>
        </w:rPr>
        <w:t xml:space="preserve">aber </w:t>
      </w:r>
      <w:r w:rsidRPr="00E146A3">
        <w:rPr>
          <w:rFonts w:ascii="Times New Roman" w:hAnsi="Times New Roman"/>
          <w:spacing w:val="-2"/>
          <w:sz w:val="22"/>
          <w:szCs w:val="22"/>
        </w:rPr>
        <w:t>verneint und das Ermittlungsverfahren gem</w:t>
      </w:r>
      <w:r w:rsidR="00637AB2">
        <w:rPr>
          <w:rFonts w:ascii="Times New Roman" w:hAnsi="Times New Roman"/>
          <w:spacing w:val="-2"/>
          <w:sz w:val="22"/>
          <w:szCs w:val="22"/>
        </w:rPr>
        <w:t>.</w:t>
      </w:r>
      <w:r w:rsidRPr="00E146A3">
        <w:rPr>
          <w:rFonts w:ascii="Times New Roman" w:hAnsi="Times New Roman"/>
          <w:spacing w:val="-2"/>
          <w:sz w:val="22"/>
          <w:szCs w:val="22"/>
        </w:rPr>
        <w:t xml:space="preserve"> § 170 II StPO eingestellt hat. Es kann aber auch dazu eingesetzt werden, bereits die Aufnahme des Vorverfahrens zu erzwingen, sofern die </w:t>
      </w:r>
      <w:proofErr w:type="spellStart"/>
      <w:r w:rsidRPr="00E146A3">
        <w:rPr>
          <w:rFonts w:ascii="Times New Roman" w:hAnsi="Times New Roman"/>
          <w:spacing w:val="-2"/>
          <w:sz w:val="22"/>
          <w:szCs w:val="22"/>
        </w:rPr>
        <w:t>StA</w:t>
      </w:r>
      <w:proofErr w:type="spellEnd"/>
      <w:r w:rsidRPr="00E146A3">
        <w:rPr>
          <w:rFonts w:ascii="Times New Roman" w:hAnsi="Times New Roman"/>
          <w:spacing w:val="-2"/>
          <w:sz w:val="22"/>
          <w:szCs w:val="22"/>
        </w:rPr>
        <w:t xml:space="preserve"> nicht einmal damit begonnen hat, in einem bestimmten Fall zu ermitteln.</w:t>
      </w:r>
    </w:p>
    <w:p w14:paraId="2ED71CBF" w14:textId="77777777" w:rsidR="00873166" w:rsidRPr="00E146A3" w:rsidRDefault="00873166" w:rsidP="00873166">
      <w:pPr>
        <w:widowControl/>
        <w:tabs>
          <w:tab w:val="left" w:pos="-720"/>
          <w:tab w:val="left" w:pos="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22"/>
          <w:szCs w:val="22"/>
        </w:rPr>
      </w:pPr>
    </w:p>
    <w:p w14:paraId="644588CC" w14:textId="37F3140C" w:rsidR="003244D4" w:rsidRPr="00E146A3" w:rsidRDefault="003244D4" w:rsidP="00901B97">
      <w:pPr>
        <w:widowControl/>
        <w:tabs>
          <w:tab w:val="left" w:pos="-720"/>
          <w:tab w:val="left" w:pos="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22"/>
          <w:szCs w:val="22"/>
        </w:rPr>
      </w:pPr>
      <w:r w:rsidRPr="00E146A3">
        <w:rPr>
          <w:rFonts w:ascii="Times New Roman" w:hAnsi="Times New Roman"/>
          <w:b/>
          <w:spacing w:val="-2"/>
          <w:sz w:val="22"/>
          <w:szCs w:val="22"/>
        </w:rPr>
        <w:t>II.</w:t>
      </w:r>
      <w:r w:rsidR="005058A7">
        <w:rPr>
          <w:rFonts w:ascii="Times New Roman" w:hAnsi="Times New Roman"/>
          <w:b/>
          <w:spacing w:val="-2"/>
          <w:sz w:val="22"/>
          <w:szCs w:val="22"/>
        </w:rPr>
        <w:tab/>
      </w:r>
      <w:r w:rsidRPr="00E146A3">
        <w:rPr>
          <w:rFonts w:ascii="Times New Roman" w:hAnsi="Times New Roman"/>
          <w:b/>
          <w:spacing w:val="-2"/>
          <w:sz w:val="22"/>
          <w:szCs w:val="22"/>
        </w:rPr>
        <w:t>Voraussetzungen:</w:t>
      </w:r>
    </w:p>
    <w:p w14:paraId="5A9DE089" w14:textId="77777777" w:rsidR="003244D4" w:rsidRPr="00E146A3" w:rsidRDefault="003244D4" w:rsidP="00873166">
      <w:pPr>
        <w:widowControl/>
        <w:tabs>
          <w:tab w:val="left" w:pos="-720"/>
          <w:tab w:val="left" w:pos="0"/>
          <w:tab w:val="left" w:pos="288"/>
          <w:tab w:val="left" w:pos="567"/>
          <w:tab w:val="left" w:pos="864"/>
          <w:tab w:val="left" w:pos="1116"/>
          <w:tab w:val="left" w:pos="1404"/>
          <w:tab w:val="left" w:pos="1692"/>
          <w:tab w:val="left" w:pos="1980"/>
          <w:tab w:val="left" w:pos="2268"/>
          <w:tab w:val="left" w:pos="2880"/>
        </w:tabs>
        <w:ind w:left="576" w:hanging="292"/>
        <w:jc w:val="both"/>
        <w:rPr>
          <w:spacing w:val="-2"/>
          <w:sz w:val="22"/>
          <w:szCs w:val="22"/>
        </w:rPr>
      </w:pPr>
      <w:r w:rsidRPr="00E146A3">
        <w:rPr>
          <w:rFonts w:ascii="Times New Roman" w:hAnsi="Times New Roman"/>
          <w:spacing w:val="-2"/>
          <w:sz w:val="22"/>
          <w:szCs w:val="22"/>
          <w:u w:val="single"/>
        </w:rPr>
        <w:t xml:space="preserve">1. </w:t>
      </w:r>
      <w:r w:rsidRPr="00E146A3">
        <w:rPr>
          <w:rFonts w:ascii="Times New Roman" w:hAnsi="Times New Roman"/>
          <w:spacing w:val="-2"/>
          <w:sz w:val="22"/>
          <w:szCs w:val="22"/>
          <w:u w:val="single"/>
        </w:rPr>
        <w:tab/>
        <w:t>Strafantrag:</w:t>
      </w:r>
      <w:r w:rsidRPr="00E146A3">
        <w:rPr>
          <w:rFonts w:ascii="Times New Roman" w:hAnsi="Times New Roman"/>
          <w:spacing w:val="-2"/>
          <w:sz w:val="22"/>
          <w:szCs w:val="22"/>
        </w:rPr>
        <w:t xml:space="preserve"> Gemäß § 172 I 1 StPO ist nur derjenige zur Einleitung eines Klageerzwingungsverfahrens berechtigt, der zuvor auch einen Antrag auf Erhebung der öffentlichen Klage im weiten Sinne gestellt hat.</w:t>
      </w:r>
    </w:p>
    <w:p w14:paraId="75BBCD38" w14:textId="313B5E84" w:rsidR="003244D4" w:rsidRPr="00E146A3" w:rsidRDefault="003244D4" w:rsidP="00873166">
      <w:pPr>
        <w:widowControl/>
        <w:tabs>
          <w:tab w:val="left" w:pos="-720"/>
          <w:tab w:val="left" w:pos="0"/>
          <w:tab w:val="left" w:pos="284"/>
          <w:tab w:val="left" w:pos="567"/>
          <w:tab w:val="left" w:pos="1116"/>
          <w:tab w:val="left" w:pos="1404"/>
          <w:tab w:val="left" w:pos="1692"/>
          <w:tab w:val="left" w:pos="1980"/>
          <w:tab w:val="left" w:pos="2268"/>
          <w:tab w:val="left" w:pos="2880"/>
        </w:tabs>
        <w:ind w:left="567" w:hanging="283"/>
        <w:jc w:val="both"/>
        <w:rPr>
          <w:rFonts w:ascii="Times New Roman" w:hAnsi="Times New Roman"/>
          <w:spacing w:val="-2"/>
          <w:sz w:val="22"/>
          <w:szCs w:val="22"/>
        </w:rPr>
      </w:pPr>
      <w:r w:rsidRPr="00E146A3">
        <w:rPr>
          <w:rFonts w:ascii="Times New Roman" w:hAnsi="Times New Roman"/>
          <w:spacing w:val="-2"/>
          <w:sz w:val="22"/>
          <w:szCs w:val="22"/>
          <w:u w:val="single"/>
        </w:rPr>
        <w:t xml:space="preserve">2. </w:t>
      </w:r>
      <w:r w:rsidRPr="00E146A3">
        <w:rPr>
          <w:rFonts w:ascii="Times New Roman" w:hAnsi="Times New Roman"/>
          <w:spacing w:val="-2"/>
          <w:sz w:val="22"/>
          <w:szCs w:val="22"/>
          <w:u w:val="single"/>
        </w:rPr>
        <w:tab/>
        <w:t>Verletzter:</w:t>
      </w:r>
      <w:r w:rsidRPr="00E146A3">
        <w:rPr>
          <w:rFonts w:ascii="Times New Roman" w:hAnsi="Times New Roman"/>
          <w:spacing w:val="-2"/>
          <w:sz w:val="22"/>
          <w:szCs w:val="22"/>
        </w:rPr>
        <w:t xml:space="preserve"> Ferner muss der Antragsteller zugleich Verletzter der Straftat sein, § 172 I 1 StPO. Der Begriff des Verletzten </w:t>
      </w:r>
      <w:proofErr w:type="spellStart"/>
      <w:r w:rsidRPr="00E146A3">
        <w:rPr>
          <w:rFonts w:ascii="Times New Roman" w:hAnsi="Times New Roman"/>
          <w:spacing w:val="-2"/>
          <w:sz w:val="22"/>
          <w:szCs w:val="22"/>
        </w:rPr>
        <w:t>i</w:t>
      </w:r>
      <w:r w:rsidR="00AD3581">
        <w:rPr>
          <w:rFonts w:ascii="Times New Roman" w:hAnsi="Times New Roman"/>
          <w:spacing w:val="-2"/>
          <w:sz w:val="22"/>
          <w:szCs w:val="22"/>
        </w:rPr>
        <w:t>.</w:t>
      </w:r>
      <w:r w:rsidRPr="00E146A3">
        <w:rPr>
          <w:rFonts w:ascii="Times New Roman" w:hAnsi="Times New Roman"/>
          <w:spacing w:val="-2"/>
          <w:sz w:val="22"/>
          <w:szCs w:val="22"/>
        </w:rPr>
        <w:t>S</w:t>
      </w:r>
      <w:r w:rsidR="00AD3581">
        <w:rPr>
          <w:rFonts w:ascii="Times New Roman" w:hAnsi="Times New Roman"/>
          <w:spacing w:val="-2"/>
          <w:sz w:val="22"/>
          <w:szCs w:val="22"/>
        </w:rPr>
        <w:t>.</w:t>
      </w:r>
      <w:r w:rsidRPr="00E146A3">
        <w:rPr>
          <w:rFonts w:ascii="Times New Roman" w:hAnsi="Times New Roman"/>
          <w:spacing w:val="-2"/>
          <w:sz w:val="22"/>
          <w:szCs w:val="22"/>
        </w:rPr>
        <w:t>d</w:t>
      </w:r>
      <w:proofErr w:type="spellEnd"/>
      <w:r w:rsidR="00AD3581">
        <w:rPr>
          <w:rFonts w:ascii="Times New Roman" w:hAnsi="Times New Roman"/>
          <w:spacing w:val="-2"/>
          <w:sz w:val="22"/>
          <w:szCs w:val="22"/>
        </w:rPr>
        <w:t>.</w:t>
      </w:r>
      <w:r w:rsidRPr="00E146A3">
        <w:rPr>
          <w:rFonts w:ascii="Times New Roman" w:hAnsi="Times New Roman"/>
          <w:spacing w:val="-2"/>
          <w:sz w:val="22"/>
          <w:szCs w:val="22"/>
        </w:rPr>
        <w:t xml:space="preserve"> § 172 StPO ist weiter auszulegen als beim Strafantrag nach § 77 StGB. Neben denjenigen, die Inhaber des durch den Straftatbestand geschützten Rechtsgutes sind oder deren Rechte unmittelbar beeinträchtigt sind, werden auch solche Personen als Verletzte angesehen, deren Rechte so beeinträchtigt sind, dass ein Verlangen nach Strafverfolgung Ausdruck eines berechtigten Genugtuungsinteresses ist. Zur Beurteilung wird teilweise auf den Schutzzweck der verletzten Norm abgestellt. So kann als Verletzter z.B. derjenige angesehen werden, dessen Stellung im Prozess durch eine Falschaussage des Täters erschwert wurde, auch wenn geschütztes Rechtsgut eigentlich die Rechtspflege ist.</w:t>
      </w:r>
      <w:r w:rsidR="0083259A">
        <w:rPr>
          <w:rFonts w:ascii="Times New Roman" w:hAnsi="Times New Roman"/>
          <w:spacing w:val="-2"/>
          <w:sz w:val="22"/>
          <w:szCs w:val="22"/>
        </w:rPr>
        <w:t xml:space="preserve"> Der Begriff des Verletzten wird zudem in § 373b I StPO gesetzlich definiert.</w:t>
      </w:r>
    </w:p>
    <w:p w14:paraId="40BCDB4C" w14:textId="39AAE9CF" w:rsidR="003244D4" w:rsidRDefault="003244D4" w:rsidP="00873166">
      <w:pPr>
        <w:tabs>
          <w:tab w:val="left" w:pos="-720"/>
          <w:tab w:val="left" w:pos="0"/>
          <w:tab w:val="left" w:pos="284"/>
          <w:tab w:val="left" w:pos="567"/>
          <w:tab w:val="left" w:pos="1116"/>
          <w:tab w:val="left" w:pos="1404"/>
          <w:tab w:val="left" w:pos="1692"/>
          <w:tab w:val="left" w:pos="1980"/>
          <w:tab w:val="left" w:pos="2268"/>
          <w:tab w:val="left" w:pos="2880"/>
        </w:tabs>
        <w:ind w:left="567" w:hanging="283"/>
        <w:jc w:val="both"/>
        <w:rPr>
          <w:rFonts w:ascii="Times New Roman" w:hAnsi="Times New Roman"/>
          <w:spacing w:val="-2"/>
          <w:sz w:val="22"/>
          <w:szCs w:val="22"/>
        </w:rPr>
      </w:pPr>
      <w:r w:rsidRPr="00E146A3">
        <w:rPr>
          <w:rFonts w:ascii="Times New Roman" w:hAnsi="Times New Roman"/>
          <w:spacing w:val="-2"/>
          <w:sz w:val="22"/>
          <w:szCs w:val="22"/>
          <w:u w:val="single"/>
        </w:rPr>
        <w:t xml:space="preserve">3. </w:t>
      </w:r>
      <w:r w:rsidRPr="00E146A3">
        <w:rPr>
          <w:rFonts w:ascii="Times New Roman" w:hAnsi="Times New Roman"/>
          <w:spacing w:val="-2"/>
          <w:sz w:val="22"/>
          <w:szCs w:val="22"/>
          <w:u w:val="single"/>
        </w:rPr>
        <w:tab/>
        <w:t>Kein gesetzlicher Ausschluss:</w:t>
      </w:r>
      <w:r w:rsidRPr="00E146A3">
        <w:rPr>
          <w:rFonts w:ascii="Times New Roman" w:hAnsi="Times New Roman"/>
          <w:spacing w:val="-2"/>
          <w:sz w:val="22"/>
          <w:szCs w:val="22"/>
        </w:rPr>
        <w:t xml:space="preserve"> § 172 II 3 StPO normiert einige gesetzliche Ausschlussgründe. So ist ein Klageerzwingungsverfahren nicht zulässig bei Privatklagedelikten (vgl. dazu Arbeitsblatt Nr. 48) und bei Einstellungen nach dem Opportunitätsprinzip gemäß den §§ 153 ff. StPO (vgl. dazu Arbeitsblatt Nr. 34). In beiden Fällen liegt eine Durchbrechung des Legalitätsprinzips vor und es besteht keine originäre Pflicht der </w:t>
      </w:r>
      <w:proofErr w:type="spellStart"/>
      <w:r w:rsidRPr="00E146A3">
        <w:rPr>
          <w:rFonts w:ascii="Times New Roman" w:hAnsi="Times New Roman"/>
          <w:spacing w:val="-2"/>
          <w:sz w:val="22"/>
          <w:szCs w:val="22"/>
        </w:rPr>
        <w:t>StA</w:t>
      </w:r>
      <w:proofErr w:type="spellEnd"/>
      <w:r w:rsidRPr="00E146A3">
        <w:rPr>
          <w:rFonts w:ascii="Times New Roman" w:hAnsi="Times New Roman"/>
          <w:spacing w:val="-2"/>
          <w:sz w:val="22"/>
          <w:szCs w:val="22"/>
        </w:rPr>
        <w:t xml:space="preserve"> zur Anklage; demzufolge kann diese auch nicht erzwungen werden. Der Fall liegt jedoch anders, wenn die </w:t>
      </w:r>
      <w:proofErr w:type="spellStart"/>
      <w:r w:rsidRPr="00E146A3">
        <w:rPr>
          <w:rFonts w:ascii="Times New Roman" w:hAnsi="Times New Roman"/>
          <w:spacing w:val="-2"/>
          <w:sz w:val="22"/>
          <w:szCs w:val="22"/>
        </w:rPr>
        <w:t>StA</w:t>
      </w:r>
      <w:proofErr w:type="spellEnd"/>
      <w:r w:rsidRPr="00E146A3">
        <w:rPr>
          <w:rFonts w:ascii="Times New Roman" w:hAnsi="Times New Roman"/>
          <w:spacing w:val="-2"/>
          <w:sz w:val="22"/>
          <w:szCs w:val="22"/>
        </w:rPr>
        <w:t xml:space="preserve"> ein Verfahren unzulässigerweise nach den §§ 153 ff. StPO einstellt, so etwa bei einem Verbrechen. Obgleich diese Ausschlussgründe sich auf das gerichtliche Verfahren beziehen, gelten sie auch bereits für die vorgeschaltete Beschwerde.</w:t>
      </w:r>
    </w:p>
    <w:p w14:paraId="79E40F59" w14:textId="77777777" w:rsidR="00873166" w:rsidRPr="00E146A3" w:rsidRDefault="00873166" w:rsidP="00873166">
      <w:pPr>
        <w:tabs>
          <w:tab w:val="left" w:pos="-720"/>
          <w:tab w:val="left" w:pos="0"/>
          <w:tab w:val="left" w:pos="284"/>
          <w:tab w:val="left" w:pos="567"/>
          <w:tab w:val="left" w:pos="1116"/>
          <w:tab w:val="left" w:pos="1404"/>
          <w:tab w:val="left" w:pos="1692"/>
          <w:tab w:val="left" w:pos="1980"/>
          <w:tab w:val="left" w:pos="2268"/>
          <w:tab w:val="left" w:pos="2880"/>
        </w:tabs>
        <w:ind w:left="567" w:hanging="283"/>
        <w:jc w:val="both"/>
        <w:rPr>
          <w:rFonts w:ascii="Times New Roman" w:hAnsi="Times New Roman"/>
          <w:spacing w:val="-2"/>
          <w:sz w:val="22"/>
          <w:szCs w:val="22"/>
        </w:rPr>
      </w:pPr>
    </w:p>
    <w:p w14:paraId="2835D97D" w14:textId="0354E016" w:rsidR="003244D4" w:rsidRPr="001D3E2D" w:rsidRDefault="003244D4" w:rsidP="00901B97">
      <w:pPr>
        <w:tabs>
          <w:tab w:val="left" w:pos="-720"/>
          <w:tab w:val="left" w:pos="0"/>
          <w:tab w:val="left" w:pos="142"/>
          <w:tab w:val="left" w:pos="284"/>
          <w:tab w:val="left" w:pos="864"/>
          <w:tab w:val="left" w:pos="1116"/>
          <w:tab w:val="left" w:pos="1404"/>
          <w:tab w:val="left" w:pos="1692"/>
          <w:tab w:val="left" w:pos="1980"/>
          <w:tab w:val="left" w:pos="2268"/>
          <w:tab w:val="left" w:pos="2880"/>
        </w:tabs>
        <w:ind w:left="278" w:hanging="420"/>
        <w:jc w:val="both"/>
        <w:rPr>
          <w:spacing w:val="-2"/>
          <w:sz w:val="20"/>
        </w:rPr>
      </w:pPr>
      <w:r w:rsidRPr="00E146A3">
        <w:rPr>
          <w:rFonts w:ascii="Times New Roman" w:hAnsi="Times New Roman"/>
          <w:b/>
          <w:spacing w:val="-2"/>
          <w:sz w:val="22"/>
          <w:szCs w:val="22"/>
        </w:rPr>
        <w:t>III.</w:t>
      </w:r>
      <w:r w:rsidR="005058A7">
        <w:rPr>
          <w:rFonts w:ascii="Times New Roman" w:hAnsi="Times New Roman"/>
          <w:b/>
          <w:spacing w:val="-2"/>
          <w:sz w:val="22"/>
          <w:szCs w:val="22"/>
        </w:rPr>
        <w:tab/>
      </w:r>
      <w:r w:rsidRPr="00E146A3">
        <w:rPr>
          <w:rFonts w:ascii="Times New Roman" w:hAnsi="Times New Roman"/>
          <w:b/>
          <w:spacing w:val="-2"/>
          <w:sz w:val="22"/>
          <w:szCs w:val="22"/>
        </w:rPr>
        <w:t>Verfahren:</w:t>
      </w:r>
      <w:r w:rsidRPr="00E146A3">
        <w:rPr>
          <w:rFonts w:ascii="Times New Roman" w:hAnsi="Times New Roman"/>
          <w:spacing w:val="-2"/>
          <w:sz w:val="22"/>
          <w:szCs w:val="22"/>
        </w:rPr>
        <w:t xml:space="preserve"> Das Verfahren ist dem verwaltungsrechtlichen nicht unähnlich, welches sich </w:t>
      </w:r>
      <w:r w:rsidR="00F83C7B">
        <w:rPr>
          <w:rFonts w:ascii="Times New Roman" w:hAnsi="Times New Roman"/>
          <w:spacing w:val="-2"/>
          <w:sz w:val="22"/>
          <w:szCs w:val="22"/>
        </w:rPr>
        <w:t>aus</w:t>
      </w:r>
      <w:r w:rsidR="00F83C7B" w:rsidRPr="00E146A3">
        <w:rPr>
          <w:rFonts w:ascii="Times New Roman" w:hAnsi="Times New Roman"/>
          <w:spacing w:val="-2"/>
          <w:sz w:val="22"/>
          <w:szCs w:val="22"/>
        </w:rPr>
        <w:t xml:space="preserve"> </w:t>
      </w:r>
      <w:r w:rsidRPr="00E146A3">
        <w:rPr>
          <w:rFonts w:ascii="Times New Roman" w:hAnsi="Times New Roman"/>
          <w:spacing w:val="-2"/>
          <w:sz w:val="22"/>
          <w:szCs w:val="22"/>
        </w:rPr>
        <w:t>Widerspruchs- und</w:t>
      </w:r>
      <w:r w:rsidR="009C6B4F">
        <w:rPr>
          <w:rFonts w:ascii="Times New Roman" w:hAnsi="Times New Roman"/>
          <w:spacing w:val="-2"/>
          <w:sz w:val="22"/>
          <w:szCs w:val="22"/>
        </w:rPr>
        <w:br/>
      </w:r>
      <w:r w:rsidRPr="00E146A3">
        <w:rPr>
          <w:rFonts w:ascii="Times New Roman" w:hAnsi="Times New Roman"/>
          <w:spacing w:val="-2"/>
          <w:sz w:val="22"/>
          <w:szCs w:val="22"/>
        </w:rPr>
        <w:t xml:space="preserve">gerichtlichem Verfahren zusammensetzt. Bei einer Einstellung des Verfahrens muss die </w:t>
      </w:r>
      <w:proofErr w:type="spellStart"/>
      <w:r w:rsidRPr="00E146A3">
        <w:rPr>
          <w:rFonts w:ascii="Times New Roman" w:hAnsi="Times New Roman"/>
          <w:spacing w:val="-2"/>
          <w:sz w:val="22"/>
          <w:szCs w:val="22"/>
        </w:rPr>
        <w:t>StA</w:t>
      </w:r>
      <w:proofErr w:type="spellEnd"/>
      <w:r w:rsidRPr="00E146A3">
        <w:rPr>
          <w:rFonts w:ascii="Times New Roman" w:hAnsi="Times New Roman"/>
          <w:spacing w:val="-2"/>
          <w:sz w:val="22"/>
          <w:szCs w:val="22"/>
        </w:rPr>
        <w:t xml:space="preserve"> den Antragsteller mittels eines Bescheides darüber in Kenntnis setzen, § 171 StPO. Der Verletzte kann sodann innerhalb einer Frist von zwei Wochen </w:t>
      </w:r>
      <w:r w:rsidR="00AF2BBD">
        <w:rPr>
          <w:rFonts w:ascii="Times New Roman" w:hAnsi="Times New Roman"/>
          <w:spacing w:val="-2"/>
          <w:sz w:val="22"/>
          <w:szCs w:val="22"/>
        </w:rPr>
        <w:t xml:space="preserve">nach Bekanntmachung </w:t>
      </w:r>
      <w:r w:rsidRPr="00E146A3">
        <w:rPr>
          <w:rFonts w:ascii="Times New Roman" w:hAnsi="Times New Roman"/>
          <w:spacing w:val="-2"/>
          <w:sz w:val="22"/>
          <w:szCs w:val="22"/>
        </w:rPr>
        <w:t xml:space="preserve">Beschwerde </w:t>
      </w:r>
      <w:r w:rsidR="007C4FFE">
        <w:rPr>
          <w:rFonts w:ascii="Times New Roman" w:hAnsi="Times New Roman"/>
          <w:spacing w:val="-2"/>
          <w:sz w:val="22"/>
          <w:szCs w:val="22"/>
        </w:rPr>
        <w:t xml:space="preserve">(sog. Vorschaltbeschwerde) </w:t>
      </w:r>
      <w:r w:rsidRPr="00E146A3">
        <w:rPr>
          <w:rFonts w:ascii="Times New Roman" w:hAnsi="Times New Roman"/>
          <w:spacing w:val="-2"/>
          <w:sz w:val="22"/>
          <w:szCs w:val="22"/>
        </w:rPr>
        <w:t>gegen die Einstellung des Verfahrens einlegen, § 172 I 1 StPO</w:t>
      </w:r>
      <w:r w:rsidR="0095672B">
        <w:rPr>
          <w:rFonts w:ascii="Times New Roman" w:hAnsi="Times New Roman"/>
          <w:spacing w:val="-2"/>
          <w:sz w:val="22"/>
          <w:szCs w:val="22"/>
        </w:rPr>
        <w:t>.</w:t>
      </w:r>
      <w:r w:rsidRPr="00E146A3">
        <w:rPr>
          <w:rFonts w:ascii="Times New Roman" w:hAnsi="Times New Roman"/>
          <w:spacing w:val="-2"/>
          <w:sz w:val="22"/>
          <w:szCs w:val="22"/>
        </w:rPr>
        <w:t xml:space="preserve"> </w:t>
      </w:r>
      <w:r w:rsidR="0095672B">
        <w:rPr>
          <w:rFonts w:ascii="Times New Roman" w:hAnsi="Times New Roman"/>
          <w:spacing w:val="-2"/>
          <w:sz w:val="22"/>
          <w:szCs w:val="22"/>
        </w:rPr>
        <w:t xml:space="preserve">Hilft die </w:t>
      </w:r>
      <w:proofErr w:type="spellStart"/>
      <w:r w:rsidR="0095672B">
        <w:rPr>
          <w:rFonts w:ascii="Times New Roman" w:hAnsi="Times New Roman"/>
          <w:spacing w:val="-2"/>
          <w:sz w:val="22"/>
          <w:szCs w:val="22"/>
        </w:rPr>
        <w:t>StA</w:t>
      </w:r>
      <w:proofErr w:type="spellEnd"/>
      <w:r w:rsidR="0095672B">
        <w:rPr>
          <w:rFonts w:ascii="Times New Roman" w:hAnsi="Times New Roman"/>
          <w:spacing w:val="-2"/>
          <w:sz w:val="22"/>
          <w:szCs w:val="22"/>
        </w:rPr>
        <w:t xml:space="preserve"> dieser nicht selbst ab (und macht sie so gegenstandslos), </w:t>
      </w:r>
      <w:r w:rsidRPr="00E146A3">
        <w:rPr>
          <w:rFonts w:ascii="Times New Roman" w:hAnsi="Times New Roman"/>
          <w:spacing w:val="-2"/>
          <w:sz w:val="22"/>
          <w:szCs w:val="22"/>
        </w:rPr>
        <w:t xml:space="preserve">entscheidet der vorgesetzte Beamte innerhalb der </w:t>
      </w:r>
      <w:proofErr w:type="spellStart"/>
      <w:r w:rsidRPr="00E146A3">
        <w:rPr>
          <w:rFonts w:ascii="Times New Roman" w:hAnsi="Times New Roman"/>
          <w:spacing w:val="-2"/>
          <w:sz w:val="22"/>
          <w:szCs w:val="22"/>
        </w:rPr>
        <w:t>StA</w:t>
      </w:r>
      <w:proofErr w:type="spellEnd"/>
      <w:r w:rsidR="0095672B">
        <w:rPr>
          <w:rFonts w:ascii="Times New Roman" w:hAnsi="Times New Roman"/>
          <w:spacing w:val="-2"/>
          <w:sz w:val="22"/>
          <w:szCs w:val="22"/>
        </w:rPr>
        <w:t>,</w:t>
      </w:r>
      <w:r w:rsidRPr="00E146A3">
        <w:rPr>
          <w:rFonts w:ascii="Times New Roman" w:hAnsi="Times New Roman"/>
          <w:spacing w:val="-2"/>
          <w:sz w:val="22"/>
          <w:szCs w:val="22"/>
        </w:rPr>
        <w:t xml:space="preserve"> </w:t>
      </w:r>
      <w:r w:rsidR="00AF2BBD">
        <w:rPr>
          <w:rFonts w:ascii="Times New Roman" w:hAnsi="Times New Roman"/>
          <w:spacing w:val="-2"/>
          <w:sz w:val="22"/>
          <w:szCs w:val="22"/>
        </w:rPr>
        <w:t xml:space="preserve">meist </w:t>
      </w:r>
      <w:r w:rsidRPr="00E146A3">
        <w:rPr>
          <w:rFonts w:ascii="Times New Roman" w:hAnsi="Times New Roman"/>
          <w:spacing w:val="-2"/>
          <w:sz w:val="22"/>
          <w:szCs w:val="22"/>
        </w:rPr>
        <w:t>der Generalstaatsanwalt</w:t>
      </w:r>
      <w:r w:rsidR="0095672B">
        <w:rPr>
          <w:rFonts w:ascii="Times New Roman" w:hAnsi="Times New Roman"/>
          <w:spacing w:val="-2"/>
          <w:sz w:val="22"/>
          <w:szCs w:val="22"/>
        </w:rPr>
        <w:t>, über diese</w:t>
      </w:r>
      <w:r w:rsidRPr="00E146A3">
        <w:rPr>
          <w:rFonts w:ascii="Times New Roman" w:hAnsi="Times New Roman"/>
          <w:spacing w:val="-2"/>
          <w:sz w:val="22"/>
          <w:szCs w:val="22"/>
        </w:rPr>
        <w:t>. Wird der Beschwerde nicht abgeholfen, so kann gegen den ablehnenden Bescheid binnen eines Monats die gerichtliche Entscheidung beantragt werden</w:t>
      </w:r>
      <w:r w:rsidR="00637AB2">
        <w:rPr>
          <w:rFonts w:ascii="Times New Roman" w:hAnsi="Times New Roman"/>
          <w:spacing w:val="-2"/>
          <w:sz w:val="22"/>
          <w:szCs w:val="22"/>
        </w:rPr>
        <w:t>, § 172 II 1 StPO</w:t>
      </w:r>
      <w:r w:rsidRPr="00E146A3">
        <w:rPr>
          <w:rFonts w:ascii="Times New Roman" w:hAnsi="Times New Roman"/>
          <w:spacing w:val="-2"/>
          <w:sz w:val="22"/>
          <w:szCs w:val="22"/>
        </w:rPr>
        <w:t>. Hierbei sind die Formalien des § 172 III StPO zu beachten, es müssen also Tatsachen und Beweismittel angegeben werden und der Antrag muss von einem Rechtsanwalt unterzeichnet sein. Zuständig ist gemäß § 172 IV </w:t>
      </w:r>
      <w:r w:rsidR="00637AB2">
        <w:rPr>
          <w:rFonts w:ascii="Times New Roman" w:hAnsi="Times New Roman"/>
          <w:spacing w:val="-2"/>
          <w:sz w:val="22"/>
          <w:szCs w:val="22"/>
        </w:rPr>
        <w:t xml:space="preserve">1 </w:t>
      </w:r>
      <w:r w:rsidRPr="00E146A3">
        <w:rPr>
          <w:rFonts w:ascii="Times New Roman" w:hAnsi="Times New Roman"/>
          <w:spacing w:val="-2"/>
          <w:sz w:val="22"/>
          <w:szCs w:val="22"/>
        </w:rPr>
        <w:t xml:space="preserve">StPO das OLG. Dieses kann wiederum den Antrag verwerfen, § 174 StPO, oder die Erhebung der öffentlichen Klage beschließen, § 175 StPO. In ersterem Fall kann ein Verfahren nur noch dann eingeleitet werden, wenn neue Tatsachen oder Beweismittel vorgebracht werden, § 174 II StPO. Der Beschluss auf Anklageerhebung ist wiederum für die </w:t>
      </w:r>
      <w:proofErr w:type="spellStart"/>
      <w:r w:rsidRPr="00E146A3">
        <w:rPr>
          <w:rFonts w:ascii="Times New Roman" w:hAnsi="Times New Roman"/>
          <w:spacing w:val="-2"/>
          <w:sz w:val="22"/>
          <w:szCs w:val="22"/>
        </w:rPr>
        <w:t>StA</w:t>
      </w:r>
      <w:proofErr w:type="spellEnd"/>
      <w:r w:rsidRPr="00E146A3">
        <w:rPr>
          <w:rFonts w:ascii="Times New Roman" w:hAnsi="Times New Roman"/>
          <w:spacing w:val="-2"/>
          <w:sz w:val="22"/>
          <w:szCs w:val="22"/>
        </w:rPr>
        <w:t xml:space="preserve"> bindend, d.h. sie muss</w:t>
      </w:r>
      <w:r w:rsidR="006641DF">
        <w:rPr>
          <w:rFonts w:ascii="Times New Roman" w:hAnsi="Times New Roman"/>
          <w:spacing w:val="-2"/>
          <w:sz w:val="22"/>
          <w:szCs w:val="22"/>
        </w:rPr>
        <w:t xml:space="preserve"> dann</w:t>
      </w:r>
      <w:r w:rsidRPr="00E146A3">
        <w:rPr>
          <w:rFonts w:ascii="Times New Roman" w:hAnsi="Times New Roman"/>
          <w:spacing w:val="-2"/>
          <w:sz w:val="22"/>
          <w:szCs w:val="22"/>
        </w:rPr>
        <w:t xml:space="preserve"> tatsächlich die öffentliche Klage erheben.</w:t>
      </w:r>
    </w:p>
    <w:p w14:paraId="34E552F3" w14:textId="77777777" w:rsidR="003244D4" w:rsidRPr="001D3E2D" w:rsidRDefault="003244D4" w:rsidP="00501A07">
      <w:pPr>
        <w:widowControl/>
        <w:tabs>
          <w:tab w:val="left" w:pos="-720"/>
          <w:tab w:val="left" w:pos="0"/>
          <w:tab w:val="left" w:pos="576"/>
          <w:tab w:val="left" w:pos="864"/>
          <w:tab w:val="left" w:pos="1116"/>
          <w:tab w:val="left" w:pos="1404"/>
          <w:tab w:val="left" w:pos="1692"/>
          <w:tab w:val="left" w:pos="1980"/>
          <w:tab w:val="left" w:pos="2268"/>
          <w:tab w:val="left" w:pos="2880"/>
        </w:tabs>
        <w:jc w:val="both"/>
        <w:rPr>
          <w:rFonts w:ascii="Times New Roman" w:hAnsi="Times New Roman"/>
          <w:b/>
          <w:spacing w:val="-2"/>
          <w:sz w:val="20"/>
        </w:rPr>
      </w:pPr>
    </w:p>
    <w:p w14:paraId="5CABF324" w14:textId="6A2569A8" w:rsidR="003244D4" w:rsidRPr="00EE3577" w:rsidRDefault="003244D4" w:rsidP="00501A07">
      <w:pPr>
        <w:widowControl/>
        <w:tabs>
          <w:tab w:val="left" w:pos="0"/>
          <w:tab w:val="left" w:pos="567"/>
          <w:tab w:val="left" w:pos="864"/>
          <w:tab w:val="left" w:pos="1418"/>
          <w:tab w:val="left" w:pos="1985"/>
          <w:tab w:val="left" w:pos="2127"/>
          <w:tab w:val="left" w:pos="2268"/>
          <w:tab w:val="left" w:pos="2880"/>
        </w:tabs>
        <w:spacing w:line="216" w:lineRule="auto"/>
        <w:ind w:left="1985" w:hanging="1985"/>
        <w:jc w:val="both"/>
        <w:rPr>
          <w:rFonts w:ascii="Times New Roman" w:hAnsi="Times New Roman"/>
          <w:spacing w:val="-2"/>
          <w:sz w:val="16"/>
          <w:szCs w:val="16"/>
        </w:rPr>
      </w:pPr>
      <w:r w:rsidRPr="00EE3577">
        <w:rPr>
          <w:rFonts w:ascii="Times New Roman" w:hAnsi="Times New Roman"/>
          <w:b/>
          <w:spacing w:val="-2"/>
          <w:sz w:val="16"/>
          <w:szCs w:val="16"/>
        </w:rPr>
        <w:t>Literatur/Lehrbücher:</w:t>
      </w:r>
      <w:r w:rsidRPr="00EE3577">
        <w:rPr>
          <w:rFonts w:ascii="Times New Roman" w:hAnsi="Times New Roman"/>
          <w:b/>
          <w:spacing w:val="-2"/>
          <w:sz w:val="16"/>
          <w:szCs w:val="16"/>
        </w:rPr>
        <w:tab/>
      </w:r>
      <w:r w:rsidRPr="00EE3577">
        <w:rPr>
          <w:rFonts w:ascii="Times New Roman" w:hAnsi="Times New Roman"/>
          <w:b/>
          <w:spacing w:val="-2"/>
          <w:sz w:val="16"/>
          <w:szCs w:val="16"/>
        </w:rPr>
        <w:tab/>
      </w:r>
      <w:r w:rsidR="00F97E4F" w:rsidRPr="00EE3577">
        <w:rPr>
          <w:rFonts w:ascii="Times New Roman" w:hAnsi="Times New Roman"/>
          <w:i/>
          <w:spacing w:val="-2"/>
          <w:sz w:val="16"/>
          <w:szCs w:val="16"/>
        </w:rPr>
        <w:t>Heinrich/Reinbacher</w:t>
      </w:r>
      <w:r w:rsidR="00F97E4F" w:rsidRPr="00EE3577">
        <w:rPr>
          <w:rFonts w:ascii="Times New Roman" w:hAnsi="Times New Roman"/>
          <w:spacing w:val="-2"/>
          <w:sz w:val="16"/>
          <w:szCs w:val="16"/>
        </w:rPr>
        <w:t xml:space="preserve">, Examinatorium Strafprozessrecht, </w:t>
      </w:r>
      <w:r w:rsidR="007C4FFE" w:rsidRPr="00EE3577">
        <w:rPr>
          <w:rFonts w:ascii="Times New Roman" w:hAnsi="Times New Roman"/>
          <w:spacing w:val="-2"/>
          <w:sz w:val="16"/>
          <w:szCs w:val="16"/>
        </w:rPr>
        <w:t>4</w:t>
      </w:r>
      <w:r w:rsidR="00D72A32" w:rsidRPr="00EE3577">
        <w:rPr>
          <w:rFonts w:ascii="Times New Roman" w:hAnsi="Times New Roman"/>
          <w:spacing w:val="-2"/>
          <w:sz w:val="16"/>
          <w:szCs w:val="16"/>
        </w:rPr>
        <w:t xml:space="preserve">. Auflage </w:t>
      </w:r>
      <w:r w:rsidR="00501A07" w:rsidRPr="00EE3577">
        <w:rPr>
          <w:rFonts w:ascii="Times New Roman" w:hAnsi="Times New Roman"/>
          <w:spacing w:val="-2"/>
          <w:sz w:val="16"/>
          <w:szCs w:val="16"/>
        </w:rPr>
        <w:t>202</w:t>
      </w:r>
      <w:r w:rsidR="007C4FFE" w:rsidRPr="00EE3577">
        <w:rPr>
          <w:rFonts w:ascii="Times New Roman" w:hAnsi="Times New Roman"/>
          <w:spacing w:val="-2"/>
          <w:sz w:val="16"/>
          <w:szCs w:val="16"/>
        </w:rPr>
        <w:t>3</w:t>
      </w:r>
      <w:r w:rsidR="00D72A32" w:rsidRPr="00EE3577">
        <w:rPr>
          <w:rFonts w:ascii="Times New Roman" w:hAnsi="Times New Roman"/>
          <w:spacing w:val="-2"/>
          <w:sz w:val="16"/>
          <w:szCs w:val="16"/>
        </w:rPr>
        <w:t xml:space="preserve">, </w:t>
      </w:r>
      <w:r w:rsidR="00F97E4F" w:rsidRPr="00EE3577">
        <w:rPr>
          <w:rFonts w:ascii="Times New Roman" w:hAnsi="Times New Roman"/>
          <w:spacing w:val="-2"/>
          <w:sz w:val="16"/>
          <w:szCs w:val="16"/>
        </w:rPr>
        <w:t>Problem</w:t>
      </w:r>
      <w:r w:rsidR="00637AB2">
        <w:rPr>
          <w:rFonts w:ascii="Times New Roman" w:hAnsi="Times New Roman"/>
          <w:spacing w:val="-2"/>
          <w:sz w:val="16"/>
          <w:szCs w:val="16"/>
        </w:rPr>
        <w:t> </w:t>
      </w:r>
      <w:r w:rsidR="00F97E4F" w:rsidRPr="00EE3577">
        <w:rPr>
          <w:rFonts w:ascii="Times New Roman" w:hAnsi="Times New Roman"/>
          <w:spacing w:val="-2"/>
          <w:sz w:val="16"/>
          <w:szCs w:val="16"/>
        </w:rPr>
        <w:t>35.</w:t>
      </w:r>
    </w:p>
    <w:p w14:paraId="4B9B9521" w14:textId="77777777" w:rsidR="003244D4" w:rsidRPr="00EE3577" w:rsidRDefault="003244D4" w:rsidP="00501A07">
      <w:pPr>
        <w:widowControl/>
        <w:tabs>
          <w:tab w:val="left" w:pos="0"/>
          <w:tab w:val="left" w:pos="567"/>
          <w:tab w:val="left" w:pos="864"/>
          <w:tab w:val="left" w:pos="1418"/>
          <w:tab w:val="left" w:pos="1985"/>
          <w:tab w:val="left" w:pos="2127"/>
          <w:tab w:val="left" w:pos="2268"/>
          <w:tab w:val="left" w:pos="2880"/>
        </w:tabs>
        <w:spacing w:line="216" w:lineRule="auto"/>
        <w:ind w:left="2127" w:hanging="2127"/>
        <w:jc w:val="both"/>
        <w:rPr>
          <w:rFonts w:ascii="Times New Roman" w:hAnsi="Times New Roman"/>
          <w:spacing w:val="-2"/>
          <w:sz w:val="16"/>
          <w:szCs w:val="16"/>
        </w:rPr>
      </w:pPr>
      <w:r w:rsidRPr="00EE3577">
        <w:rPr>
          <w:rFonts w:ascii="Times New Roman" w:hAnsi="Times New Roman"/>
          <w:b/>
          <w:spacing w:val="-2"/>
          <w:sz w:val="16"/>
          <w:szCs w:val="16"/>
        </w:rPr>
        <w:t>Literatur/Aufsätze:</w:t>
      </w:r>
      <w:r w:rsidRPr="00EE3577">
        <w:rPr>
          <w:rFonts w:ascii="Times New Roman" w:hAnsi="Times New Roman"/>
          <w:b/>
          <w:spacing w:val="-2"/>
          <w:sz w:val="16"/>
          <w:szCs w:val="16"/>
        </w:rPr>
        <w:tab/>
      </w:r>
      <w:r w:rsidRPr="00EE3577">
        <w:rPr>
          <w:rFonts w:ascii="Times New Roman" w:hAnsi="Times New Roman"/>
          <w:b/>
          <w:spacing w:val="-2"/>
          <w:sz w:val="16"/>
          <w:szCs w:val="16"/>
        </w:rPr>
        <w:tab/>
      </w:r>
      <w:r w:rsidR="006641DF" w:rsidRPr="00EE3577">
        <w:rPr>
          <w:rFonts w:ascii="Times New Roman" w:hAnsi="Times New Roman"/>
          <w:b/>
          <w:spacing w:val="-2"/>
          <w:sz w:val="16"/>
          <w:szCs w:val="16"/>
        </w:rPr>
        <w:tab/>
      </w:r>
      <w:r w:rsidR="001649F1" w:rsidRPr="00EE3577">
        <w:rPr>
          <w:rFonts w:ascii="Times New Roman" w:hAnsi="Times New Roman"/>
          <w:i/>
          <w:spacing w:val="-2"/>
          <w:sz w:val="16"/>
          <w:szCs w:val="16"/>
        </w:rPr>
        <w:t>Krumm</w:t>
      </w:r>
      <w:r w:rsidR="001649F1" w:rsidRPr="00EE3577">
        <w:rPr>
          <w:rFonts w:ascii="Times New Roman" w:hAnsi="Times New Roman"/>
          <w:spacing w:val="-2"/>
          <w:sz w:val="16"/>
          <w:szCs w:val="16"/>
        </w:rPr>
        <w:t xml:space="preserve">, Klageerzwingungsanträge richtig stellen, NJW 2013, 2948; </w:t>
      </w:r>
      <w:r w:rsidR="00F35540" w:rsidRPr="00EE3577">
        <w:rPr>
          <w:rFonts w:ascii="Times New Roman" w:hAnsi="Times New Roman"/>
          <w:i/>
          <w:spacing w:val="-2"/>
          <w:sz w:val="16"/>
          <w:szCs w:val="16"/>
        </w:rPr>
        <w:t>Krumm</w:t>
      </w:r>
      <w:r w:rsidR="00F35540" w:rsidRPr="00EE3577">
        <w:rPr>
          <w:rFonts w:ascii="Times New Roman" w:hAnsi="Times New Roman"/>
          <w:spacing w:val="-2"/>
          <w:sz w:val="16"/>
          <w:szCs w:val="16"/>
        </w:rPr>
        <w:t xml:space="preserve">, „Ganz schön schwer!“ – Der Klageerzwingungsantrag in der Praxis, NJ 2016, 241; </w:t>
      </w:r>
      <w:r w:rsidRPr="00EE3577">
        <w:rPr>
          <w:rFonts w:ascii="Times New Roman" w:hAnsi="Times New Roman"/>
          <w:i/>
          <w:spacing w:val="-2"/>
          <w:sz w:val="16"/>
          <w:szCs w:val="16"/>
        </w:rPr>
        <w:t>Kruse</w:t>
      </w:r>
      <w:r w:rsidRPr="00EE3577">
        <w:rPr>
          <w:rFonts w:ascii="Times New Roman" w:hAnsi="Times New Roman"/>
          <w:spacing w:val="-2"/>
          <w:sz w:val="16"/>
          <w:szCs w:val="16"/>
        </w:rPr>
        <w:t xml:space="preserve">, </w:t>
      </w:r>
      <w:proofErr w:type="spellStart"/>
      <w:r w:rsidRPr="00EE3577">
        <w:rPr>
          <w:rFonts w:ascii="Times New Roman" w:hAnsi="Times New Roman"/>
          <w:spacing w:val="-2"/>
          <w:sz w:val="16"/>
          <w:szCs w:val="16"/>
        </w:rPr>
        <w:t>Aus</w:t>
      </w:r>
      <w:proofErr w:type="spellEnd"/>
      <w:r w:rsidRPr="00EE3577">
        <w:rPr>
          <w:rFonts w:ascii="Times New Roman" w:hAnsi="Times New Roman"/>
          <w:spacing w:val="-2"/>
          <w:sz w:val="16"/>
          <w:szCs w:val="16"/>
        </w:rPr>
        <w:t xml:space="preserve"> der Praxis: Die Rechtsmittelbelehrung im staatsanwaltlichen Einstellungsbescheid, </w:t>
      </w:r>
      <w:proofErr w:type="spellStart"/>
      <w:r w:rsidRPr="00EE3577">
        <w:rPr>
          <w:rFonts w:ascii="Times New Roman" w:hAnsi="Times New Roman"/>
          <w:spacing w:val="-2"/>
          <w:sz w:val="16"/>
          <w:szCs w:val="16"/>
        </w:rPr>
        <w:t>JuS</w:t>
      </w:r>
      <w:proofErr w:type="spellEnd"/>
      <w:r w:rsidRPr="00EE3577">
        <w:rPr>
          <w:rFonts w:ascii="Times New Roman" w:hAnsi="Times New Roman"/>
          <w:spacing w:val="-2"/>
          <w:sz w:val="16"/>
          <w:szCs w:val="16"/>
        </w:rPr>
        <w:t xml:space="preserve"> 2007, 822; </w:t>
      </w:r>
      <w:proofErr w:type="spellStart"/>
      <w:r w:rsidRPr="00EE3577">
        <w:rPr>
          <w:rFonts w:ascii="Times New Roman" w:hAnsi="Times New Roman"/>
          <w:i/>
          <w:spacing w:val="-2"/>
          <w:sz w:val="16"/>
          <w:szCs w:val="16"/>
        </w:rPr>
        <w:t>Peglau</w:t>
      </w:r>
      <w:proofErr w:type="spellEnd"/>
      <w:r w:rsidRPr="00EE3577">
        <w:rPr>
          <w:rFonts w:ascii="Times New Roman" w:hAnsi="Times New Roman"/>
          <w:spacing w:val="-2"/>
          <w:sz w:val="16"/>
          <w:szCs w:val="16"/>
        </w:rPr>
        <w:t xml:space="preserve">, Der Begriff des „Verletzten“ </w:t>
      </w:r>
      <w:proofErr w:type="spellStart"/>
      <w:r w:rsidRPr="00EE3577">
        <w:rPr>
          <w:rFonts w:ascii="Times New Roman" w:hAnsi="Times New Roman"/>
          <w:spacing w:val="-2"/>
          <w:sz w:val="16"/>
          <w:szCs w:val="16"/>
        </w:rPr>
        <w:t>iS</w:t>
      </w:r>
      <w:proofErr w:type="spellEnd"/>
      <w:r w:rsidRPr="00EE3577">
        <w:rPr>
          <w:rFonts w:ascii="Times New Roman" w:hAnsi="Times New Roman"/>
          <w:spacing w:val="-2"/>
          <w:sz w:val="16"/>
          <w:szCs w:val="16"/>
        </w:rPr>
        <w:t xml:space="preserve"> von § 172 I StPO, JA 1999, 55</w:t>
      </w:r>
      <w:r w:rsidR="00B71C3B" w:rsidRPr="00EE3577">
        <w:rPr>
          <w:rFonts w:ascii="Times New Roman" w:hAnsi="Times New Roman"/>
          <w:spacing w:val="-2"/>
          <w:sz w:val="16"/>
          <w:szCs w:val="16"/>
        </w:rPr>
        <w:t xml:space="preserve">; </w:t>
      </w:r>
      <w:r w:rsidR="00B71C3B" w:rsidRPr="00EE3577">
        <w:rPr>
          <w:rFonts w:ascii="Times New Roman" w:hAnsi="Times New Roman"/>
          <w:i/>
          <w:spacing w:val="-2"/>
          <w:sz w:val="16"/>
          <w:szCs w:val="16"/>
        </w:rPr>
        <w:t>Schemmel</w:t>
      </w:r>
      <w:r w:rsidR="00B71C3B" w:rsidRPr="00EE3577">
        <w:rPr>
          <w:rFonts w:ascii="Times New Roman" w:hAnsi="Times New Roman"/>
          <w:spacing w:val="-2"/>
          <w:sz w:val="16"/>
          <w:szCs w:val="16"/>
        </w:rPr>
        <w:t>, Das Recht auf effektive Strafverfolgung bei rechtswidriger Zwangsfixierung: Ermittlungsintensität und Kontrolldichte im Klageerzwingungsverfahren, NJW 2020, 651.</w:t>
      </w:r>
    </w:p>
    <w:p w14:paraId="2AB4DFCB" w14:textId="38533EAE" w:rsidR="003244D4" w:rsidRPr="00EE3577" w:rsidRDefault="003244D4" w:rsidP="00501A07">
      <w:pPr>
        <w:widowControl/>
        <w:tabs>
          <w:tab w:val="left" w:pos="0"/>
          <w:tab w:val="left" w:pos="567"/>
          <w:tab w:val="left" w:pos="864"/>
          <w:tab w:val="left" w:pos="1418"/>
          <w:tab w:val="left" w:pos="1985"/>
          <w:tab w:val="left" w:pos="2127"/>
          <w:tab w:val="left" w:pos="2268"/>
          <w:tab w:val="left" w:pos="2880"/>
        </w:tabs>
        <w:spacing w:line="216" w:lineRule="auto"/>
        <w:ind w:left="2127" w:hanging="2127"/>
        <w:jc w:val="both"/>
        <w:rPr>
          <w:rFonts w:ascii="Times New Roman" w:hAnsi="Times New Roman"/>
          <w:spacing w:val="-2"/>
          <w:sz w:val="16"/>
          <w:szCs w:val="16"/>
        </w:rPr>
      </w:pPr>
      <w:r w:rsidRPr="00EE3577">
        <w:rPr>
          <w:rFonts w:ascii="Times New Roman" w:hAnsi="Times New Roman"/>
          <w:b/>
          <w:spacing w:val="-2"/>
          <w:sz w:val="16"/>
          <w:szCs w:val="16"/>
        </w:rPr>
        <w:t>Rechtsprechung:</w:t>
      </w:r>
      <w:r w:rsidRPr="00EE3577">
        <w:rPr>
          <w:rFonts w:ascii="Times New Roman" w:hAnsi="Times New Roman"/>
          <w:b/>
          <w:spacing w:val="-2"/>
          <w:sz w:val="16"/>
          <w:szCs w:val="16"/>
        </w:rPr>
        <w:tab/>
      </w:r>
      <w:r w:rsidRPr="00EE3577">
        <w:rPr>
          <w:rFonts w:ascii="Times New Roman" w:hAnsi="Times New Roman"/>
          <w:b/>
          <w:spacing w:val="-2"/>
          <w:sz w:val="16"/>
          <w:szCs w:val="16"/>
        </w:rPr>
        <w:tab/>
      </w:r>
      <w:r w:rsidR="00AF15FF" w:rsidRPr="00EE3577">
        <w:rPr>
          <w:rFonts w:ascii="Times New Roman" w:hAnsi="Times New Roman"/>
          <w:b/>
          <w:spacing w:val="-2"/>
          <w:sz w:val="16"/>
          <w:szCs w:val="16"/>
        </w:rPr>
        <w:tab/>
      </w:r>
      <w:r w:rsidR="00043916" w:rsidRPr="00EE3577">
        <w:rPr>
          <w:rFonts w:ascii="Times New Roman" w:hAnsi="Times New Roman"/>
          <w:b/>
          <w:spacing w:val="-2"/>
          <w:sz w:val="16"/>
          <w:szCs w:val="16"/>
        </w:rPr>
        <w:t xml:space="preserve">BVerfG NJW 2016, 44 </w:t>
      </w:r>
      <w:r w:rsidR="00043916" w:rsidRPr="00EE3577">
        <w:rPr>
          <w:rFonts w:ascii="Times New Roman" w:hAnsi="Times New Roman"/>
          <w:spacing w:val="-2"/>
          <w:sz w:val="16"/>
          <w:szCs w:val="16"/>
        </w:rPr>
        <w:t xml:space="preserve">– Darlegungsanforderungen an einen Klageerzwingungsantrag; </w:t>
      </w:r>
      <w:r w:rsidR="00AE46C2" w:rsidRPr="00EE3577">
        <w:rPr>
          <w:rFonts w:ascii="Times New Roman" w:hAnsi="Times New Roman"/>
          <w:b/>
          <w:spacing w:val="-2"/>
          <w:sz w:val="16"/>
          <w:szCs w:val="16"/>
        </w:rPr>
        <w:t xml:space="preserve">BVerfG NJW 2017, 3141 </w:t>
      </w:r>
      <w:r w:rsidR="00AE46C2" w:rsidRPr="00EE3577">
        <w:rPr>
          <w:rFonts w:ascii="Times New Roman" w:hAnsi="Times New Roman"/>
          <w:spacing w:val="-2"/>
          <w:sz w:val="16"/>
          <w:szCs w:val="16"/>
        </w:rPr>
        <w:t xml:space="preserve">– </w:t>
      </w:r>
      <w:r w:rsidR="00043916" w:rsidRPr="00EE3577">
        <w:rPr>
          <w:rFonts w:ascii="Times New Roman" w:hAnsi="Times New Roman"/>
          <w:spacing w:val="-2"/>
          <w:sz w:val="16"/>
          <w:szCs w:val="16"/>
        </w:rPr>
        <w:t>Zulässigkeitsvoraussetzungen für ein Klageerzwingungsverfahren (zur Reichweite der Garantie effektiven Rechtsschutzes)</w:t>
      </w:r>
      <w:r w:rsidR="00AE46C2" w:rsidRPr="00EE3577">
        <w:rPr>
          <w:rFonts w:ascii="Times New Roman" w:hAnsi="Times New Roman"/>
          <w:spacing w:val="-2"/>
          <w:sz w:val="16"/>
          <w:szCs w:val="16"/>
        </w:rPr>
        <w:t xml:space="preserve">; </w:t>
      </w:r>
      <w:r w:rsidR="00B71C3B" w:rsidRPr="00EE3577">
        <w:rPr>
          <w:rFonts w:ascii="Times New Roman" w:hAnsi="Times New Roman"/>
          <w:b/>
          <w:spacing w:val="-2"/>
          <w:sz w:val="16"/>
          <w:szCs w:val="16"/>
        </w:rPr>
        <w:t>BVerfG NJW 2020, 675</w:t>
      </w:r>
      <w:r w:rsidR="00B71C3B" w:rsidRPr="00EE3577">
        <w:rPr>
          <w:rFonts w:ascii="Times New Roman" w:hAnsi="Times New Roman"/>
          <w:spacing w:val="-2"/>
          <w:sz w:val="16"/>
          <w:szCs w:val="16"/>
        </w:rPr>
        <w:t xml:space="preserve"> – Verfassungsbeschwerde gegen die Einstellung eines Ermittlungsverfahrens (Pflicht der Oberlandesgerichte zur Nachprüfung von Opportunitätseinstellungen); </w:t>
      </w:r>
      <w:r w:rsidR="00B71C3B" w:rsidRPr="00EE3577">
        <w:rPr>
          <w:rFonts w:ascii="Times New Roman" w:hAnsi="Times New Roman"/>
          <w:b/>
          <w:spacing w:val="-2"/>
          <w:sz w:val="16"/>
          <w:szCs w:val="16"/>
        </w:rPr>
        <w:t>BVerfG NStZ-RR 2020, 115</w:t>
      </w:r>
      <w:r w:rsidR="00B71C3B" w:rsidRPr="00EE3577">
        <w:rPr>
          <w:rFonts w:ascii="Times New Roman" w:hAnsi="Times New Roman"/>
          <w:spacing w:val="-2"/>
          <w:sz w:val="16"/>
          <w:szCs w:val="16"/>
        </w:rPr>
        <w:t xml:space="preserve"> – Nichtannahmebeschluss (keine hinreichende Darlegung der Verletzung der Rechtsschutzgarantie oder des Gehörsanspruchs); </w:t>
      </w:r>
      <w:r w:rsidRPr="00EE3577">
        <w:rPr>
          <w:rFonts w:ascii="Times New Roman" w:hAnsi="Times New Roman"/>
          <w:b/>
          <w:spacing w:val="-2"/>
          <w:sz w:val="16"/>
          <w:szCs w:val="16"/>
        </w:rPr>
        <w:t xml:space="preserve">OLG Celle NJW 2008, 2202 – </w:t>
      </w:r>
      <w:r w:rsidRPr="00EE3577">
        <w:rPr>
          <w:rFonts w:ascii="Times New Roman" w:hAnsi="Times New Roman"/>
          <w:spacing w:val="-2"/>
          <w:sz w:val="16"/>
          <w:szCs w:val="16"/>
        </w:rPr>
        <w:t xml:space="preserve">Anforderungen an einen Klageerzwingungsantrag </w:t>
      </w:r>
      <w:r w:rsidR="0018255D" w:rsidRPr="00EE3577">
        <w:rPr>
          <w:rFonts w:ascii="Times New Roman" w:hAnsi="Times New Roman"/>
          <w:spacing w:val="-2"/>
          <w:sz w:val="16"/>
          <w:szCs w:val="16"/>
        </w:rPr>
        <w:t>(</w:t>
      </w:r>
      <w:r w:rsidRPr="00EE3577">
        <w:rPr>
          <w:rFonts w:ascii="Times New Roman" w:hAnsi="Times New Roman"/>
          <w:spacing w:val="-2"/>
          <w:sz w:val="16"/>
          <w:szCs w:val="16"/>
        </w:rPr>
        <w:t xml:space="preserve">konkrete Sachverhaltsschilderung, Angabe der Beweismittel); </w:t>
      </w:r>
      <w:r w:rsidRPr="00EE3577">
        <w:rPr>
          <w:rFonts w:ascii="Times New Roman" w:hAnsi="Times New Roman"/>
          <w:b/>
          <w:spacing w:val="-2"/>
          <w:sz w:val="16"/>
          <w:szCs w:val="16"/>
        </w:rPr>
        <w:t>OLG Hamm NJW 2008, 245</w:t>
      </w:r>
      <w:r w:rsidRPr="00EE3577">
        <w:rPr>
          <w:rFonts w:ascii="Times New Roman" w:hAnsi="Times New Roman"/>
          <w:spacing w:val="-2"/>
          <w:sz w:val="16"/>
          <w:szCs w:val="16"/>
        </w:rPr>
        <w:t xml:space="preserve"> – Notanwalt (Anforderungen an eine Anwaltsbeiordnung); </w:t>
      </w:r>
      <w:r w:rsidR="00561688" w:rsidRPr="00EE3577">
        <w:rPr>
          <w:rFonts w:ascii="Times New Roman" w:hAnsi="Times New Roman"/>
          <w:b/>
          <w:spacing w:val="-2"/>
          <w:sz w:val="16"/>
          <w:szCs w:val="16"/>
        </w:rPr>
        <w:t>OLG Schleswig NStZ 2013, 302</w:t>
      </w:r>
      <w:r w:rsidR="00561688" w:rsidRPr="00EE3577">
        <w:rPr>
          <w:rFonts w:ascii="Times New Roman" w:hAnsi="Times New Roman"/>
          <w:spacing w:val="-2"/>
          <w:sz w:val="16"/>
          <w:szCs w:val="16"/>
        </w:rPr>
        <w:t xml:space="preserve"> – Klageerzwingungsantrag (formgerechte Abfassung); </w:t>
      </w:r>
      <w:r w:rsidRPr="00EE3577">
        <w:rPr>
          <w:rFonts w:ascii="Times New Roman" w:hAnsi="Times New Roman"/>
          <w:b/>
          <w:spacing w:val="-2"/>
          <w:sz w:val="16"/>
          <w:szCs w:val="16"/>
        </w:rPr>
        <w:t>OLG Zweibrücken</w:t>
      </w:r>
      <w:r w:rsidRPr="00EE3577">
        <w:rPr>
          <w:rFonts w:ascii="Times New Roman" w:hAnsi="Times New Roman"/>
          <w:spacing w:val="-2"/>
          <w:sz w:val="16"/>
          <w:szCs w:val="16"/>
        </w:rPr>
        <w:t xml:space="preserve"> </w:t>
      </w:r>
      <w:proofErr w:type="spellStart"/>
      <w:r w:rsidRPr="00EE3577">
        <w:rPr>
          <w:rFonts w:ascii="Times New Roman" w:hAnsi="Times New Roman"/>
          <w:b/>
          <w:spacing w:val="-2"/>
          <w:sz w:val="16"/>
          <w:szCs w:val="16"/>
        </w:rPr>
        <w:t>JuS</w:t>
      </w:r>
      <w:proofErr w:type="spellEnd"/>
      <w:r w:rsidRPr="00EE3577">
        <w:rPr>
          <w:rFonts w:ascii="Times New Roman" w:hAnsi="Times New Roman"/>
          <w:b/>
          <w:spacing w:val="-2"/>
          <w:sz w:val="16"/>
          <w:szCs w:val="16"/>
        </w:rPr>
        <w:t xml:space="preserve"> 2007, 691</w:t>
      </w:r>
      <w:r w:rsidRPr="00EE3577">
        <w:rPr>
          <w:rFonts w:ascii="Times New Roman" w:hAnsi="Times New Roman"/>
          <w:spacing w:val="-2"/>
          <w:sz w:val="16"/>
          <w:szCs w:val="16"/>
        </w:rPr>
        <w:t xml:space="preserve"> – Mietkaution (Verpflichtung zur Anklageerhebung bei von der BGH-Rechtsprechung abweichender Beurteilung einer Rechtsfrage)</w:t>
      </w:r>
      <w:r w:rsidR="00E252DE" w:rsidRPr="00EE3577">
        <w:rPr>
          <w:rFonts w:ascii="Times New Roman" w:hAnsi="Times New Roman"/>
          <w:spacing w:val="-2"/>
          <w:sz w:val="16"/>
          <w:szCs w:val="16"/>
        </w:rPr>
        <w:t xml:space="preserve">; </w:t>
      </w:r>
      <w:r w:rsidR="00E252DE" w:rsidRPr="00EE3577">
        <w:rPr>
          <w:rFonts w:ascii="Times New Roman" w:hAnsi="Times New Roman"/>
          <w:b/>
          <w:spacing w:val="-2"/>
          <w:sz w:val="16"/>
          <w:szCs w:val="16"/>
        </w:rPr>
        <w:t xml:space="preserve">OLG </w:t>
      </w:r>
      <w:r w:rsidR="00B505F0" w:rsidRPr="00EE3577">
        <w:rPr>
          <w:rFonts w:ascii="Times New Roman" w:hAnsi="Times New Roman"/>
          <w:b/>
          <w:spacing w:val="-2"/>
          <w:sz w:val="16"/>
          <w:szCs w:val="16"/>
        </w:rPr>
        <w:t>Zweibrücken NStZ-RR 2021, 80</w:t>
      </w:r>
      <w:r w:rsidR="00B505F0" w:rsidRPr="00EE3577">
        <w:rPr>
          <w:rFonts w:ascii="Times New Roman" w:hAnsi="Times New Roman"/>
          <w:spacing w:val="-2"/>
          <w:sz w:val="16"/>
          <w:szCs w:val="16"/>
        </w:rPr>
        <w:t xml:space="preserve"> – Klageerzwingung (Anordnung weiterer Ermittlungen)</w:t>
      </w:r>
      <w:r w:rsidR="008E755C" w:rsidRPr="00EE3577">
        <w:rPr>
          <w:rFonts w:ascii="Times New Roman" w:hAnsi="Times New Roman"/>
          <w:spacing w:val="-2"/>
          <w:sz w:val="16"/>
          <w:szCs w:val="16"/>
        </w:rPr>
        <w:t xml:space="preserve">; </w:t>
      </w:r>
      <w:r w:rsidR="008E755C" w:rsidRPr="00EE3577">
        <w:rPr>
          <w:rFonts w:ascii="Times New Roman" w:hAnsi="Times New Roman"/>
          <w:b/>
          <w:spacing w:val="-2"/>
          <w:sz w:val="16"/>
          <w:szCs w:val="16"/>
        </w:rPr>
        <w:t xml:space="preserve">OLG Bamberg </w:t>
      </w:r>
      <w:r w:rsidR="00AF2BBD">
        <w:rPr>
          <w:rFonts w:ascii="Times New Roman" w:hAnsi="Times New Roman"/>
          <w:b/>
          <w:spacing w:val="-2"/>
          <w:sz w:val="16"/>
          <w:szCs w:val="16"/>
        </w:rPr>
        <w:t>StV 2022, 139</w:t>
      </w:r>
      <w:r w:rsidR="008E755C" w:rsidRPr="00EE3577">
        <w:rPr>
          <w:rFonts w:ascii="Times New Roman" w:hAnsi="Times New Roman"/>
          <w:b/>
          <w:spacing w:val="-2"/>
          <w:sz w:val="16"/>
          <w:szCs w:val="16"/>
        </w:rPr>
        <w:t xml:space="preserve"> </w:t>
      </w:r>
      <w:r w:rsidR="008E755C" w:rsidRPr="00EE3577">
        <w:rPr>
          <w:rFonts w:ascii="Times New Roman" w:hAnsi="Times New Roman"/>
          <w:spacing w:val="-2"/>
          <w:sz w:val="16"/>
          <w:szCs w:val="16"/>
        </w:rPr>
        <w:t>–</w:t>
      </w:r>
      <w:r w:rsidR="0018255D" w:rsidRPr="00EE3577">
        <w:rPr>
          <w:rFonts w:ascii="Times New Roman" w:hAnsi="Times New Roman"/>
          <w:spacing w:val="-2"/>
          <w:sz w:val="16"/>
          <w:szCs w:val="16"/>
        </w:rPr>
        <w:t xml:space="preserve"> </w:t>
      </w:r>
      <w:r w:rsidR="008E755C" w:rsidRPr="00EE3577">
        <w:rPr>
          <w:rFonts w:ascii="Times New Roman" w:hAnsi="Times New Roman"/>
          <w:spacing w:val="-2"/>
          <w:sz w:val="16"/>
          <w:szCs w:val="16"/>
        </w:rPr>
        <w:t>Klageerzwingung</w:t>
      </w:r>
      <w:r w:rsidR="00AF2BBD">
        <w:rPr>
          <w:rFonts w:ascii="Times New Roman" w:hAnsi="Times New Roman"/>
          <w:spacing w:val="-2"/>
          <w:sz w:val="16"/>
          <w:szCs w:val="16"/>
        </w:rPr>
        <w:t xml:space="preserve"> (A</w:t>
      </w:r>
      <w:r w:rsidR="008E755C" w:rsidRPr="00EE3577">
        <w:rPr>
          <w:rFonts w:ascii="Times New Roman" w:hAnsi="Times New Roman"/>
          <w:spacing w:val="-2"/>
          <w:sz w:val="16"/>
          <w:szCs w:val="16"/>
        </w:rPr>
        <w:t>ntrag</w:t>
      </w:r>
      <w:r w:rsidR="0018255D" w:rsidRPr="00EE3577">
        <w:rPr>
          <w:rFonts w:ascii="Times New Roman" w:hAnsi="Times New Roman"/>
          <w:spacing w:val="-2"/>
          <w:sz w:val="16"/>
          <w:szCs w:val="16"/>
        </w:rPr>
        <w:t xml:space="preserve"> unzulässig </w:t>
      </w:r>
      <w:r w:rsidR="008E755C" w:rsidRPr="00EE3577">
        <w:rPr>
          <w:rFonts w:ascii="Times New Roman" w:hAnsi="Times New Roman"/>
          <w:spacing w:val="-2"/>
          <w:sz w:val="16"/>
          <w:szCs w:val="16"/>
        </w:rPr>
        <w:t>bei Unterzeichnung durch Rechtsprofessor</w:t>
      </w:r>
      <w:r w:rsidR="00AF2BBD">
        <w:rPr>
          <w:rFonts w:ascii="Times New Roman" w:hAnsi="Times New Roman"/>
          <w:spacing w:val="-2"/>
          <w:sz w:val="16"/>
          <w:szCs w:val="16"/>
        </w:rPr>
        <w:t>)</w:t>
      </w:r>
      <w:r w:rsidR="00637AB2">
        <w:rPr>
          <w:rFonts w:ascii="Times New Roman" w:hAnsi="Times New Roman"/>
          <w:spacing w:val="-2"/>
          <w:sz w:val="16"/>
          <w:szCs w:val="16"/>
        </w:rPr>
        <w:t xml:space="preserve">; </w:t>
      </w:r>
      <w:r w:rsidR="00C33DED" w:rsidRPr="00901B97">
        <w:rPr>
          <w:rFonts w:ascii="Times New Roman" w:hAnsi="Times New Roman"/>
          <w:b/>
          <w:bCs/>
          <w:spacing w:val="-2"/>
          <w:sz w:val="16"/>
          <w:szCs w:val="16"/>
        </w:rPr>
        <w:t>OLG Brandenburg BeckRS 2023, 26116</w:t>
      </w:r>
      <w:r w:rsidR="00C33DED">
        <w:rPr>
          <w:rFonts w:ascii="Times New Roman" w:hAnsi="Times New Roman"/>
          <w:spacing w:val="-2"/>
          <w:sz w:val="16"/>
          <w:szCs w:val="16"/>
        </w:rPr>
        <w:t xml:space="preserve"> – Klageerzwingung (Anwaltszwang); </w:t>
      </w:r>
      <w:r w:rsidR="00637AB2" w:rsidRPr="00901B97">
        <w:rPr>
          <w:rFonts w:ascii="Times New Roman" w:hAnsi="Times New Roman"/>
          <w:b/>
          <w:bCs/>
          <w:spacing w:val="-2"/>
          <w:sz w:val="16"/>
          <w:szCs w:val="16"/>
        </w:rPr>
        <w:t>OLG Brandenburg BeckRS 2024, 17242</w:t>
      </w:r>
      <w:r w:rsidR="00637AB2">
        <w:rPr>
          <w:rFonts w:ascii="Times New Roman" w:hAnsi="Times New Roman"/>
          <w:spacing w:val="-2"/>
          <w:sz w:val="16"/>
          <w:szCs w:val="16"/>
        </w:rPr>
        <w:t xml:space="preserve"> – Klageerzwingung (Antrag muss eigene Schilderung und Würdigung des Sachverhaltes enthalten).</w:t>
      </w:r>
    </w:p>
    <w:sectPr w:rsidR="003244D4" w:rsidRPr="00EE3577" w:rsidSect="003244D4">
      <w:pgSz w:w="11906" w:h="16838"/>
      <w:pgMar w:top="567" w:right="566" w:bottom="289" w:left="1134" w:header="567" w:footer="28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EC7B0" w14:textId="77777777" w:rsidR="00575395" w:rsidRDefault="00575395">
      <w:pPr>
        <w:widowControl/>
        <w:spacing w:line="-20" w:lineRule="auto"/>
      </w:pPr>
    </w:p>
  </w:endnote>
  <w:endnote w:type="continuationSeparator" w:id="0">
    <w:p w14:paraId="5F39ECF8" w14:textId="77777777" w:rsidR="00575395" w:rsidRDefault="00575395">
      <w:r>
        <w:t xml:space="preserve"> </w:t>
      </w:r>
    </w:p>
  </w:endnote>
  <w:endnote w:type="continuationNotice" w:id="1">
    <w:p w14:paraId="0974CC99" w14:textId="77777777" w:rsidR="00575395" w:rsidRDefault="0057539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Dutch Roman 12pt">
    <w:altName w:val="Times New Roman"/>
    <w:panose1 w:val="020B06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8F53E" w14:textId="77777777" w:rsidR="00575395" w:rsidRDefault="00575395">
      <w:r>
        <w:separator/>
      </w:r>
    </w:p>
  </w:footnote>
  <w:footnote w:type="continuationSeparator" w:id="0">
    <w:p w14:paraId="4A122B28" w14:textId="77777777" w:rsidR="00575395" w:rsidRDefault="00575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ADC11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96761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5"/>
  <w:embedSystemFonts/>
  <w:proofState w:spelling="clean" w:grammar="clean"/>
  <w:trackRevisions/>
  <w:defaultTabStop w:val="720"/>
  <w:autoHyphenation/>
  <w:hyphenationZone w:val="510"/>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FDD"/>
    <w:rsid w:val="00022ACA"/>
    <w:rsid w:val="00043916"/>
    <w:rsid w:val="000949DA"/>
    <w:rsid w:val="00115B24"/>
    <w:rsid w:val="001319FB"/>
    <w:rsid w:val="00133CA1"/>
    <w:rsid w:val="001649F1"/>
    <w:rsid w:val="00171759"/>
    <w:rsid w:val="0018255D"/>
    <w:rsid w:val="00183A1D"/>
    <w:rsid w:val="001B5DF7"/>
    <w:rsid w:val="001C327C"/>
    <w:rsid w:val="001E219C"/>
    <w:rsid w:val="00232872"/>
    <w:rsid w:val="002757CE"/>
    <w:rsid w:val="002803E6"/>
    <w:rsid w:val="00296D60"/>
    <w:rsid w:val="002A305F"/>
    <w:rsid w:val="003244D4"/>
    <w:rsid w:val="00371B99"/>
    <w:rsid w:val="00417DB3"/>
    <w:rsid w:val="00430BF6"/>
    <w:rsid w:val="00475692"/>
    <w:rsid w:val="004B74B3"/>
    <w:rsid w:val="004E4302"/>
    <w:rsid w:val="00501A07"/>
    <w:rsid w:val="005058A7"/>
    <w:rsid w:val="00561688"/>
    <w:rsid w:val="005665D0"/>
    <w:rsid w:val="00575395"/>
    <w:rsid w:val="005A35FA"/>
    <w:rsid w:val="005B0C75"/>
    <w:rsid w:val="005E54EA"/>
    <w:rsid w:val="005F327D"/>
    <w:rsid w:val="00631EF7"/>
    <w:rsid w:val="00637AB2"/>
    <w:rsid w:val="00655C80"/>
    <w:rsid w:val="006641DF"/>
    <w:rsid w:val="00666040"/>
    <w:rsid w:val="00701B60"/>
    <w:rsid w:val="007127D6"/>
    <w:rsid w:val="007220FD"/>
    <w:rsid w:val="00797A81"/>
    <w:rsid w:val="007B769D"/>
    <w:rsid w:val="007C4FFE"/>
    <w:rsid w:val="007F13BA"/>
    <w:rsid w:val="00807A51"/>
    <w:rsid w:val="0083259A"/>
    <w:rsid w:val="008469CE"/>
    <w:rsid w:val="00854DAC"/>
    <w:rsid w:val="00872C23"/>
    <w:rsid w:val="00873166"/>
    <w:rsid w:val="008E755C"/>
    <w:rsid w:val="008F4710"/>
    <w:rsid w:val="00901B97"/>
    <w:rsid w:val="00955ABF"/>
    <w:rsid w:val="0095672B"/>
    <w:rsid w:val="0095757A"/>
    <w:rsid w:val="009A0910"/>
    <w:rsid w:val="009A1309"/>
    <w:rsid w:val="009C6126"/>
    <w:rsid w:val="009C6B4F"/>
    <w:rsid w:val="009F7660"/>
    <w:rsid w:val="00A064D5"/>
    <w:rsid w:val="00A15812"/>
    <w:rsid w:val="00A96AC6"/>
    <w:rsid w:val="00AD3581"/>
    <w:rsid w:val="00AE46C2"/>
    <w:rsid w:val="00AF15FF"/>
    <w:rsid w:val="00AF2BBD"/>
    <w:rsid w:val="00B34B8E"/>
    <w:rsid w:val="00B505F0"/>
    <w:rsid w:val="00B51F0F"/>
    <w:rsid w:val="00B71C3B"/>
    <w:rsid w:val="00BA0B17"/>
    <w:rsid w:val="00BB67D2"/>
    <w:rsid w:val="00BE01F5"/>
    <w:rsid w:val="00C33DED"/>
    <w:rsid w:val="00C37EBC"/>
    <w:rsid w:val="00C40E66"/>
    <w:rsid w:val="00C67D29"/>
    <w:rsid w:val="00CC3E30"/>
    <w:rsid w:val="00D1458F"/>
    <w:rsid w:val="00D1589E"/>
    <w:rsid w:val="00D72A32"/>
    <w:rsid w:val="00D8541C"/>
    <w:rsid w:val="00DB2F57"/>
    <w:rsid w:val="00DD27F9"/>
    <w:rsid w:val="00E047E1"/>
    <w:rsid w:val="00E04E4B"/>
    <w:rsid w:val="00E146A3"/>
    <w:rsid w:val="00E234F8"/>
    <w:rsid w:val="00E252DE"/>
    <w:rsid w:val="00E534FD"/>
    <w:rsid w:val="00E7626B"/>
    <w:rsid w:val="00E950C5"/>
    <w:rsid w:val="00EB4A71"/>
    <w:rsid w:val="00EE1FDD"/>
    <w:rsid w:val="00EE3577"/>
    <w:rsid w:val="00EE55AC"/>
    <w:rsid w:val="00F257C0"/>
    <w:rsid w:val="00F35540"/>
    <w:rsid w:val="00F47E23"/>
    <w:rsid w:val="00F63EC9"/>
    <w:rsid w:val="00F83C7B"/>
    <w:rsid w:val="00F97E4F"/>
    <w:rsid w:val="00FE25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A625E6"/>
  <w15:chartTrackingRefBased/>
  <w15:docId w15:val="{A1AF69B5-0E0A-446B-BDA1-2AA1BB27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overflowPunct w:val="0"/>
      <w:autoSpaceDE w:val="0"/>
      <w:autoSpaceDN w:val="0"/>
      <w:adjustRightInd w:val="0"/>
      <w:textAlignment w:val="baseline"/>
    </w:pPr>
    <w:rPr>
      <w:rFonts w:ascii="Dutch Roman 12pt" w:hAnsi="Dutch Roman 12pt"/>
      <w:sz w:val="24"/>
    </w:rPr>
  </w:style>
  <w:style w:type="paragraph" w:styleId="berschrift1">
    <w:name w:val="heading 1"/>
    <w:basedOn w:val="Standard"/>
    <w:next w:val="Standard"/>
    <w:qFormat/>
    <w:pPr>
      <w:keepNext/>
      <w:widowControl/>
      <w:tabs>
        <w:tab w:val="right" w:pos="10206"/>
      </w:tabs>
      <w:jc w:val="both"/>
      <w:outlineLvl w:val="0"/>
    </w:pPr>
    <w:rPr>
      <w:rFonts w:ascii="Times New Roman" w:hAnsi="Times New Roman"/>
      <w:b/>
      <w:spacing w:val="-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style>
  <w:style w:type="character" w:styleId="Endnotenzeichen">
    <w:name w:val="endnote reference"/>
    <w:semiHidden/>
    <w:rPr>
      <w:vertAlign w:val="superscript"/>
    </w:rPr>
  </w:style>
  <w:style w:type="paragraph" w:styleId="Funotentext">
    <w:name w:val="footnote text"/>
    <w:basedOn w:val="Standard"/>
    <w:semiHidden/>
  </w:style>
  <w:style w:type="character" w:styleId="Funotenzeichen">
    <w:name w:val="footnote reference"/>
    <w:semiHidden/>
    <w:rPr>
      <w:vertAlign w:val="superscript"/>
    </w:rPr>
  </w:style>
  <w:style w:type="character" w:customStyle="1" w:styleId="klein">
    <w:name w:val="klein"/>
    <w:rPr>
      <w:rFonts w:ascii="Arial Narrow" w:hAnsi="Arial Narrow"/>
      <w:noProof w:val="0"/>
      <w:sz w:val="16"/>
      <w:lang w:val="en-US"/>
    </w:rPr>
  </w:style>
  <w:style w:type="character" w:customStyle="1" w:styleId="berschr-1">
    <w:name w:val="Überschr-1"/>
    <w:rPr>
      <w:rFonts w:ascii="Dutch Roman 12pt" w:hAnsi="Dutch Roman 12pt"/>
      <w:noProof w:val="0"/>
      <w:sz w:val="24"/>
      <w:lang w:val="en-US"/>
    </w:rPr>
  </w:style>
  <w:style w:type="character" w:customStyle="1" w:styleId="berschr-2">
    <w:name w:val="Überschr-2"/>
    <w:rPr>
      <w:rFonts w:ascii="Dutch Roman 12pt" w:hAnsi="Dutch Roman 12pt"/>
      <w:noProof w:val="0"/>
      <w:sz w:val="24"/>
      <w:lang w:val="en-US"/>
    </w:rPr>
  </w:style>
  <w:style w:type="character" w:customStyle="1" w:styleId="berschr-3">
    <w:name w:val="Überschr-3"/>
    <w:rPr>
      <w:rFonts w:ascii="Dutch Roman 12pt" w:hAnsi="Dutch Roman 12pt"/>
      <w:noProof w:val="0"/>
      <w:sz w:val="24"/>
      <w:lang w:val="en-US"/>
    </w:rPr>
  </w:style>
  <w:style w:type="character" w:customStyle="1" w:styleId="berschr-4">
    <w:name w:val="Überschr-4"/>
    <w:rPr>
      <w:rFonts w:ascii="Dutch Roman 12pt" w:hAnsi="Dutch Roman 12pt"/>
      <w:noProof w:val="0"/>
      <w:sz w:val="24"/>
      <w:lang w:val="en-US"/>
    </w:rPr>
  </w:style>
  <w:style w:type="character" w:customStyle="1" w:styleId="berschr-5">
    <w:name w:val="Überschr-5"/>
    <w:rPr>
      <w:rFonts w:ascii="Dutch Roman 12pt" w:hAnsi="Dutch Roman 12pt"/>
      <w:noProof w:val="0"/>
      <w:sz w:val="24"/>
      <w:lang w:val="en-US"/>
    </w:rPr>
  </w:style>
  <w:style w:type="character" w:customStyle="1" w:styleId="Kopftext">
    <w:name w:val="Kopftext"/>
    <w:rPr>
      <w:rFonts w:ascii="Dutch Roman 12pt" w:hAnsi="Dutch Roman 12pt"/>
      <w:noProof w:val="0"/>
      <w:sz w:val="24"/>
      <w:lang w:val="en-US"/>
    </w:rPr>
  </w:style>
  <w:style w:type="paragraph" w:styleId="Verzeichnis1">
    <w:name w:val="toc 1"/>
    <w:basedOn w:val="Standard"/>
    <w:next w:val="Standard"/>
    <w:semiHidden/>
    <w:pPr>
      <w:tabs>
        <w:tab w:val="right" w:leader="dot" w:pos="9360"/>
      </w:tabs>
      <w:suppressAutoHyphens/>
      <w:spacing w:before="480"/>
      <w:ind w:left="720" w:right="720" w:hanging="720"/>
    </w:pPr>
    <w:rPr>
      <w:lang w:val="en-US"/>
    </w:rPr>
  </w:style>
  <w:style w:type="paragraph" w:styleId="Verzeichnis2">
    <w:name w:val="toc 2"/>
    <w:basedOn w:val="Standard"/>
    <w:next w:val="Standard"/>
    <w:semiHidden/>
    <w:pPr>
      <w:tabs>
        <w:tab w:val="right" w:leader="dot" w:pos="9360"/>
      </w:tabs>
      <w:suppressAutoHyphens/>
      <w:ind w:left="720" w:right="720"/>
    </w:pPr>
    <w:rPr>
      <w:lang w:val="en-US"/>
    </w:rPr>
  </w:style>
  <w:style w:type="paragraph" w:styleId="Verzeichnis3">
    <w:name w:val="toc 3"/>
    <w:basedOn w:val="Standard"/>
    <w:next w:val="Standard"/>
    <w:semiHidden/>
    <w:pPr>
      <w:tabs>
        <w:tab w:val="right" w:leader="dot" w:pos="9360"/>
      </w:tabs>
      <w:suppressAutoHyphens/>
      <w:ind w:left="720" w:right="720"/>
    </w:pPr>
    <w:rPr>
      <w:lang w:val="en-US"/>
    </w:rPr>
  </w:style>
  <w:style w:type="paragraph" w:styleId="Verzeichnis4">
    <w:name w:val="toc 4"/>
    <w:basedOn w:val="Standard"/>
    <w:next w:val="Standard"/>
    <w:semiHidden/>
    <w:pPr>
      <w:tabs>
        <w:tab w:val="right" w:leader="dot" w:pos="9360"/>
      </w:tabs>
      <w:suppressAutoHyphens/>
      <w:ind w:left="720" w:right="720"/>
    </w:pPr>
    <w:rPr>
      <w:lang w:val="en-US"/>
    </w:rPr>
  </w:style>
  <w:style w:type="paragraph" w:styleId="Verzeichnis5">
    <w:name w:val="toc 5"/>
    <w:basedOn w:val="Standard"/>
    <w:next w:val="Standard"/>
    <w:semiHidden/>
    <w:pPr>
      <w:tabs>
        <w:tab w:val="right" w:leader="dot" w:pos="9360"/>
      </w:tabs>
      <w:suppressAutoHyphens/>
      <w:ind w:left="720" w:right="720"/>
    </w:pPr>
    <w:rPr>
      <w:lang w:val="en-US"/>
    </w:rPr>
  </w:style>
  <w:style w:type="paragraph" w:styleId="Verzeichnis6">
    <w:name w:val="toc 6"/>
    <w:basedOn w:val="Standard"/>
    <w:next w:val="Standard"/>
    <w:semiHidden/>
    <w:pPr>
      <w:tabs>
        <w:tab w:val="right" w:pos="9360"/>
      </w:tabs>
      <w:suppressAutoHyphens/>
      <w:ind w:left="720" w:hanging="720"/>
    </w:pPr>
    <w:rPr>
      <w:lang w:val="en-US"/>
    </w:rPr>
  </w:style>
  <w:style w:type="paragraph" w:styleId="Verzeichnis7">
    <w:name w:val="toc 7"/>
    <w:basedOn w:val="Standard"/>
    <w:next w:val="Standard"/>
    <w:semiHidden/>
    <w:pPr>
      <w:suppressAutoHyphens/>
      <w:ind w:left="720" w:hanging="720"/>
    </w:pPr>
    <w:rPr>
      <w:lang w:val="en-US"/>
    </w:rPr>
  </w:style>
  <w:style w:type="paragraph" w:styleId="Verzeichnis8">
    <w:name w:val="toc 8"/>
    <w:basedOn w:val="Standard"/>
    <w:next w:val="Standard"/>
    <w:semiHidden/>
    <w:pPr>
      <w:tabs>
        <w:tab w:val="right" w:pos="9360"/>
      </w:tabs>
      <w:suppressAutoHyphens/>
      <w:ind w:left="720" w:hanging="720"/>
    </w:pPr>
    <w:rPr>
      <w:lang w:val="en-US"/>
    </w:rPr>
  </w:style>
  <w:style w:type="paragraph" w:styleId="Verzeichnis9">
    <w:name w:val="toc 9"/>
    <w:basedOn w:val="Standard"/>
    <w:next w:val="Standard"/>
    <w:semiHidden/>
    <w:pPr>
      <w:tabs>
        <w:tab w:val="right" w:leader="dot" w:pos="9360"/>
      </w:tabs>
      <w:suppressAutoHyphens/>
      <w:ind w:left="720" w:hanging="720"/>
    </w:pPr>
    <w:rPr>
      <w:lang w:val="en-US"/>
    </w:rPr>
  </w:style>
  <w:style w:type="paragraph" w:styleId="Index1">
    <w:name w:val="index 1"/>
    <w:basedOn w:val="Standard"/>
    <w:next w:val="Standard"/>
    <w:semiHidden/>
    <w:pPr>
      <w:tabs>
        <w:tab w:val="right" w:leader="dot" w:pos="9360"/>
      </w:tabs>
      <w:suppressAutoHyphens/>
      <w:ind w:left="720" w:hanging="720"/>
    </w:pPr>
    <w:rPr>
      <w:lang w:val="en-US"/>
    </w:rPr>
  </w:style>
  <w:style w:type="paragraph" w:styleId="Index2">
    <w:name w:val="index 2"/>
    <w:basedOn w:val="Standard"/>
    <w:next w:val="Standard"/>
    <w:semiHidden/>
    <w:pPr>
      <w:tabs>
        <w:tab w:val="right" w:leader="dot" w:pos="9360"/>
      </w:tabs>
      <w:suppressAutoHyphens/>
      <w:ind w:left="720"/>
    </w:pPr>
    <w:rPr>
      <w:lang w:val="en-US"/>
    </w:rPr>
  </w:style>
  <w:style w:type="paragraph" w:styleId="RGV-berschrift">
    <w:name w:val="toa heading"/>
    <w:basedOn w:val="Standard"/>
    <w:semiHidden/>
    <w:pPr>
      <w:tabs>
        <w:tab w:val="right" w:pos="9360"/>
      </w:tabs>
      <w:suppressAutoHyphens/>
    </w:pPr>
    <w:rPr>
      <w:lang w:val="en-US"/>
    </w:rPr>
  </w:style>
  <w:style w:type="paragraph" w:styleId="Beschriftung">
    <w:name w:val="caption"/>
    <w:basedOn w:val="Standard"/>
    <w:next w:val="Standard"/>
    <w:qFormat/>
  </w:style>
  <w:style w:type="character" w:customStyle="1" w:styleId="EquationCaption">
    <w:name w:val="_Equation Caption"/>
  </w:style>
  <w:style w:type="paragraph" w:styleId="Sprechblasentext">
    <w:name w:val="Balloon Text"/>
    <w:basedOn w:val="Standard"/>
    <w:link w:val="SprechblasentextZchn"/>
    <w:uiPriority w:val="99"/>
    <w:semiHidden/>
    <w:unhideWhenUsed/>
    <w:rsid w:val="00417DB3"/>
    <w:rPr>
      <w:rFonts w:ascii="Segoe UI" w:hAnsi="Segoe UI" w:cs="Segoe UI"/>
      <w:sz w:val="18"/>
      <w:szCs w:val="18"/>
    </w:rPr>
  </w:style>
  <w:style w:type="character" w:customStyle="1" w:styleId="SprechblasentextZchn">
    <w:name w:val="Sprechblasentext Zchn"/>
    <w:link w:val="Sprechblasentext"/>
    <w:uiPriority w:val="99"/>
    <w:semiHidden/>
    <w:rsid w:val="00417DB3"/>
    <w:rPr>
      <w:rFonts w:ascii="Segoe UI" w:hAnsi="Segoe UI" w:cs="Segoe UI"/>
      <w:sz w:val="18"/>
      <w:szCs w:val="18"/>
    </w:rPr>
  </w:style>
  <w:style w:type="paragraph" w:styleId="berarbeitung">
    <w:name w:val="Revision"/>
    <w:hidden/>
    <w:uiPriority w:val="71"/>
    <w:rsid w:val="007C4FFE"/>
    <w:rPr>
      <w:rFonts w:ascii="Dutch Roman 12pt" w:hAnsi="Dutch Roman 12pt"/>
      <w:sz w:val="24"/>
    </w:rPr>
  </w:style>
  <w:style w:type="character" w:styleId="Kommentarzeichen">
    <w:name w:val="annotation reference"/>
    <w:uiPriority w:val="99"/>
    <w:semiHidden/>
    <w:unhideWhenUsed/>
    <w:rsid w:val="007C4FFE"/>
    <w:rPr>
      <w:sz w:val="16"/>
      <w:szCs w:val="16"/>
    </w:rPr>
  </w:style>
  <w:style w:type="paragraph" w:styleId="Kommentartext">
    <w:name w:val="annotation text"/>
    <w:basedOn w:val="Standard"/>
    <w:link w:val="KommentartextZchn"/>
    <w:uiPriority w:val="99"/>
    <w:unhideWhenUsed/>
    <w:rsid w:val="007C4FFE"/>
    <w:rPr>
      <w:sz w:val="20"/>
    </w:rPr>
  </w:style>
  <w:style w:type="character" w:customStyle="1" w:styleId="KommentartextZchn">
    <w:name w:val="Kommentartext Zchn"/>
    <w:link w:val="Kommentartext"/>
    <w:uiPriority w:val="99"/>
    <w:rsid w:val="007C4FFE"/>
    <w:rPr>
      <w:rFonts w:ascii="Dutch Roman 12pt" w:hAnsi="Dutch Roman 12pt"/>
    </w:rPr>
  </w:style>
  <w:style w:type="paragraph" w:styleId="Kommentarthema">
    <w:name w:val="annotation subject"/>
    <w:basedOn w:val="Kommentartext"/>
    <w:next w:val="Kommentartext"/>
    <w:link w:val="KommentarthemaZchn"/>
    <w:uiPriority w:val="99"/>
    <w:semiHidden/>
    <w:unhideWhenUsed/>
    <w:rsid w:val="007C4FFE"/>
    <w:rPr>
      <w:b/>
      <w:bCs/>
    </w:rPr>
  </w:style>
  <w:style w:type="character" w:customStyle="1" w:styleId="KommentarthemaZchn">
    <w:name w:val="Kommentarthema Zchn"/>
    <w:link w:val="Kommentarthema"/>
    <w:uiPriority w:val="99"/>
    <w:semiHidden/>
    <w:rsid w:val="007C4FFE"/>
    <w:rPr>
      <w:rFonts w:ascii="Dutch Roman 12pt" w:hAnsi="Dutch Roman 12pt"/>
      <w:b/>
      <w:bCs/>
    </w:rPr>
  </w:style>
  <w:style w:type="paragraph" w:styleId="Listenabsatz">
    <w:name w:val="List Paragraph"/>
    <w:basedOn w:val="Standard"/>
    <w:uiPriority w:val="72"/>
    <w:qFormat/>
    <w:rsid w:val="00873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AB245CB-A459-4A22-9844-25E3525D4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850</Words>
  <Characters>5360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09. Kausalität [VorlAT]</vt:lpstr>
    </vt:vector>
  </TitlesOfParts>
  <Company>Humboldt Universität zu Berlin</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Kausalität [VorlAT]</dc:title>
  <dc:subject/>
  <dc:creator>Professor Dr. Bernd Heinrich</dc:creator>
  <cp:keywords/>
  <cp:lastModifiedBy>Tobias Reinbacher</cp:lastModifiedBy>
  <cp:revision>4</cp:revision>
  <cp:lastPrinted>2020-10-23T16:55:00Z</cp:lastPrinted>
  <dcterms:created xsi:type="dcterms:W3CDTF">2024-10-10T14:23:00Z</dcterms:created>
  <dcterms:modified xsi:type="dcterms:W3CDTF">2024-10-14T10:28:00Z</dcterms:modified>
</cp:coreProperties>
</file>