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CE25A" w14:textId="3421913D" w:rsidR="00D5221F" w:rsidRDefault="00D5221F" w:rsidP="00ED2E81">
      <w:pPr>
        <w:tabs>
          <w:tab w:val="right" w:pos="10206"/>
        </w:tabs>
        <w:jc w:val="both"/>
        <w:rPr>
          <w:spacing w:val="-3"/>
        </w:rPr>
      </w:pPr>
      <w:r>
        <w:rPr>
          <w:b/>
          <w:spacing w:val="-3"/>
        </w:rPr>
        <w:t xml:space="preserve">Prof. Dr. </w:t>
      </w:r>
      <w:r w:rsidR="00A4204E">
        <w:rPr>
          <w:b/>
          <w:spacing w:val="-3"/>
        </w:rPr>
        <w:t xml:space="preserve">Dr. h.c. </w:t>
      </w:r>
      <w:r>
        <w:rPr>
          <w:b/>
          <w:spacing w:val="-3"/>
        </w:rPr>
        <w:t>Bernd Heinrich/</w:t>
      </w:r>
      <w:r w:rsidR="00B72161">
        <w:rPr>
          <w:b/>
          <w:spacing w:val="-3"/>
        </w:rPr>
        <w:t>Pr</w:t>
      </w:r>
      <w:r w:rsidR="002D1BFE">
        <w:rPr>
          <w:b/>
          <w:spacing w:val="-3"/>
        </w:rPr>
        <w:t>of</w:t>
      </w:r>
      <w:r w:rsidR="00B72161">
        <w:rPr>
          <w:b/>
          <w:spacing w:val="-3"/>
        </w:rPr>
        <w:t xml:space="preserve">. </w:t>
      </w:r>
      <w:r>
        <w:rPr>
          <w:b/>
          <w:spacing w:val="-3"/>
        </w:rPr>
        <w:t>Dr. Tobias Reinbacher</w:t>
      </w:r>
      <w:r>
        <w:rPr>
          <w:b/>
          <w:spacing w:val="-3"/>
        </w:rPr>
        <w:tab/>
        <w:t xml:space="preserve">Stand: 1. </w:t>
      </w:r>
      <w:r w:rsidR="00011248">
        <w:rPr>
          <w:b/>
          <w:spacing w:val="-3"/>
        </w:rPr>
        <w:t>Oktober</w:t>
      </w:r>
      <w:r w:rsidR="00213350">
        <w:rPr>
          <w:b/>
          <w:spacing w:val="-3"/>
        </w:rPr>
        <w:t xml:space="preserve"> </w:t>
      </w:r>
      <w:r w:rsidR="00681C7E">
        <w:rPr>
          <w:b/>
          <w:spacing w:val="-3"/>
        </w:rPr>
        <w:t>20</w:t>
      </w:r>
      <w:r w:rsidR="00665ACD">
        <w:rPr>
          <w:b/>
          <w:spacing w:val="-3"/>
        </w:rPr>
        <w:t>2</w:t>
      </w:r>
      <w:r w:rsidR="00287B72">
        <w:rPr>
          <w:b/>
          <w:spacing w:val="-3"/>
        </w:rPr>
        <w:t>4</w:t>
      </w:r>
    </w:p>
    <w:p w14:paraId="5C646538" w14:textId="6BFD648E" w:rsidR="00D5221F" w:rsidRDefault="00D5221F" w:rsidP="00D5221F">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3"/>
        </w:rPr>
      </w:pPr>
      <w:r>
        <w:rPr>
          <w:b/>
          <w:spacing w:val="-3"/>
        </w:rPr>
        <w:t>Examinatorium Strafprozessrecht – Arbeitsblatt Nr.</w:t>
      </w:r>
      <w:r w:rsidR="00287B72">
        <w:rPr>
          <w:b/>
          <w:spacing w:val="-3"/>
        </w:rPr>
        <w:t> </w:t>
      </w:r>
      <w:r>
        <w:rPr>
          <w:b/>
          <w:spacing w:val="-3"/>
        </w:rPr>
        <w:t>36</w:t>
      </w:r>
    </w:p>
    <w:p w14:paraId="128BFCF9" w14:textId="77777777" w:rsidR="00D5221F" w:rsidRPr="00ED2E81" w:rsidRDefault="00D5221F" w:rsidP="00D5221F">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7"/>
          <w:sz w:val="52"/>
          <w:szCs w:val="52"/>
        </w:rPr>
      </w:pPr>
      <w:r w:rsidRPr="00ED2E81">
        <w:rPr>
          <w:b/>
          <w:spacing w:val="-7"/>
          <w:sz w:val="52"/>
          <w:szCs w:val="52"/>
        </w:rPr>
        <w:t>Beweismittel – Überblick</w:t>
      </w:r>
    </w:p>
    <w:p w14:paraId="1F7497F4" w14:textId="77777777" w:rsidR="00D5221F" w:rsidRDefault="00D5221F">
      <w:pPr>
        <w:pStyle w:val="Beschriftung"/>
        <w:framePr w:w="9726" w:h="1417" w:hSpace="240" w:vSpace="120" w:wrap="auto" w:vAnchor="text" w:hAnchor="margin" w:x="241" w:y="121"/>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left" w:pos="-720"/>
        </w:tabs>
        <w:spacing w:line="-1" w:lineRule="auto"/>
        <w:jc w:val="both"/>
        <w:rPr>
          <w:rFonts w:ascii="Times New Roman" w:hAnsi="Times New Roman"/>
          <w:vanish/>
          <w:spacing w:val="-7"/>
          <w:sz w:val="60"/>
        </w:rPr>
      </w:pPr>
      <w:r>
        <w:rPr>
          <w:rFonts w:ascii="Times New Roman" w:hAnsi="Times New Roman"/>
          <w:vanish/>
          <w:spacing w:val="-7"/>
          <w:sz w:val="60"/>
        </w:rPr>
        <w:fldChar w:fldCharType="begin"/>
      </w:r>
      <w:r w:rsidR="00F20524">
        <w:rPr>
          <w:rFonts w:ascii="Times New Roman" w:hAnsi="Times New Roman"/>
          <w:vanish/>
          <w:spacing w:val="-7"/>
          <w:sz w:val="60"/>
        </w:rPr>
        <w:instrText>SEQ</w:instrText>
      </w:r>
      <w:r>
        <w:rPr>
          <w:rFonts w:ascii="Times New Roman" w:hAnsi="Times New Roman"/>
          <w:vanish/>
          <w:spacing w:val="-7"/>
          <w:sz w:val="60"/>
        </w:rPr>
        <w:instrText xml:space="preserve"> Text_Box  \* ARABIC</w:instrText>
      </w:r>
      <w:r>
        <w:rPr>
          <w:rFonts w:ascii="Times New Roman" w:hAnsi="Times New Roman"/>
          <w:vanish/>
          <w:spacing w:val="-7"/>
          <w:sz w:val="60"/>
        </w:rPr>
        <w:fldChar w:fldCharType="separate"/>
      </w:r>
      <w:r w:rsidR="001E0B33">
        <w:rPr>
          <w:rFonts w:ascii="Times New Roman" w:hAnsi="Times New Roman"/>
          <w:noProof/>
          <w:vanish/>
          <w:spacing w:val="-7"/>
          <w:sz w:val="60"/>
        </w:rPr>
        <w:t>1</w:t>
      </w:r>
      <w:r>
        <w:rPr>
          <w:rFonts w:ascii="Times New Roman" w:hAnsi="Times New Roman"/>
          <w:vanish/>
          <w:spacing w:val="-7"/>
          <w:sz w:val="60"/>
        </w:rPr>
        <w:fldChar w:fldCharType="end"/>
      </w:r>
    </w:p>
    <w:p w14:paraId="56F627A8" w14:textId="77777777" w:rsidR="00880DA1" w:rsidRDefault="00880DA1" w:rsidP="00D5221F">
      <w:pPr>
        <w:widowControl/>
        <w:tabs>
          <w:tab w:val="left" w:pos="-72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b/>
          <w:spacing w:val="-2"/>
          <w:sz w:val="20"/>
        </w:rPr>
      </w:pPr>
    </w:p>
    <w:p w14:paraId="3C5C44D4" w14:textId="73078ADA" w:rsidR="00D5221F" w:rsidRPr="00233EE5" w:rsidRDefault="00D5221F" w:rsidP="00D5221F">
      <w:pPr>
        <w:widowControl/>
        <w:tabs>
          <w:tab w:val="left" w:pos="-72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20"/>
        </w:rPr>
      </w:pPr>
      <w:r w:rsidRPr="00233EE5">
        <w:rPr>
          <w:rFonts w:ascii="Times New Roman" w:hAnsi="Times New Roman"/>
          <w:b/>
          <w:spacing w:val="-2"/>
          <w:sz w:val="20"/>
        </w:rPr>
        <w:t xml:space="preserve">I. </w:t>
      </w:r>
      <w:r w:rsidR="00CE2030">
        <w:rPr>
          <w:rFonts w:ascii="Times New Roman" w:hAnsi="Times New Roman"/>
          <w:b/>
          <w:spacing w:val="-2"/>
          <w:sz w:val="20"/>
        </w:rPr>
        <w:tab/>
      </w:r>
      <w:r w:rsidRPr="00233EE5">
        <w:rPr>
          <w:rFonts w:ascii="Times New Roman" w:hAnsi="Times New Roman"/>
          <w:b/>
          <w:spacing w:val="-2"/>
          <w:sz w:val="20"/>
        </w:rPr>
        <w:t xml:space="preserve">Allgemeines: </w:t>
      </w:r>
      <w:r w:rsidRPr="00233EE5">
        <w:rPr>
          <w:rFonts w:ascii="Times New Roman" w:hAnsi="Times New Roman"/>
          <w:spacing w:val="-2"/>
          <w:sz w:val="20"/>
        </w:rPr>
        <w:t>Durch den Untersuchungsgrundsatz (vgl. dazu Arbeitsblatt Nr.</w:t>
      </w:r>
      <w:r w:rsidR="009951A9">
        <w:rPr>
          <w:rFonts w:ascii="Times New Roman" w:hAnsi="Times New Roman"/>
          <w:spacing w:val="-2"/>
          <w:sz w:val="20"/>
        </w:rPr>
        <w:t> </w:t>
      </w:r>
      <w:r w:rsidRPr="00233EE5">
        <w:rPr>
          <w:rFonts w:ascii="Times New Roman" w:hAnsi="Times New Roman"/>
          <w:spacing w:val="-2"/>
          <w:sz w:val="20"/>
        </w:rPr>
        <w:t>5) ist das Gericht verpflichtet, von Amts wegen die Wahrheit zu erforschen. Hinsichtlich des Beweisverfahrens ist dabei zwischen dem Strengbeweisverfahren und dem Freibeweisverfahren</w:t>
      </w:r>
      <w:r w:rsidR="0044049D" w:rsidRPr="0044049D">
        <w:rPr>
          <w:rFonts w:ascii="Times New Roman" w:hAnsi="Times New Roman"/>
          <w:spacing w:val="-2"/>
          <w:sz w:val="20"/>
        </w:rPr>
        <w:t xml:space="preserve"> </w:t>
      </w:r>
      <w:r w:rsidR="0044049D" w:rsidRPr="00233EE5">
        <w:rPr>
          <w:rFonts w:ascii="Times New Roman" w:hAnsi="Times New Roman"/>
          <w:spacing w:val="-2"/>
          <w:sz w:val="20"/>
        </w:rPr>
        <w:t>zu differenzieren</w:t>
      </w:r>
      <w:r w:rsidRPr="00233EE5">
        <w:rPr>
          <w:rFonts w:ascii="Times New Roman" w:hAnsi="Times New Roman"/>
          <w:spacing w:val="-2"/>
          <w:sz w:val="20"/>
        </w:rPr>
        <w:t>.</w:t>
      </w:r>
    </w:p>
    <w:p w14:paraId="3AC948F7" w14:textId="0366C35C" w:rsidR="00D5221F" w:rsidRPr="00233EE5" w:rsidRDefault="00D5221F" w:rsidP="00D5221F">
      <w:pPr>
        <w:widowControl/>
        <w:tabs>
          <w:tab w:val="left" w:pos="-720"/>
          <w:tab w:val="left" w:pos="567"/>
          <w:tab w:val="left" w:pos="864"/>
          <w:tab w:val="left" w:pos="1116"/>
          <w:tab w:val="left" w:pos="1404"/>
          <w:tab w:val="left" w:pos="1692"/>
          <w:tab w:val="left" w:pos="1980"/>
          <w:tab w:val="left" w:pos="2268"/>
          <w:tab w:val="left" w:pos="2880"/>
        </w:tabs>
        <w:ind w:left="567" w:hanging="284"/>
        <w:jc w:val="both"/>
        <w:rPr>
          <w:rFonts w:ascii="Times New Roman" w:hAnsi="Times New Roman"/>
          <w:spacing w:val="-2"/>
          <w:sz w:val="20"/>
        </w:rPr>
      </w:pPr>
      <w:r w:rsidRPr="00233EE5">
        <w:rPr>
          <w:rFonts w:ascii="Times New Roman" w:hAnsi="Times New Roman"/>
          <w:spacing w:val="-2"/>
          <w:sz w:val="20"/>
          <w:u w:val="single"/>
        </w:rPr>
        <w:t>1.</w:t>
      </w:r>
      <w:r w:rsidRPr="00233EE5">
        <w:rPr>
          <w:rFonts w:ascii="Times New Roman" w:hAnsi="Times New Roman"/>
          <w:spacing w:val="-2"/>
          <w:sz w:val="20"/>
          <w:u w:val="single"/>
        </w:rPr>
        <w:tab/>
        <w:t>Das Strengbeweisverfahren</w:t>
      </w:r>
      <w:r w:rsidRPr="00233EE5">
        <w:rPr>
          <w:rFonts w:ascii="Times New Roman" w:hAnsi="Times New Roman"/>
          <w:spacing w:val="-2"/>
          <w:sz w:val="20"/>
        </w:rPr>
        <w:t xml:space="preserve"> gilt für alle Beweiserhebungen </w:t>
      </w:r>
      <w:r w:rsidRPr="00233EE5">
        <w:rPr>
          <w:rFonts w:ascii="Times New Roman" w:hAnsi="Times New Roman"/>
          <w:b/>
          <w:spacing w:val="-2"/>
          <w:sz w:val="20"/>
        </w:rPr>
        <w:t>innerhalb der Hauptverhandlung</w:t>
      </w:r>
      <w:r w:rsidRPr="00233EE5">
        <w:rPr>
          <w:rFonts w:ascii="Times New Roman" w:hAnsi="Times New Roman"/>
          <w:spacing w:val="-2"/>
          <w:sz w:val="20"/>
        </w:rPr>
        <w:t xml:space="preserve">, welche Fragen der </w:t>
      </w:r>
      <w:r w:rsidRPr="00233EE5">
        <w:rPr>
          <w:rFonts w:ascii="Times New Roman" w:hAnsi="Times New Roman"/>
          <w:b/>
          <w:spacing w:val="-2"/>
          <w:sz w:val="20"/>
        </w:rPr>
        <w:t>Schuld</w:t>
      </w:r>
      <w:r w:rsidRPr="00233EE5">
        <w:rPr>
          <w:rFonts w:ascii="Times New Roman" w:hAnsi="Times New Roman"/>
          <w:spacing w:val="-2"/>
          <w:sz w:val="20"/>
        </w:rPr>
        <w:t xml:space="preserve"> und der </w:t>
      </w:r>
      <w:r w:rsidRPr="00233EE5">
        <w:rPr>
          <w:rFonts w:ascii="Times New Roman" w:hAnsi="Times New Roman"/>
          <w:b/>
          <w:spacing w:val="-2"/>
          <w:sz w:val="20"/>
        </w:rPr>
        <w:t xml:space="preserve">Rechtsfolgen der Tat </w:t>
      </w:r>
      <w:r w:rsidRPr="00233EE5">
        <w:rPr>
          <w:rFonts w:ascii="Times New Roman" w:hAnsi="Times New Roman"/>
          <w:spacing w:val="-2"/>
          <w:sz w:val="20"/>
        </w:rPr>
        <w:t xml:space="preserve">betreffen (Bsp.: Wo war der Beschuldigte zur Tatzeit?). Es gilt eine Bindung an die gesetzlich zugelassenen Beweismittel: Zeugen, Sachverständige, Urkunden, Augenschein und Einlassung des Angeklagten. Da weitere Beweismittel in der StPO nicht vorgesehen sind, spricht man vom </w:t>
      </w:r>
      <w:proofErr w:type="spellStart"/>
      <w:r w:rsidRPr="00233EE5">
        <w:rPr>
          <w:rFonts w:ascii="Times New Roman" w:hAnsi="Times New Roman"/>
          <w:spacing w:val="-2"/>
          <w:sz w:val="20"/>
        </w:rPr>
        <w:t>numerus</w:t>
      </w:r>
      <w:proofErr w:type="spellEnd"/>
      <w:r w:rsidRPr="00233EE5">
        <w:rPr>
          <w:rFonts w:ascii="Times New Roman" w:hAnsi="Times New Roman"/>
          <w:spacing w:val="-2"/>
          <w:sz w:val="20"/>
        </w:rPr>
        <w:t xml:space="preserve"> clausus der Beweismittel.</w:t>
      </w:r>
    </w:p>
    <w:p w14:paraId="5700FE4D" w14:textId="7F0D5D4F" w:rsidR="00D5221F" w:rsidRPr="00233EE5" w:rsidRDefault="00D5221F" w:rsidP="00D5221F">
      <w:pPr>
        <w:widowControl/>
        <w:tabs>
          <w:tab w:val="left" w:pos="-720"/>
          <w:tab w:val="left" w:pos="567"/>
          <w:tab w:val="left" w:pos="864"/>
          <w:tab w:val="left" w:pos="1116"/>
          <w:tab w:val="left" w:pos="1404"/>
          <w:tab w:val="left" w:pos="1692"/>
          <w:tab w:val="left" w:pos="1980"/>
          <w:tab w:val="left" w:pos="2268"/>
          <w:tab w:val="left" w:pos="2880"/>
        </w:tabs>
        <w:ind w:left="567" w:hanging="284"/>
        <w:jc w:val="both"/>
        <w:rPr>
          <w:rFonts w:ascii="Times New Roman" w:hAnsi="Times New Roman"/>
          <w:spacing w:val="-2"/>
          <w:sz w:val="20"/>
        </w:rPr>
      </w:pPr>
      <w:r w:rsidRPr="00233EE5">
        <w:rPr>
          <w:rFonts w:ascii="Times New Roman" w:hAnsi="Times New Roman"/>
          <w:spacing w:val="-2"/>
          <w:sz w:val="20"/>
          <w:u w:val="single"/>
        </w:rPr>
        <w:t>2.</w:t>
      </w:r>
      <w:r w:rsidRPr="00233EE5">
        <w:rPr>
          <w:rFonts w:ascii="Times New Roman" w:hAnsi="Times New Roman"/>
          <w:spacing w:val="-2"/>
          <w:sz w:val="20"/>
          <w:u w:val="single"/>
        </w:rPr>
        <w:tab/>
        <w:t>Im Freibeweisverfahren</w:t>
      </w:r>
      <w:r w:rsidRPr="00233EE5">
        <w:rPr>
          <w:rFonts w:ascii="Times New Roman" w:hAnsi="Times New Roman"/>
          <w:spacing w:val="-2"/>
          <w:sz w:val="20"/>
        </w:rPr>
        <w:t xml:space="preserve"> gilt keine Bindung an diese Beweismittel, der Beweis kann also auf jede beliebige Art und Weise geführt werden. Es kommt zur Anwendung bei allen anderen Beweiserhebungen, insb</w:t>
      </w:r>
      <w:r w:rsidR="009951A9">
        <w:rPr>
          <w:rFonts w:ascii="Times New Roman" w:hAnsi="Times New Roman"/>
          <w:spacing w:val="-2"/>
          <w:sz w:val="20"/>
        </w:rPr>
        <w:t>.</w:t>
      </w:r>
      <w:r w:rsidRPr="00233EE5">
        <w:rPr>
          <w:rFonts w:ascii="Times New Roman" w:hAnsi="Times New Roman"/>
          <w:spacing w:val="-2"/>
          <w:sz w:val="20"/>
        </w:rPr>
        <w:t xml:space="preserve"> bei </w:t>
      </w:r>
      <w:r w:rsidRPr="00233EE5">
        <w:rPr>
          <w:rFonts w:ascii="Times New Roman" w:hAnsi="Times New Roman"/>
          <w:b/>
          <w:spacing w:val="-2"/>
          <w:sz w:val="20"/>
        </w:rPr>
        <w:t>prozessualen Fragen</w:t>
      </w:r>
      <w:r w:rsidRPr="00233EE5">
        <w:rPr>
          <w:rFonts w:ascii="Times New Roman" w:hAnsi="Times New Roman"/>
          <w:spacing w:val="-2"/>
          <w:sz w:val="20"/>
        </w:rPr>
        <w:t xml:space="preserve"> (Bsp.: Wurde der Beschuldigte vor seiner Vernehmung ausreichend belehrt?) sowie Fragen der Schuld und der Rechtsfolgen der Tat </w:t>
      </w:r>
      <w:r w:rsidRPr="00233EE5">
        <w:rPr>
          <w:rFonts w:ascii="Times New Roman" w:hAnsi="Times New Roman"/>
          <w:b/>
          <w:spacing w:val="-2"/>
          <w:sz w:val="20"/>
        </w:rPr>
        <w:t>außerhalb der Hauptverhandlung</w:t>
      </w:r>
      <w:r w:rsidRPr="00233EE5">
        <w:rPr>
          <w:rFonts w:ascii="Times New Roman" w:hAnsi="Times New Roman"/>
          <w:spacing w:val="-2"/>
          <w:sz w:val="20"/>
        </w:rPr>
        <w:t>. Zum Beweisantrag und der Ablehnung desselben vgl. Arbeitsblatt Nr.</w:t>
      </w:r>
      <w:r w:rsidR="009951A9">
        <w:rPr>
          <w:rFonts w:ascii="Times New Roman" w:hAnsi="Times New Roman"/>
          <w:spacing w:val="-2"/>
          <w:sz w:val="20"/>
        </w:rPr>
        <w:t> </w:t>
      </w:r>
      <w:r w:rsidRPr="00233EE5">
        <w:rPr>
          <w:rFonts w:ascii="Times New Roman" w:hAnsi="Times New Roman"/>
          <w:spacing w:val="-2"/>
          <w:sz w:val="20"/>
        </w:rPr>
        <w:t>37.</w:t>
      </w:r>
    </w:p>
    <w:p w14:paraId="5C28B041" w14:textId="79F16C9C" w:rsidR="00D5221F" w:rsidRPr="00233EE5" w:rsidRDefault="00D5221F" w:rsidP="00D5221F">
      <w:pPr>
        <w:widowControl/>
        <w:tabs>
          <w:tab w:val="left" w:pos="-720"/>
          <w:tab w:val="left" w:pos="0"/>
          <w:tab w:val="left" w:pos="284"/>
          <w:tab w:val="left" w:pos="864"/>
          <w:tab w:val="left" w:pos="1116"/>
          <w:tab w:val="left" w:pos="1404"/>
          <w:tab w:val="left" w:pos="1692"/>
          <w:tab w:val="left" w:pos="1980"/>
          <w:tab w:val="left" w:pos="2268"/>
          <w:tab w:val="left" w:pos="2880"/>
        </w:tabs>
        <w:spacing w:before="120"/>
        <w:ind w:left="284" w:hanging="284"/>
        <w:jc w:val="both"/>
        <w:rPr>
          <w:rFonts w:ascii="Times New Roman" w:hAnsi="Times New Roman"/>
          <w:b/>
          <w:spacing w:val="-2"/>
          <w:sz w:val="20"/>
        </w:rPr>
      </w:pPr>
      <w:r w:rsidRPr="00233EE5">
        <w:rPr>
          <w:rFonts w:ascii="Times New Roman" w:hAnsi="Times New Roman"/>
          <w:b/>
          <w:spacing w:val="-2"/>
          <w:sz w:val="20"/>
        </w:rPr>
        <w:t xml:space="preserve">II. </w:t>
      </w:r>
      <w:r w:rsidR="00CE2030">
        <w:rPr>
          <w:rFonts w:ascii="Times New Roman" w:hAnsi="Times New Roman"/>
          <w:b/>
          <w:spacing w:val="-2"/>
          <w:sz w:val="20"/>
        </w:rPr>
        <w:tab/>
      </w:r>
      <w:r w:rsidRPr="00233EE5">
        <w:rPr>
          <w:rFonts w:ascii="Times New Roman" w:hAnsi="Times New Roman"/>
          <w:b/>
          <w:spacing w:val="-2"/>
          <w:sz w:val="20"/>
        </w:rPr>
        <w:t>Die einzelnen Beweismittel:</w:t>
      </w:r>
    </w:p>
    <w:p w14:paraId="1FFE971D" w14:textId="4F90EF2D" w:rsidR="00D5221F" w:rsidRPr="00233EE5" w:rsidRDefault="00D5221F" w:rsidP="00D5221F">
      <w:pPr>
        <w:widowControl/>
        <w:tabs>
          <w:tab w:val="left" w:pos="-72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20"/>
        </w:rPr>
      </w:pPr>
      <w:r w:rsidRPr="00233EE5">
        <w:rPr>
          <w:rFonts w:ascii="Times New Roman" w:hAnsi="Times New Roman"/>
          <w:spacing w:val="-2"/>
          <w:sz w:val="20"/>
          <w:u w:val="single"/>
        </w:rPr>
        <w:t xml:space="preserve">1. </w:t>
      </w:r>
      <w:r w:rsidRPr="00233EE5">
        <w:rPr>
          <w:rFonts w:ascii="Times New Roman" w:hAnsi="Times New Roman"/>
          <w:spacing w:val="-2"/>
          <w:sz w:val="20"/>
          <w:u w:val="single"/>
        </w:rPr>
        <w:tab/>
        <w:t>Zeugen:</w:t>
      </w:r>
      <w:r w:rsidRPr="00233EE5">
        <w:rPr>
          <w:rFonts w:ascii="Times New Roman" w:hAnsi="Times New Roman"/>
          <w:spacing w:val="-2"/>
          <w:sz w:val="20"/>
        </w:rPr>
        <w:t xml:space="preserve"> Vorschriften hinsichtlich der Zeugen finden sich insbesondere in den </w:t>
      </w:r>
      <w:r w:rsidRPr="00233EE5">
        <w:rPr>
          <w:rFonts w:ascii="Times New Roman" w:hAnsi="Times New Roman"/>
          <w:b/>
          <w:spacing w:val="-2"/>
          <w:sz w:val="20"/>
        </w:rPr>
        <w:t>§§ 48 ff. StPO</w:t>
      </w:r>
      <w:r w:rsidRPr="00233EE5">
        <w:rPr>
          <w:rFonts w:ascii="Times New Roman" w:hAnsi="Times New Roman"/>
          <w:spacing w:val="-2"/>
          <w:sz w:val="20"/>
        </w:rPr>
        <w:t xml:space="preserve">. Als Zeuge kommt jede natürliche Person in Betracht, die in einer </w:t>
      </w:r>
      <w:r w:rsidRPr="00233EE5">
        <w:rPr>
          <w:rFonts w:ascii="Times New Roman" w:hAnsi="Times New Roman"/>
          <w:b/>
          <w:spacing w:val="-2"/>
          <w:sz w:val="20"/>
        </w:rPr>
        <w:t xml:space="preserve">nicht gegen </w:t>
      </w:r>
      <w:r w:rsidR="00213350" w:rsidRPr="00233EE5">
        <w:rPr>
          <w:rFonts w:ascii="Times New Roman" w:hAnsi="Times New Roman"/>
          <w:b/>
          <w:spacing w:val="-2"/>
          <w:sz w:val="20"/>
        </w:rPr>
        <w:t xml:space="preserve">sie </w:t>
      </w:r>
      <w:r w:rsidRPr="00233EE5">
        <w:rPr>
          <w:rFonts w:ascii="Times New Roman" w:hAnsi="Times New Roman"/>
          <w:b/>
          <w:spacing w:val="-2"/>
          <w:sz w:val="20"/>
        </w:rPr>
        <w:t>selbst gerichteten Strafsache</w:t>
      </w:r>
      <w:r w:rsidRPr="00233EE5">
        <w:rPr>
          <w:rFonts w:ascii="Times New Roman" w:hAnsi="Times New Roman"/>
          <w:spacing w:val="-2"/>
          <w:sz w:val="20"/>
        </w:rPr>
        <w:t xml:space="preserve"> </w:t>
      </w:r>
      <w:r w:rsidR="00213350" w:rsidRPr="00233EE5">
        <w:rPr>
          <w:rFonts w:ascii="Times New Roman" w:hAnsi="Times New Roman"/>
          <w:spacing w:val="-2"/>
          <w:sz w:val="20"/>
        </w:rPr>
        <w:t xml:space="preserve">ihre </w:t>
      </w:r>
      <w:r w:rsidRPr="00233EE5">
        <w:rPr>
          <w:rFonts w:ascii="Times New Roman" w:hAnsi="Times New Roman"/>
          <w:spacing w:val="-2"/>
          <w:sz w:val="20"/>
        </w:rPr>
        <w:t xml:space="preserve">Wahrnehmung über Tatsachen bekunden soll. Nach der </w:t>
      </w:r>
      <w:proofErr w:type="spellStart"/>
      <w:r w:rsidRPr="00233EE5">
        <w:rPr>
          <w:rFonts w:ascii="Times New Roman" w:hAnsi="Times New Roman"/>
          <w:spacing w:val="-2"/>
          <w:sz w:val="20"/>
        </w:rPr>
        <w:t>Rspr</w:t>
      </w:r>
      <w:proofErr w:type="spellEnd"/>
      <w:r w:rsidRPr="00233EE5">
        <w:rPr>
          <w:rFonts w:ascii="Times New Roman" w:hAnsi="Times New Roman"/>
          <w:spacing w:val="-2"/>
          <w:sz w:val="20"/>
        </w:rPr>
        <w:t xml:space="preserve">. können Mitbeschuldigte dann Zeugen sein, wenn das Verfahren </w:t>
      </w:r>
      <w:r w:rsidRPr="00233EE5">
        <w:rPr>
          <w:rFonts w:ascii="Times New Roman" w:hAnsi="Times New Roman"/>
          <w:b/>
          <w:spacing w:val="-2"/>
          <w:sz w:val="20"/>
        </w:rPr>
        <w:t>getrennt</w:t>
      </w:r>
      <w:r w:rsidRPr="00233EE5">
        <w:rPr>
          <w:rFonts w:ascii="Times New Roman" w:hAnsi="Times New Roman"/>
          <w:spacing w:val="-2"/>
          <w:sz w:val="20"/>
        </w:rPr>
        <w:t xml:space="preserve"> wird (</w:t>
      </w:r>
      <w:proofErr w:type="spellStart"/>
      <w:r w:rsidRPr="00233EE5">
        <w:rPr>
          <w:rFonts w:ascii="Times New Roman" w:hAnsi="Times New Roman"/>
          <w:spacing w:val="-2"/>
          <w:sz w:val="20"/>
        </w:rPr>
        <w:t>str.</w:t>
      </w:r>
      <w:proofErr w:type="spellEnd"/>
      <w:r w:rsidRPr="00233EE5">
        <w:rPr>
          <w:rFonts w:ascii="Times New Roman" w:hAnsi="Times New Roman"/>
          <w:spacing w:val="-2"/>
          <w:sz w:val="20"/>
        </w:rPr>
        <w:t xml:space="preserve">). Zeugen haben drei Grundpflichten: Sie müssen </w:t>
      </w:r>
      <w:proofErr w:type="spellStart"/>
      <w:r w:rsidRPr="00233EE5">
        <w:rPr>
          <w:rFonts w:ascii="Times New Roman" w:hAnsi="Times New Roman"/>
          <w:spacing w:val="-2"/>
          <w:sz w:val="20"/>
        </w:rPr>
        <w:t>grds</w:t>
      </w:r>
      <w:proofErr w:type="spellEnd"/>
      <w:r w:rsidRPr="00233EE5">
        <w:rPr>
          <w:rFonts w:ascii="Times New Roman" w:hAnsi="Times New Roman"/>
          <w:spacing w:val="-2"/>
          <w:sz w:val="20"/>
        </w:rPr>
        <w:t xml:space="preserve">. erscheinen, aussagen und, wenn gefordert, ihre Aussage auch beeiden. Die </w:t>
      </w:r>
      <w:r w:rsidRPr="00233EE5">
        <w:rPr>
          <w:rFonts w:ascii="Times New Roman" w:hAnsi="Times New Roman"/>
          <w:b/>
          <w:spacing w:val="-2"/>
          <w:sz w:val="20"/>
        </w:rPr>
        <w:t>§§ 52 ff. StPO</w:t>
      </w:r>
      <w:r w:rsidRPr="00233EE5">
        <w:rPr>
          <w:rFonts w:ascii="Times New Roman" w:hAnsi="Times New Roman"/>
          <w:spacing w:val="-2"/>
          <w:sz w:val="20"/>
        </w:rPr>
        <w:t xml:space="preserve"> regeln </w:t>
      </w:r>
      <w:r w:rsidR="00A939DE">
        <w:rPr>
          <w:rFonts w:ascii="Times New Roman" w:hAnsi="Times New Roman"/>
          <w:spacing w:val="-2"/>
          <w:sz w:val="20"/>
        </w:rPr>
        <w:t xml:space="preserve">die </w:t>
      </w:r>
      <w:r w:rsidRPr="00233EE5">
        <w:rPr>
          <w:rFonts w:ascii="Times New Roman" w:hAnsi="Times New Roman"/>
          <w:spacing w:val="-2"/>
          <w:sz w:val="20"/>
        </w:rPr>
        <w:t>Zeugnisverweigerungsrechte (siehe dazu Arbeitsblatt Nr. 25). Ein solches Recht, nicht aussagen zu müssen, steht insb</w:t>
      </w:r>
      <w:r w:rsidR="00AE4166">
        <w:rPr>
          <w:rFonts w:ascii="Times New Roman" w:hAnsi="Times New Roman"/>
          <w:spacing w:val="-2"/>
          <w:sz w:val="20"/>
        </w:rPr>
        <w:t>.</w:t>
      </w:r>
      <w:r w:rsidRPr="00233EE5">
        <w:rPr>
          <w:rFonts w:ascii="Times New Roman" w:hAnsi="Times New Roman"/>
          <w:spacing w:val="-2"/>
          <w:sz w:val="20"/>
        </w:rPr>
        <w:t xml:space="preserve"> den Verlobten, Ehegatten oder Lebenspartnern und Verwandten des Beschuldigten sowie den Berufsgeheimnisträgern zu. Davon zu unterscheiden ist das jedermann betreffende Recht eines Zeugen zur Verweigerung der Aussage bzgl. solcher Fragen, deren Beantwortung den Zeugen selbst oder einen Angehörigen belasten würde, § 55 StPO. Auch </w:t>
      </w:r>
      <w:proofErr w:type="spellStart"/>
      <w:r w:rsidRPr="00233EE5">
        <w:rPr>
          <w:rFonts w:ascii="Times New Roman" w:hAnsi="Times New Roman"/>
          <w:spacing w:val="-2"/>
          <w:sz w:val="20"/>
        </w:rPr>
        <w:t>Verhörspersonen</w:t>
      </w:r>
      <w:proofErr w:type="spellEnd"/>
      <w:r w:rsidRPr="00233EE5">
        <w:rPr>
          <w:rFonts w:ascii="Times New Roman" w:hAnsi="Times New Roman"/>
          <w:spacing w:val="-2"/>
          <w:sz w:val="20"/>
        </w:rPr>
        <w:t xml:space="preserve"> können Zeugen sein, wenn sie über den Inhalt der Vernehmung berichten sollen (sog. „Zeugen vom Hörensagen“; siehe dazu auch Arbeitsblatt Nr.</w:t>
      </w:r>
      <w:r w:rsidR="00AE4166">
        <w:rPr>
          <w:rFonts w:ascii="Times New Roman" w:hAnsi="Times New Roman"/>
          <w:spacing w:val="-2"/>
          <w:sz w:val="20"/>
        </w:rPr>
        <w:t> </w:t>
      </w:r>
      <w:r w:rsidRPr="00233EE5">
        <w:rPr>
          <w:rFonts w:ascii="Times New Roman" w:hAnsi="Times New Roman"/>
          <w:spacing w:val="-2"/>
          <w:sz w:val="20"/>
        </w:rPr>
        <w:t>38).</w:t>
      </w:r>
    </w:p>
    <w:p w14:paraId="04F803CA" w14:textId="06347754" w:rsidR="00D5221F" w:rsidRPr="00233EE5" w:rsidRDefault="00D5221F" w:rsidP="00D5221F">
      <w:pPr>
        <w:widowControl/>
        <w:tabs>
          <w:tab w:val="left" w:pos="-72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20"/>
        </w:rPr>
      </w:pPr>
      <w:r w:rsidRPr="00233EE5">
        <w:rPr>
          <w:rFonts w:ascii="Times New Roman" w:hAnsi="Times New Roman"/>
          <w:spacing w:val="-2"/>
          <w:sz w:val="20"/>
          <w:u w:val="single"/>
        </w:rPr>
        <w:t xml:space="preserve">2. </w:t>
      </w:r>
      <w:r w:rsidRPr="00233EE5">
        <w:rPr>
          <w:rFonts w:ascii="Times New Roman" w:hAnsi="Times New Roman"/>
          <w:spacing w:val="-2"/>
          <w:sz w:val="20"/>
          <w:u w:val="single"/>
        </w:rPr>
        <w:tab/>
        <w:t>Sachverständige:</w:t>
      </w:r>
      <w:r w:rsidRPr="00233EE5">
        <w:rPr>
          <w:rFonts w:ascii="Times New Roman" w:hAnsi="Times New Roman"/>
          <w:spacing w:val="-2"/>
          <w:sz w:val="20"/>
        </w:rPr>
        <w:t xml:space="preserve"> Vorschriften hinsichtlich der Sachverständigen finden sich insb</w:t>
      </w:r>
      <w:r w:rsidR="00AE4166">
        <w:rPr>
          <w:rFonts w:ascii="Times New Roman" w:hAnsi="Times New Roman"/>
          <w:spacing w:val="-2"/>
          <w:sz w:val="20"/>
        </w:rPr>
        <w:t>.</w:t>
      </w:r>
      <w:r w:rsidRPr="00233EE5">
        <w:rPr>
          <w:rFonts w:ascii="Times New Roman" w:hAnsi="Times New Roman"/>
          <w:spacing w:val="-2"/>
          <w:sz w:val="20"/>
        </w:rPr>
        <w:t xml:space="preserve"> in den </w:t>
      </w:r>
      <w:r w:rsidRPr="00233EE5">
        <w:rPr>
          <w:rFonts w:ascii="Times New Roman" w:hAnsi="Times New Roman"/>
          <w:b/>
          <w:spacing w:val="-2"/>
          <w:sz w:val="20"/>
        </w:rPr>
        <w:t>§§ 72 ff. StPO</w:t>
      </w:r>
      <w:r w:rsidRPr="00233EE5">
        <w:rPr>
          <w:rFonts w:ascii="Times New Roman" w:hAnsi="Times New Roman"/>
          <w:spacing w:val="-2"/>
          <w:sz w:val="20"/>
        </w:rPr>
        <w:t xml:space="preserve">. Sachverständige werden vom Gericht bestellt. </w:t>
      </w:r>
      <w:r w:rsidR="00A939DE">
        <w:rPr>
          <w:rFonts w:ascii="Times New Roman" w:hAnsi="Times New Roman"/>
          <w:spacing w:val="-2"/>
          <w:sz w:val="20"/>
        </w:rPr>
        <w:t>S</w:t>
      </w:r>
      <w:r w:rsidRPr="00233EE5">
        <w:rPr>
          <w:rFonts w:ascii="Times New Roman" w:hAnsi="Times New Roman"/>
          <w:spacing w:val="-2"/>
          <w:sz w:val="20"/>
        </w:rPr>
        <w:t xml:space="preserve">ie haben </w:t>
      </w:r>
      <w:proofErr w:type="spellStart"/>
      <w:r w:rsidRPr="00233EE5">
        <w:rPr>
          <w:rFonts w:ascii="Times New Roman" w:hAnsi="Times New Roman"/>
          <w:spacing w:val="-2"/>
          <w:sz w:val="20"/>
        </w:rPr>
        <w:t>grds</w:t>
      </w:r>
      <w:proofErr w:type="spellEnd"/>
      <w:r w:rsidRPr="00233EE5">
        <w:rPr>
          <w:rFonts w:ascii="Times New Roman" w:hAnsi="Times New Roman"/>
          <w:spacing w:val="-2"/>
          <w:sz w:val="20"/>
        </w:rPr>
        <w:t>. die Pflicht, ein Gutachten zu erstellen. § 76 </w:t>
      </w:r>
      <w:r w:rsidR="00AE4166">
        <w:rPr>
          <w:rFonts w:ascii="Times New Roman" w:hAnsi="Times New Roman"/>
          <w:spacing w:val="-2"/>
          <w:sz w:val="20"/>
        </w:rPr>
        <w:t xml:space="preserve">I 1 </w:t>
      </w:r>
      <w:r w:rsidRPr="00233EE5">
        <w:rPr>
          <w:rFonts w:ascii="Times New Roman" w:hAnsi="Times New Roman"/>
          <w:spacing w:val="-2"/>
          <w:sz w:val="20"/>
        </w:rPr>
        <w:t>StPO verweist bzgl. der Gutachtenverweigerungsrechte auf die Zeugnisverweigerungsrechte gemäß den §§ 52 ff. StPO.</w:t>
      </w:r>
    </w:p>
    <w:p w14:paraId="39B5FE1A" w14:textId="17CB9463" w:rsidR="00D5221F" w:rsidRPr="00233EE5" w:rsidRDefault="00D5221F" w:rsidP="00D5221F">
      <w:pPr>
        <w:widowControl/>
        <w:tabs>
          <w:tab w:val="left" w:pos="-72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20"/>
        </w:rPr>
      </w:pPr>
      <w:r w:rsidRPr="00233EE5">
        <w:rPr>
          <w:rFonts w:ascii="Times New Roman" w:hAnsi="Times New Roman"/>
          <w:spacing w:val="-2"/>
          <w:sz w:val="20"/>
          <w:u w:val="single"/>
        </w:rPr>
        <w:t xml:space="preserve">3. </w:t>
      </w:r>
      <w:r w:rsidRPr="00233EE5">
        <w:rPr>
          <w:rFonts w:ascii="Times New Roman" w:hAnsi="Times New Roman"/>
          <w:spacing w:val="-2"/>
          <w:sz w:val="20"/>
          <w:u w:val="single"/>
        </w:rPr>
        <w:tab/>
      </w:r>
      <w:proofErr w:type="spellStart"/>
      <w:r w:rsidRPr="00233EE5">
        <w:rPr>
          <w:rFonts w:ascii="Times New Roman" w:hAnsi="Times New Roman"/>
          <w:spacing w:val="-2"/>
          <w:sz w:val="20"/>
          <w:u w:val="single"/>
        </w:rPr>
        <w:t>Urkundsbeweis</w:t>
      </w:r>
      <w:proofErr w:type="spellEnd"/>
      <w:r w:rsidRPr="00233EE5">
        <w:rPr>
          <w:rFonts w:ascii="Times New Roman" w:hAnsi="Times New Roman"/>
          <w:spacing w:val="-2"/>
          <w:sz w:val="20"/>
          <w:u w:val="single"/>
        </w:rPr>
        <w:t>:</w:t>
      </w:r>
      <w:r w:rsidRPr="00233EE5">
        <w:rPr>
          <w:rFonts w:ascii="Times New Roman" w:hAnsi="Times New Roman"/>
          <w:spacing w:val="-2"/>
          <w:sz w:val="20"/>
        </w:rPr>
        <w:t xml:space="preserve"> Der StPO-Begriff der Urkunde ist nicht identisch mit dem </w:t>
      </w:r>
      <w:r w:rsidR="0044049D">
        <w:rPr>
          <w:rFonts w:ascii="Times New Roman" w:hAnsi="Times New Roman"/>
          <w:spacing w:val="-2"/>
          <w:sz w:val="20"/>
        </w:rPr>
        <w:t xml:space="preserve">des </w:t>
      </w:r>
      <w:r w:rsidRPr="00233EE5">
        <w:rPr>
          <w:rFonts w:ascii="Times New Roman" w:hAnsi="Times New Roman"/>
          <w:spacing w:val="-2"/>
          <w:sz w:val="20"/>
        </w:rPr>
        <w:t>materiellen Recht</w:t>
      </w:r>
      <w:r w:rsidR="0044049D">
        <w:rPr>
          <w:rFonts w:ascii="Times New Roman" w:hAnsi="Times New Roman"/>
          <w:spacing w:val="-2"/>
          <w:sz w:val="20"/>
        </w:rPr>
        <w:t>s</w:t>
      </w:r>
      <w:r w:rsidR="00C6173E">
        <w:rPr>
          <w:rFonts w:ascii="Times New Roman" w:hAnsi="Times New Roman"/>
          <w:spacing w:val="-2"/>
          <w:sz w:val="20"/>
        </w:rPr>
        <w:t xml:space="preserve"> </w:t>
      </w:r>
      <w:proofErr w:type="spellStart"/>
      <w:r w:rsidR="00C6173E">
        <w:rPr>
          <w:rFonts w:ascii="Times New Roman" w:hAnsi="Times New Roman"/>
          <w:spacing w:val="-2"/>
          <w:sz w:val="20"/>
        </w:rPr>
        <w:t>i</w:t>
      </w:r>
      <w:r w:rsidR="00AE4166">
        <w:rPr>
          <w:rFonts w:ascii="Times New Roman" w:hAnsi="Times New Roman"/>
          <w:spacing w:val="-2"/>
          <w:sz w:val="20"/>
        </w:rPr>
        <w:t>.</w:t>
      </w:r>
      <w:r w:rsidR="00C6173E">
        <w:rPr>
          <w:rFonts w:ascii="Times New Roman" w:hAnsi="Times New Roman"/>
          <w:spacing w:val="-2"/>
          <w:sz w:val="20"/>
        </w:rPr>
        <w:t>S</w:t>
      </w:r>
      <w:r w:rsidR="00AE4166">
        <w:rPr>
          <w:rFonts w:ascii="Times New Roman" w:hAnsi="Times New Roman"/>
          <w:spacing w:val="-2"/>
          <w:sz w:val="20"/>
        </w:rPr>
        <w:t>.</w:t>
      </w:r>
      <w:r w:rsidR="00917A0D">
        <w:rPr>
          <w:rFonts w:ascii="Times New Roman" w:hAnsi="Times New Roman"/>
          <w:spacing w:val="-2"/>
          <w:sz w:val="20"/>
        </w:rPr>
        <w:t>d</w:t>
      </w:r>
      <w:proofErr w:type="spellEnd"/>
      <w:r w:rsidR="00917A0D">
        <w:rPr>
          <w:rFonts w:ascii="Times New Roman" w:hAnsi="Times New Roman"/>
          <w:spacing w:val="-2"/>
          <w:sz w:val="20"/>
        </w:rPr>
        <w:t>.</w:t>
      </w:r>
      <w:r w:rsidR="00C6173E">
        <w:rPr>
          <w:rFonts w:ascii="Times New Roman" w:hAnsi="Times New Roman"/>
          <w:spacing w:val="-2"/>
          <w:sz w:val="20"/>
        </w:rPr>
        <w:t xml:space="preserve"> §§ 267 ff. StGB</w:t>
      </w:r>
      <w:r w:rsidRPr="00233EE5">
        <w:rPr>
          <w:rFonts w:ascii="Times New Roman" w:hAnsi="Times New Roman"/>
          <w:spacing w:val="-2"/>
          <w:sz w:val="20"/>
        </w:rPr>
        <w:t xml:space="preserve">. Urkunden im strafprozessualen Sinn sind </w:t>
      </w:r>
      <w:r w:rsidR="0044049D">
        <w:rPr>
          <w:rFonts w:ascii="Times New Roman" w:hAnsi="Times New Roman"/>
          <w:spacing w:val="-2"/>
          <w:sz w:val="20"/>
        </w:rPr>
        <w:t>alle</w:t>
      </w:r>
      <w:r w:rsidR="0044049D" w:rsidRPr="00233EE5">
        <w:rPr>
          <w:rFonts w:ascii="Times New Roman" w:hAnsi="Times New Roman"/>
          <w:spacing w:val="-2"/>
          <w:sz w:val="20"/>
        </w:rPr>
        <w:t xml:space="preserve"> </w:t>
      </w:r>
      <w:r w:rsidRPr="00233EE5">
        <w:rPr>
          <w:rFonts w:ascii="Times New Roman" w:hAnsi="Times New Roman"/>
          <w:spacing w:val="-2"/>
          <w:sz w:val="20"/>
        </w:rPr>
        <w:t xml:space="preserve">Schriftstücke mit einem </w:t>
      </w:r>
      <w:proofErr w:type="spellStart"/>
      <w:r w:rsidRPr="00233EE5">
        <w:rPr>
          <w:rFonts w:ascii="Times New Roman" w:hAnsi="Times New Roman"/>
          <w:b/>
          <w:spacing w:val="-2"/>
          <w:sz w:val="20"/>
        </w:rPr>
        <w:t>verlesbaren</w:t>
      </w:r>
      <w:proofErr w:type="spellEnd"/>
      <w:r w:rsidRPr="00233EE5">
        <w:rPr>
          <w:rFonts w:ascii="Times New Roman" w:hAnsi="Times New Roman"/>
          <w:spacing w:val="-2"/>
          <w:sz w:val="20"/>
        </w:rPr>
        <w:t xml:space="preserve"> Gedankeninhalt. Vorschriften hinsichtlich des </w:t>
      </w:r>
      <w:proofErr w:type="spellStart"/>
      <w:r w:rsidRPr="00233EE5">
        <w:rPr>
          <w:rFonts w:ascii="Times New Roman" w:hAnsi="Times New Roman"/>
          <w:spacing w:val="-2"/>
          <w:sz w:val="20"/>
        </w:rPr>
        <w:t>Urkundsbeweises</w:t>
      </w:r>
      <w:proofErr w:type="spellEnd"/>
      <w:r w:rsidRPr="00233EE5">
        <w:rPr>
          <w:rFonts w:ascii="Times New Roman" w:hAnsi="Times New Roman"/>
          <w:spacing w:val="-2"/>
          <w:sz w:val="20"/>
        </w:rPr>
        <w:t xml:space="preserve"> finden sich insb</w:t>
      </w:r>
      <w:r w:rsidR="00AE4166">
        <w:rPr>
          <w:rFonts w:ascii="Times New Roman" w:hAnsi="Times New Roman"/>
          <w:spacing w:val="-2"/>
          <w:sz w:val="20"/>
        </w:rPr>
        <w:t>.</w:t>
      </w:r>
      <w:r w:rsidRPr="00233EE5">
        <w:rPr>
          <w:rFonts w:ascii="Times New Roman" w:hAnsi="Times New Roman"/>
          <w:spacing w:val="-2"/>
          <w:sz w:val="20"/>
        </w:rPr>
        <w:t xml:space="preserve"> in den </w:t>
      </w:r>
      <w:r w:rsidRPr="00233EE5">
        <w:rPr>
          <w:rFonts w:ascii="Times New Roman" w:hAnsi="Times New Roman"/>
          <w:b/>
          <w:spacing w:val="-2"/>
          <w:sz w:val="20"/>
        </w:rPr>
        <w:t>§§ 249 ff. StPO</w:t>
      </w:r>
      <w:r w:rsidRPr="00233EE5">
        <w:rPr>
          <w:rFonts w:ascii="Times New Roman" w:hAnsi="Times New Roman"/>
          <w:spacing w:val="-2"/>
          <w:sz w:val="20"/>
        </w:rPr>
        <w:t xml:space="preserve">. Der </w:t>
      </w:r>
      <w:proofErr w:type="spellStart"/>
      <w:r w:rsidRPr="00233EE5">
        <w:rPr>
          <w:rFonts w:ascii="Times New Roman" w:hAnsi="Times New Roman"/>
          <w:spacing w:val="-2"/>
          <w:sz w:val="20"/>
        </w:rPr>
        <w:t>Urkundsbeweis</w:t>
      </w:r>
      <w:proofErr w:type="spellEnd"/>
      <w:r w:rsidRPr="00233EE5">
        <w:rPr>
          <w:rFonts w:ascii="Times New Roman" w:hAnsi="Times New Roman"/>
          <w:spacing w:val="-2"/>
          <w:sz w:val="20"/>
        </w:rPr>
        <w:t xml:space="preserve"> ist stets zulässig, soweit er nicht gesetzlich untersagt ist. Hierbei ist </w:t>
      </w:r>
      <w:r w:rsidR="00AE4166">
        <w:rPr>
          <w:rFonts w:ascii="Times New Roman" w:hAnsi="Times New Roman"/>
          <w:spacing w:val="-2"/>
          <w:sz w:val="20"/>
        </w:rPr>
        <w:t>v.a.</w:t>
      </w:r>
      <w:r w:rsidRPr="00233EE5">
        <w:rPr>
          <w:rFonts w:ascii="Times New Roman" w:hAnsi="Times New Roman"/>
          <w:spacing w:val="-2"/>
          <w:sz w:val="20"/>
        </w:rPr>
        <w:t xml:space="preserve"> der aus dem Unmittelbarkeitsgrundsatz folgende </w:t>
      </w:r>
      <w:r w:rsidRPr="00233EE5">
        <w:rPr>
          <w:rFonts w:ascii="Times New Roman" w:hAnsi="Times New Roman"/>
          <w:b/>
          <w:spacing w:val="-2"/>
          <w:sz w:val="20"/>
        </w:rPr>
        <w:t>Vorrang des Personalbeweises</w:t>
      </w:r>
      <w:r w:rsidRPr="00233EE5">
        <w:rPr>
          <w:rFonts w:ascii="Times New Roman" w:hAnsi="Times New Roman"/>
          <w:spacing w:val="-2"/>
          <w:sz w:val="20"/>
        </w:rPr>
        <w:t xml:space="preserve"> zu beachten (vgl. dazu Arbeitsblatt Nr. 38). Der </w:t>
      </w:r>
      <w:proofErr w:type="spellStart"/>
      <w:r w:rsidRPr="00233EE5">
        <w:rPr>
          <w:rFonts w:ascii="Times New Roman" w:hAnsi="Times New Roman"/>
          <w:spacing w:val="-2"/>
          <w:sz w:val="20"/>
        </w:rPr>
        <w:t>Urkundsbeweis</w:t>
      </w:r>
      <w:proofErr w:type="spellEnd"/>
      <w:r w:rsidRPr="00233EE5">
        <w:rPr>
          <w:rFonts w:ascii="Times New Roman" w:hAnsi="Times New Roman"/>
          <w:spacing w:val="-2"/>
          <w:sz w:val="20"/>
        </w:rPr>
        <w:t xml:space="preserve"> ist zudem abzugrenzen vom </w:t>
      </w:r>
      <w:proofErr w:type="spellStart"/>
      <w:r w:rsidRPr="00233EE5">
        <w:rPr>
          <w:rFonts w:ascii="Times New Roman" w:hAnsi="Times New Roman"/>
          <w:spacing w:val="-2"/>
          <w:sz w:val="20"/>
        </w:rPr>
        <w:t>Augenscheinsbeweis</w:t>
      </w:r>
      <w:proofErr w:type="spellEnd"/>
      <w:r w:rsidRPr="00233EE5">
        <w:rPr>
          <w:rFonts w:ascii="Times New Roman" w:hAnsi="Times New Roman"/>
          <w:spacing w:val="-2"/>
          <w:sz w:val="20"/>
        </w:rPr>
        <w:t xml:space="preserve">. Soll z.B. nicht der Inhalt eines Schriftstückes verlesen, sondern die Schrift verglichen werden, so handelt es sich um einen </w:t>
      </w:r>
      <w:proofErr w:type="spellStart"/>
      <w:r w:rsidRPr="00233EE5">
        <w:rPr>
          <w:rFonts w:ascii="Times New Roman" w:hAnsi="Times New Roman"/>
          <w:spacing w:val="-2"/>
          <w:sz w:val="20"/>
        </w:rPr>
        <w:t>Augenscheinsbeweis</w:t>
      </w:r>
      <w:proofErr w:type="spellEnd"/>
      <w:r w:rsidRPr="00233EE5">
        <w:rPr>
          <w:rFonts w:ascii="Times New Roman" w:hAnsi="Times New Roman"/>
          <w:spacing w:val="-2"/>
          <w:sz w:val="20"/>
        </w:rPr>
        <w:t>.</w:t>
      </w:r>
    </w:p>
    <w:p w14:paraId="15E1FB3F" w14:textId="78086AA9" w:rsidR="00D5221F" w:rsidRPr="00233EE5" w:rsidRDefault="00D5221F" w:rsidP="00D5221F">
      <w:pPr>
        <w:widowControl/>
        <w:tabs>
          <w:tab w:val="left" w:pos="-72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20"/>
        </w:rPr>
      </w:pPr>
      <w:r w:rsidRPr="00233EE5">
        <w:rPr>
          <w:rFonts w:ascii="Times New Roman" w:hAnsi="Times New Roman"/>
          <w:spacing w:val="-2"/>
          <w:sz w:val="20"/>
          <w:u w:val="single"/>
        </w:rPr>
        <w:t xml:space="preserve">4. </w:t>
      </w:r>
      <w:r w:rsidRPr="00233EE5">
        <w:rPr>
          <w:rFonts w:ascii="Times New Roman" w:hAnsi="Times New Roman"/>
          <w:spacing w:val="-2"/>
          <w:sz w:val="20"/>
          <w:u w:val="single"/>
        </w:rPr>
        <w:tab/>
      </w:r>
      <w:proofErr w:type="spellStart"/>
      <w:r w:rsidRPr="00233EE5">
        <w:rPr>
          <w:rFonts w:ascii="Times New Roman" w:hAnsi="Times New Roman"/>
          <w:spacing w:val="-2"/>
          <w:sz w:val="20"/>
          <w:u w:val="single"/>
        </w:rPr>
        <w:t>Augenscheinsbeweis</w:t>
      </w:r>
      <w:proofErr w:type="spellEnd"/>
      <w:r w:rsidRPr="00233EE5">
        <w:rPr>
          <w:rFonts w:ascii="Times New Roman" w:hAnsi="Times New Roman"/>
          <w:spacing w:val="-2"/>
          <w:sz w:val="20"/>
          <w:u w:val="single"/>
        </w:rPr>
        <w:t>:</w:t>
      </w:r>
      <w:r w:rsidRPr="00233EE5">
        <w:rPr>
          <w:rFonts w:ascii="Times New Roman" w:hAnsi="Times New Roman"/>
          <w:spacing w:val="-2"/>
          <w:sz w:val="20"/>
        </w:rPr>
        <w:t xml:space="preserve"> Der Begriff </w:t>
      </w:r>
      <w:proofErr w:type="spellStart"/>
      <w:r w:rsidRPr="00233EE5">
        <w:rPr>
          <w:rFonts w:ascii="Times New Roman" w:hAnsi="Times New Roman"/>
          <w:spacing w:val="-2"/>
          <w:sz w:val="20"/>
        </w:rPr>
        <w:t>Augenscheinsbeweis</w:t>
      </w:r>
      <w:proofErr w:type="spellEnd"/>
      <w:r w:rsidRPr="00233EE5">
        <w:rPr>
          <w:rFonts w:ascii="Times New Roman" w:hAnsi="Times New Roman"/>
          <w:spacing w:val="-2"/>
          <w:sz w:val="20"/>
        </w:rPr>
        <w:t xml:space="preserve"> umschreibt alle sinnlichen Wahrnehmungen. Vorschriften hinsichtlich des </w:t>
      </w:r>
      <w:proofErr w:type="spellStart"/>
      <w:r w:rsidRPr="00233EE5">
        <w:rPr>
          <w:rFonts w:ascii="Times New Roman" w:hAnsi="Times New Roman"/>
          <w:spacing w:val="-2"/>
          <w:sz w:val="20"/>
        </w:rPr>
        <w:t>Augenscheinsbeweises</w:t>
      </w:r>
      <w:proofErr w:type="spellEnd"/>
      <w:r w:rsidRPr="00233EE5">
        <w:rPr>
          <w:rFonts w:ascii="Times New Roman" w:hAnsi="Times New Roman"/>
          <w:spacing w:val="-2"/>
          <w:sz w:val="20"/>
        </w:rPr>
        <w:t xml:space="preserve"> finden sich insb</w:t>
      </w:r>
      <w:r w:rsidR="00AE4166">
        <w:rPr>
          <w:rFonts w:ascii="Times New Roman" w:hAnsi="Times New Roman"/>
          <w:spacing w:val="-2"/>
          <w:sz w:val="20"/>
        </w:rPr>
        <w:t>.</w:t>
      </w:r>
      <w:r w:rsidRPr="00233EE5">
        <w:rPr>
          <w:rFonts w:ascii="Times New Roman" w:hAnsi="Times New Roman"/>
          <w:spacing w:val="-2"/>
          <w:sz w:val="20"/>
        </w:rPr>
        <w:t xml:space="preserve"> in den </w:t>
      </w:r>
      <w:r w:rsidRPr="00233EE5">
        <w:rPr>
          <w:rFonts w:ascii="Times New Roman" w:hAnsi="Times New Roman"/>
          <w:b/>
          <w:spacing w:val="-2"/>
          <w:sz w:val="20"/>
        </w:rPr>
        <w:t>§§ 86 ff. StPO</w:t>
      </w:r>
      <w:r w:rsidRPr="00233EE5">
        <w:rPr>
          <w:rFonts w:ascii="Times New Roman" w:hAnsi="Times New Roman"/>
          <w:spacing w:val="-2"/>
          <w:sz w:val="20"/>
        </w:rPr>
        <w:t xml:space="preserve">. Der Unmittelbarkeitsgrundsatz gilt insoweit nicht, als auch andere Personen eingesetzt werden können. Der </w:t>
      </w:r>
      <w:proofErr w:type="spellStart"/>
      <w:r w:rsidRPr="00233EE5">
        <w:rPr>
          <w:rFonts w:ascii="Times New Roman" w:hAnsi="Times New Roman"/>
          <w:spacing w:val="-2"/>
          <w:sz w:val="20"/>
        </w:rPr>
        <w:t>Augenscheinsbeweis</w:t>
      </w:r>
      <w:proofErr w:type="spellEnd"/>
      <w:r w:rsidRPr="00233EE5">
        <w:rPr>
          <w:rFonts w:ascii="Times New Roman" w:hAnsi="Times New Roman"/>
          <w:spacing w:val="-2"/>
          <w:sz w:val="20"/>
        </w:rPr>
        <w:t xml:space="preserve"> steht im Ermessen des Gerichts und ist in jeder Phase des Verfahrens zulässig.</w:t>
      </w:r>
    </w:p>
    <w:p w14:paraId="07CD2AD8" w14:textId="75F0C748" w:rsidR="005A0DDA" w:rsidRPr="00233EE5" w:rsidRDefault="00D5221F" w:rsidP="00AE4166">
      <w:pPr>
        <w:widowControl/>
        <w:tabs>
          <w:tab w:val="left" w:pos="-72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20"/>
        </w:rPr>
      </w:pPr>
      <w:r w:rsidRPr="00233EE5">
        <w:rPr>
          <w:rFonts w:ascii="Times New Roman" w:hAnsi="Times New Roman"/>
          <w:spacing w:val="-2"/>
          <w:sz w:val="20"/>
          <w:u w:val="single"/>
        </w:rPr>
        <w:t xml:space="preserve">5. </w:t>
      </w:r>
      <w:r w:rsidRPr="00233EE5">
        <w:rPr>
          <w:rFonts w:ascii="Times New Roman" w:hAnsi="Times New Roman"/>
          <w:spacing w:val="-2"/>
          <w:sz w:val="20"/>
          <w:u w:val="single"/>
        </w:rPr>
        <w:tab/>
        <w:t>Einlassung des Angeklagten</w:t>
      </w:r>
      <w:r w:rsidRPr="00233EE5">
        <w:rPr>
          <w:rFonts w:ascii="Times New Roman" w:hAnsi="Times New Roman"/>
          <w:spacing w:val="-2"/>
          <w:sz w:val="20"/>
        </w:rPr>
        <w:t xml:space="preserve">: Die Einlassung des Angeklagten ist </w:t>
      </w:r>
      <w:proofErr w:type="spellStart"/>
      <w:r w:rsidRPr="00233EE5">
        <w:rPr>
          <w:rFonts w:ascii="Times New Roman" w:hAnsi="Times New Roman"/>
          <w:spacing w:val="-2"/>
          <w:sz w:val="20"/>
        </w:rPr>
        <w:t>grds</w:t>
      </w:r>
      <w:proofErr w:type="spellEnd"/>
      <w:r w:rsidRPr="00233EE5">
        <w:rPr>
          <w:rFonts w:ascii="Times New Roman" w:hAnsi="Times New Roman"/>
          <w:spacing w:val="-2"/>
          <w:sz w:val="20"/>
        </w:rPr>
        <w:t xml:space="preserve">. nur ein Beweismittel im weiteren Sinne. Sie </w:t>
      </w:r>
      <w:r w:rsidR="008776B9" w:rsidRPr="00233EE5">
        <w:rPr>
          <w:rFonts w:ascii="Times New Roman" w:hAnsi="Times New Roman"/>
          <w:spacing w:val="-2"/>
          <w:sz w:val="20"/>
        </w:rPr>
        <w:t>ist</w:t>
      </w:r>
      <w:r w:rsidR="00B72161" w:rsidRPr="00233EE5">
        <w:rPr>
          <w:rFonts w:ascii="Times New Roman" w:hAnsi="Times New Roman"/>
          <w:spacing w:val="-2"/>
          <w:sz w:val="20"/>
        </w:rPr>
        <w:t xml:space="preserve"> </w:t>
      </w:r>
      <w:r w:rsidRPr="00233EE5">
        <w:rPr>
          <w:rFonts w:ascii="Times New Roman" w:hAnsi="Times New Roman"/>
          <w:spacing w:val="-2"/>
          <w:sz w:val="20"/>
        </w:rPr>
        <w:t xml:space="preserve">aber im Rahmen der freien richterlichen Beweiswürdigung </w:t>
      </w:r>
      <w:r w:rsidR="008776B9" w:rsidRPr="00233EE5">
        <w:rPr>
          <w:rFonts w:ascii="Times New Roman" w:hAnsi="Times New Roman"/>
          <w:spacing w:val="-2"/>
          <w:sz w:val="20"/>
        </w:rPr>
        <w:t xml:space="preserve">zu </w:t>
      </w:r>
      <w:r w:rsidRPr="00233EE5">
        <w:rPr>
          <w:rFonts w:ascii="Times New Roman" w:hAnsi="Times New Roman"/>
          <w:spacing w:val="-2"/>
          <w:sz w:val="20"/>
        </w:rPr>
        <w:t>berücksichtigen und wird daher gewöhnlich zu den Beweismitteln gezählt.</w:t>
      </w:r>
    </w:p>
    <w:p w14:paraId="64F162DA" w14:textId="77777777" w:rsidR="00ED2E81" w:rsidRDefault="00ED2E81">
      <w:pPr>
        <w:widowControl/>
        <w:tabs>
          <w:tab w:val="left" w:pos="0"/>
          <w:tab w:val="left" w:pos="567"/>
          <w:tab w:val="left" w:pos="864"/>
          <w:tab w:val="left" w:pos="1418"/>
          <w:tab w:val="left" w:pos="1985"/>
          <w:tab w:val="left" w:pos="2127"/>
          <w:tab w:val="left" w:pos="2268"/>
          <w:tab w:val="left" w:pos="2880"/>
        </w:tabs>
        <w:ind w:left="1985" w:hanging="1985"/>
        <w:jc w:val="both"/>
        <w:rPr>
          <w:rFonts w:ascii="Times New Roman" w:hAnsi="Times New Roman"/>
          <w:b/>
          <w:spacing w:val="-2"/>
          <w:sz w:val="18"/>
          <w:szCs w:val="18"/>
        </w:rPr>
      </w:pPr>
    </w:p>
    <w:p w14:paraId="1B6A42DA" w14:textId="311A18F5" w:rsidR="00D5221F" w:rsidRPr="00405941" w:rsidRDefault="00D5221F">
      <w:pPr>
        <w:widowControl/>
        <w:tabs>
          <w:tab w:val="left" w:pos="0"/>
          <w:tab w:val="left" w:pos="567"/>
          <w:tab w:val="left" w:pos="864"/>
          <w:tab w:val="left" w:pos="1418"/>
          <w:tab w:val="left" w:pos="1985"/>
          <w:tab w:val="left" w:pos="2127"/>
          <w:tab w:val="left" w:pos="2268"/>
          <w:tab w:val="left" w:pos="2880"/>
        </w:tabs>
        <w:ind w:left="1985" w:hanging="1985"/>
        <w:jc w:val="both"/>
        <w:rPr>
          <w:rFonts w:ascii="Times New Roman" w:hAnsi="Times New Roman"/>
          <w:spacing w:val="-2"/>
          <w:sz w:val="16"/>
          <w:szCs w:val="16"/>
        </w:rPr>
      </w:pPr>
      <w:r w:rsidRPr="00405941">
        <w:rPr>
          <w:rFonts w:ascii="Times New Roman" w:hAnsi="Times New Roman"/>
          <w:b/>
          <w:spacing w:val="-2"/>
          <w:sz w:val="16"/>
          <w:szCs w:val="16"/>
        </w:rPr>
        <w:t>Literatur/Lehrbücher:</w:t>
      </w:r>
      <w:r w:rsidRPr="00405941">
        <w:rPr>
          <w:rFonts w:ascii="Times New Roman" w:hAnsi="Times New Roman"/>
          <w:b/>
          <w:spacing w:val="-2"/>
          <w:sz w:val="16"/>
          <w:szCs w:val="16"/>
        </w:rPr>
        <w:tab/>
      </w:r>
      <w:r w:rsidR="00213350" w:rsidRPr="00405941">
        <w:rPr>
          <w:rFonts w:ascii="Times New Roman" w:hAnsi="Times New Roman"/>
          <w:i/>
          <w:spacing w:val="-2"/>
          <w:sz w:val="16"/>
          <w:szCs w:val="16"/>
        </w:rPr>
        <w:t>Heinrich/Reinbacher</w:t>
      </w:r>
      <w:r w:rsidR="00213350" w:rsidRPr="00405941">
        <w:rPr>
          <w:rFonts w:ascii="Times New Roman" w:hAnsi="Times New Roman"/>
          <w:spacing w:val="-2"/>
          <w:sz w:val="16"/>
          <w:szCs w:val="16"/>
        </w:rPr>
        <w:t xml:space="preserve">, Examinatorium Strafprozessrecht, </w:t>
      </w:r>
      <w:r w:rsidR="00AF44CD" w:rsidRPr="00405941">
        <w:rPr>
          <w:rFonts w:ascii="Times New Roman" w:hAnsi="Times New Roman"/>
          <w:spacing w:val="-2"/>
          <w:sz w:val="16"/>
          <w:szCs w:val="16"/>
        </w:rPr>
        <w:t>4</w:t>
      </w:r>
      <w:r w:rsidR="00CF6561" w:rsidRPr="00405941">
        <w:rPr>
          <w:rFonts w:ascii="Times New Roman" w:hAnsi="Times New Roman"/>
          <w:spacing w:val="-2"/>
          <w:sz w:val="16"/>
          <w:szCs w:val="16"/>
        </w:rPr>
        <w:t>. Auflage 20</w:t>
      </w:r>
      <w:r w:rsidR="00665ACD" w:rsidRPr="00405941">
        <w:rPr>
          <w:rFonts w:ascii="Times New Roman" w:hAnsi="Times New Roman"/>
          <w:spacing w:val="-2"/>
          <w:sz w:val="16"/>
          <w:szCs w:val="16"/>
        </w:rPr>
        <w:t>2</w:t>
      </w:r>
      <w:r w:rsidR="00AF44CD" w:rsidRPr="00405941">
        <w:rPr>
          <w:rFonts w:ascii="Times New Roman" w:hAnsi="Times New Roman"/>
          <w:spacing w:val="-2"/>
          <w:sz w:val="16"/>
          <w:szCs w:val="16"/>
        </w:rPr>
        <w:t>3</w:t>
      </w:r>
      <w:r w:rsidR="00CF6561" w:rsidRPr="00405941">
        <w:rPr>
          <w:rFonts w:ascii="Times New Roman" w:hAnsi="Times New Roman"/>
          <w:spacing w:val="-2"/>
          <w:sz w:val="16"/>
          <w:szCs w:val="16"/>
        </w:rPr>
        <w:t xml:space="preserve">, </w:t>
      </w:r>
      <w:r w:rsidR="00213350" w:rsidRPr="00405941">
        <w:rPr>
          <w:rFonts w:ascii="Times New Roman" w:hAnsi="Times New Roman"/>
          <w:spacing w:val="-2"/>
          <w:sz w:val="16"/>
          <w:szCs w:val="16"/>
        </w:rPr>
        <w:t>Problem</w:t>
      </w:r>
      <w:r w:rsidR="00287B72" w:rsidRPr="00405941">
        <w:rPr>
          <w:rFonts w:ascii="Times New Roman" w:hAnsi="Times New Roman"/>
          <w:spacing w:val="-2"/>
          <w:sz w:val="16"/>
          <w:szCs w:val="16"/>
        </w:rPr>
        <w:t> </w:t>
      </w:r>
      <w:r w:rsidR="00213350" w:rsidRPr="00405941">
        <w:rPr>
          <w:rFonts w:ascii="Times New Roman" w:hAnsi="Times New Roman"/>
          <w:spacing w:val="-2"/>
          <w:sz w:val="16"/>
          <w:szCs w:val="16"/>
        </w:rPr>
        <w:t>36.</w:t>
      </w:r>
    </w:p>
    <w:p w14:paraId="5693701F" w14:textId="317124A9" w:rsidR="00D5221F" w:rsidRPr="00405941" w:rsidRDefault="00D5221F" w:rsidP="00ED2E81">
      <w:pPr>
        <w:widowControl/>
        <w:tabs>
          <w:tab w:val="left" w:pos="0"/>
          <w:tab w:val="left" w:pos="567"/>
          <w:tab w:val="left" w:pos="864"/>
          <w:tab w:val="left" w:pos="1418"/>
          <w:tab w:val="left" w:pos="1985"/>
          <w:tab w:val="left" w:pos="2880"/>
        </w:tabs>
        <w:ind w:left="1985" w:hanging="1985"/>
        <w:jc w:val="both"/>
        <w:rPr>
          <w:rFonts w:ascii="Times New Roman" w:hAnsi="Times New Roman"/>
          <w:spacing w:val="-2"/>
          <w:sz w:val="16"/>
          <w:szCs w:val="16"/>
        </w:rPr>
      </w:pPr>
      <w:r w:rsidRPr="00405941">
        <w:rPr>
          <w:rFonts w:ascii="Times New Roman" w:hAnsi="Times New Roman"/>
          <w:b/>
          <w:spacing w:val="-2"/>
          <w:sz w:val="16"/>
          <w:szCs w:val="16"/>
        </w:rPr>
        <w:t>Literatur/Aufsätze:</w:t>
      </w:r>
      <w:r w:rsidRPr="00405941">
        <w:rPr>
          <w:rFonts w:ascii="Times New Roman" w:hAnsi="Times New Roman"/>
          <w:b/>
          <w:spacing w:val="-2"/>
          <w:sz w:val="16"/>
          <w:szCs w:val="16"/>
        </w:rPr>
        <w:tab/>
      </w:r>
      <w:r w:rsidR="00CE45AA">
        <w:rPr>
          <w:rFonts w:ascii="Times New Roman" w:hAnsi="Times New Roman"/>
          <w:b/>
          <w:spacing w:val="-2"/>
          <w:sz w:val="16"/>
          <w:szCs w:val="16"/>
        </w:rPr>
        <w:tab/>
      </w:r>
      <w:r w:rsidRPr="00405941">
        <w:rPr>
          <w:rFonts w:ascii="Times New Roman" w:hAnsi="Times New Roman"/>
          <w:i/>
          <w:spacing w:val="-2"/>
          <w:sz w:val="16"/>
          <w:szCs w:val="16"/>
        </w:rPr>
        <w:t>Geppert</w:t>
      </w:r>
      <w:r w:rsidRPr="00405941">
        <w:rPr>
          <w:rFonts w:ascii="Times New Roman" w:hAnsi="Times New Roman"/>
          <w:spacing w:val="-2"/>
          <w:sz w:val="16"/>
          <w:szCs w:val="16"/>
        </w:rPr>
        <w:t xml:space="preserve">, Der Sachverständigenbeweis, JURA 1993, 249; </w:t>
      </w:r>
      <w:proofErr w:type="spellStart"/>
      <w:r w:rsidRPr="00405941">
        <w:rPr>
          <w:rFonts w:ascii="Times New Roman" w:hAnsi="Times New Roman"/>
          <w:i/>
          <w:spacing w:val="-2"/>
          <w:sz w:val="16"/>
          <w:szCs w:val="16"/>
        </w:rPr>
        <w:t>ders</w:t>
      </w:r>
      <w:proofErr w:type="spellEnd"/>
      <w:r w:rsidRPr="00405941">
        <w:rPr>
          <w:rFonts w:ascii="Times New Roman" w:hAnsi="Times New Roman"/>
          <w:i/>
          <w:spacing w:val="-2"/>
          <w:sz w:val="16"/>
          <w:szCs w:val="16"/>
        </w:rPr>
        <w:t>.</w:t>
      </w:r>
      <w:r w:rsidRPr="00405941">
        <w:rPr>
          <w:rFonts w:ascii="Times New Roman" w:hAnsi="Times New Roman"/>
          <w:spacing w:val="-2"/>
          <w:sz w:val="16"/>
          <w:szCs w:val="16"/>
        </w:rPr>
        <w:t xml:space="preserve">, Der </w:t>
      </w:r>
      <w:proofErr w:type="spellStart"/>
      <w:r w:rsidRPr="00405941">
        <w:rPr>
          <w:rFonts w:ascii="Times New Roman" w:hAnsi="Times New Roman"/>
          <w:spacing w:val="-2"/>
          <w:sz w:val="16"/>
          <w:szCs w:val="16"/>
        </w:rPr>
        <w:t>Augenscheinsbeweis</w:t>
      </w:r>
      <w:proofErr w:type="spellEnd"/>
      <w:r w:rsidRPr="00405941">
        <w:rPr>
          <w:rFonts w:ascii="Times New Roman" w:hAnsi="Times New Roman"/>
          <w:spacing w:val="-2"/>
          <w:sz w:val="16"/>
          <w:szCs w:val="16"/>
        </w:rPr>
        <w:t xml:space="preserve">, JURA 1996, 307; </w:t>
      </w:r>
      <w:r w:rsidR="0071135B" w:rsidRPr="00405941">
        <w:rPr>
          <w:rFonts w:ascii="Times New Roman" w:hAnsi="Times New Roman"/>
          <w:bCs/>
          <w:i/>
          <w:spacing w:val="-2"/>
          <w:sz w:val="16"/>
          <w:szCs w:val="16"/>
        </w:rPr>
        <w:t>Huber</w:t>
      </w:r>
      <w:r w:rsidR="0071135B" w:rsidRPr="00405941">
        <w:rPr>
          <w:rFonts w:ascii="Times New Roman" w:hAnsi="Times New Roman"/>
          <w:bCs/>
          <w:spacing w:val="-2"/>
          <w:sz w:val="16"/>
          <w:szCs w:val="16"/>
        </w:rPr>
        <w:t xml:space="preserve">, Grundwissen – Strafprozessrecht: Beweismittel in der Hauptverhandlung, </w:t>
      </w:r>
      <w:proofErr w:type="spellStart"/>
      <w:r w:rsidR="0071135B" w:rsidRPr="00405941">
        <w:rPr>
          <w:rFonts w:ascii="Times New Roman" w:hAnsi="Times New Roman"/>
          <w:bCs/>
          <w:spacing w:val="-2"/>
          <w:sz w:val="16"/>
          <w:szCs w:val="16"/>
        </w:rPr>
        <w:t>JuS</w:t>
      </w:r>
      <w:proofErr w:type="spellEnd"/>
      <w:r w:rsidR="0071135B" w:rsidRPr="00405941">
        <w:rPr>
          <w:rFonts w:ascii="Times New Roman" w:hAnsi="Times New Roman"/>
          <w:bCs/>
          <w:spacing w:val="-2"/>
          <w:sz w:val="16"/>
          <w:szCs w:val="16"/>
        </w:rPr>
        <w:t xml:space="preserve"> 2010, 1056; </w:t>
      </w:r>
      <w:proofErr w:type="spellStart"/>
      <w:r w:rsidR="00CE45AA" w:rsidRPr="00405941">
        <w:rPr>
          <w:rFonts w:ascii="Times New Roman" w:hAnsi="Times New Roman"/>
          <w:bCs/>
          <w:i/>
          <w:iCs/>
          <w:spacing w:val="-2"/>
          <w:sz w:val="16"/>
          <w:szCs w:val="16"/>
        </w:rPr>
        <w:t>Habetha</w:t>
      </w:r>
      <w:proofErr w:type="spellEnd"/>
      <w:r w:rsidR="00CE45AA" w:rsidRPr="00405941">
        <w:rPr>
          <w:rFonts w:ascii="Times New Roman" w:hAnsi="Times New Roman"/>
          <w:bCs/>
          <w:spacing w:val="-2"/>
          <w:sz w:val="16"/>
          <w:szCs w:val="16"/>
        </w:rPr>
        <w:t xml:space="preserve">, Selbstleseverfahren und Augenschein in Wirtschaftsstrafsachen, </w:t>
      </w:r>
      <w:proofErr w:type="spellStart"/>
      <w:r w:rsidR="00CE45AA" w:rsidRPr="00405941">
        <w:rPr>
          <w:rFonts w:ascii="Times New Roman" w:hAnsi="Times New Roman"/>
          <w:bCs/>
          <w:spacing w:val="-2"/>
          <w:sz w:val="16"/>
          <w:szCs w:val="16"/>
        </w:rPr>
        <w:t>NZWiSt</w:t>
      </w:r>
      <w:proofErr w:type="spellEnd"/>
      <w:r w:rsidR="00CE45AA" w:rsidRPr="00405941">
        <w:rPr>
          <w:rFonts w:ascii="Times New Roman" w:hAnsi="Times New Roman"/>
          <w:bCs/>
          <w:spacing w:val="-2"/>
          <w:sz w:val="16"/>
          <w:szCs w:val="16"/>
        </w:rPr>
        <w:t xml:space="preserve"> 2021, 256; </w:t>
      </w:r>
      <w:r w:rsidR="00716A3E" w:rsidRPr="00405941">
        <w:rPr>
          <w:rFonts w:ascii="Times New Roman" w:hAnsi="Times New Roman"/>
          <w:bCs/>
          <w:i/>
          <w:iCs/>
          <w:spacing w:val="-2"/>
          <w:sz w:val="16"/>
          <w:szCs w:val="16"/>
        </w:rPr>
        <w:t>Hettich</w:t>
      </w:r>
      <w:r w:rsidR="00716A3E" w:rsidRPr="00405941">
        <w:rPr>
          <w:rFonts w:ascii="Times New Roman" w:hAnsi="Times New Roman"/>
          <w:bCs/>
          <w:spacing w:val="-2"/>
          <w:sz w:val="16"/>
          <w:szCs w:val="16"/>
        </w:rPr>
        <w:t xml:space="preserve">, Aussagepflicht von ausländischen Zeugen, NStZ 2019, 646; </w:t>
      </w:r>
      <w:proofErr w:type="spellStart"/>
      <w:r w:rsidRPr="00405941">
        <w:rPr>
          <w:rFonts w:ascii="Times New Roman" w:hAnsi="Times New Roman"/>
          <w:i/>
          <w:spacing w:val="-2"/>
          <w:sz w:val="16"/>
          <w:szCs w:val="16"/>
        </w:rPr>
        <w:t>Kargl</w:t>
      </w:r>
      <w:proofErr w:type="spellEnd"/>
      <w:r w:rsidRPr="00405941">
        <w:rPr>
          <w:rFonts w:ascii="Times New Roman" w:hAnsi="Times New Roman"/>
          <w:i/>
          <w:spacing w:val="-2"/>
          <w:sz w:val="16"/>
          <w:szCs w:val="16"/>
        </w:rPr>
        <w:t>/Kirsch</w:t>
      </w:r>
      <w:r w:rsidRPr="00405941">
        <w:rPr>
          <w:rFonts w:ascii="Times New Roman" w:hAnsi="Times New Roman"/>
          <w:spacing w:val="-2"/>
          <w:sz w:val="16"/>
          <w:szCs w:val="16"/>
        </w:rPr>
        <w:t xml:space="preserve">, Zur Zulässigkeit eines untauglichen Beweismittels im Strafverfahren, </w:t>
      </w:r>
      <w:proofErr w:type="spellStart"/>
      <w:r w:rsidRPr="00405941">
        <w:rPr>
          <w:rFonts w:ascii="Times New Roman" w:hAnsi="Times New Roman"/>
          <w:spacing w:val="-2"/>
          <w:sz w:val="16"/>
          <w:szCs w:val="16"/>
        </w:rPr>
        <w:t>JuS</w:t>
      </w:r>
      <w:proofErr w:type="spellEnd"/>
      <w:r w:rsidRPr="00405941">
        <w:rPr>
          <w:rFonts w:ascii="Times New Roman" w:hAnsi="Times New Roman"/>
          <w:spacing w:val="-2"/>
          <w:sz w:val="16"/>
          <w:szCs w:val="16"/>
        </w:rPr>
        <w:t xml:space="preserve"> 2000, 537; </w:t>
      </w:r>
      <w:r w:rsidRPr="00405941">
        <w:rPr>
          <w:rFonts w:ascii="Times New Roman" w:hAnsi="Times New Roman"/>
          <w:i/>
          <w:spacing w:val="-2"/>
          <w:sz w:val="16"/>
          <w:szCs w:val="16"/>
        </w:rPr>
        <w:t>Kudlich</w:t>
      </w:r>
      <w:r w:rsidRPr="00405941">
        <w:rPr>
          <w:rFonts w:ascii="Times New Roman" w:hAnsi="Times New Roman"/>
          <w:spacing w:val="-2"/>
          <w:sz w:val="16"/>
          <w:szCs w:val="16"/>
        </w:rPr>
        <w:t xml:space="preserve">, Beweiskraft des Hauptverhandlungsprotokolls hinsichtlich der Durchführung des Selbstleseverfahrens, </w:t>
      </w:r>
      <w:proofErr w:type="spellStart"/>
      <w:r w:rsidRPr="00405941">
        <w:rPr>
          <w:rFonts w:ascii="Times New Roman" w:hAnsi="Times New Roman"/>
          <w:spacing w:val="-2"/>
          <w:sz w:val="16"/>
          <w:szCs w:val="16"/>
        </w:rPr>
        <w:t>JuS</w:t>
      </w:r>
      <w:proofErr w:type="spellEnd"/>
      <w:r w:rsidRPr="00405941">
        <w:rPr>
          <w:rFonts w:ascii="Times New Roman" w:hAnsi="Times New Roman"/>
          <w:spacing w:val="-2"/>
          <w:sz w:val="16"/>
          <w:szCs w:val="16"/>
        </w:rPr>
        <w:t xml:space="preserve"> 2005, 381; </w:t>
      </w:r>
      <w:r w:rsidR="00441866" w:rsidRPr="00405941">
        <w:rPr>
          <w:rFonts w:ascii="Times New Roman" w:hAnsi="Times New Roman"/>
          <w:i/>
          <w:iCs/>
          <w:spacing w:val="-2"/>
          <w:sz w:val="16"/>
          <w:szCs w:val="16"/>
        </w:rPr>
        <w:t>Metz</w:t>
      </w:r>
      <w:r w:rsidR="00441866">
        <w:rPr>
          <w:rFonts w:ascii="Times New Roman" w:hAnsi="Times New Roman"/>
          <w:spacing w:val="-2"/>
          <w:sz w:val="16"/>
          <w:szCs w:val="16"/>
        </w:rPr>
        <w:t xml:space="preserve">, Verwertbarkeit von tätereigenen Tatvideos, NStZ 2020, 9; </w:t>
      </w:r>
      <w:r w:rsidR="00AE4166" w:rsidRPr="00405941">
        <w:rPr>
          <w:rFonts w:ascii="Times New Roman" w:hAnsi="Times New Roman"/>
          <w:i/>
          <w:iCs/>
          <w:spacing w:val="-2"/>
          <w:sz w:val="16"/>
          <w:szCs w:val="16"/>
        </w:rPr>
        <w:t>Miebach</w:t>
      </w:r>
      <w:r w:rsidR="00AE4166" w:rsidRPr="00405941">
        <w:rPr>
          <w:rFonts w:ascii="Times New Roman" w:hAnsi="Times New Roman"/>
          <w:spacing w:val="-2"/>
          <w:sz w:val="16"/>
          <w:szCs w:val="16"/>
        </w:rPr>
        <w:t xml:space="preserve">, Die freie Beweiswürdigung der Zeugenaussage in der neuern Rechtsprechung des BGH, NStZ-RR 2024, 129; </w:t>
      </w:r>
      <w:r w:rsidRPr="00405941">
        <w:rPr>
          <w:rFonts w:ascii="Times New Roman" w:hAnsi="Times New Roman"/>
          <w:i/>
          <w:spacing w:val="-2"/>
          <w:sz w:val="16"/>
          <w:szCs w:val="16"/>
        </w:rPr>
        <w:t>Ott</w:t>
      </w:r>
      <w:r w:rsidRPr="00405941">
        <w:rPr>
          <w:rFonts w:ascii="Times New Roman" w:hAnsi="Times New Roman"/>
          <w:spacing w:val="-2"/>
          <w:sz w:val="16"/>
          <w:szCs w:val="16"/>
        </w:rPr>
        <w:t xml:space="preserve">, Das Fragerecht in der Hauptverhandlung, JA 2008, 529; </w:t>
      </w:r>
      <w:r w:rsidRPr="00405941">
        <w:rPr>
          <w:rFonts w:ascii="Times New Roman" w:hAnsi="Times New Roman"/>
          <w:i/>
          <w:spacing w:val="-2"/>
          <w:sz w:val="16"/>
          <w:szCs w:val="16"/>
        </w:rPr>
        <w:t>Schneider</w:t>
      </w:r>
      <w:r w:rsidRPr="00405941">
        <w:rPr>
          <w:rFonts w:ascii="Times New Roman" w:hAnsi="Times New Roman"/>
          <w:spacing w:val="-2"/>
          <w:sz w:val="16"/>
          <w:szCs w:val="16"/>
        </w:rPr>
        <w:t>, Str</w:t>
      </w:r>
      <w:r w:rsidR="00257957" w:rsidRPr="00405941">
        <w:rPr>
          <w:rFonts w:ascii="Times New Roman" w:hAnsi="Times New Roman"/>
          <w:spacing w:val="-2"/>
          <w:sz w:val="16"/>
          <w:szCs w:val="16"/>
        </w:rPr>
        <w:t>e</w:t>
      </w:r>
      <w:r w:rsidRPr="00405941">
        <w:rPr>
          <w:rFonts w:ascii="Times New Roman" w:hAnsi="Times New Roman"/>
          <w:spacing w:val="-2"/>
          <w:sz w:val="16"/>
          <w:szCs w:val="16"/>
        </w:rPr>
        <w:t>ngbeweismittel und Unmittelbarkeitsgrundsat</w:t>
      </w:r>
      <w:r w:rsidR="009B588F" w:rsidRPr="00405941">
        <w:rPr>
          <w:rFonts w:ascii="Times New Roman" w:hAnsi="Times New Roman"/>
          <w:spacing w:val="-2"/>
          <w:sz w:val="16"/>
          <w:szCs w:val="16"/>
        </w:rPr>
        <w:t xml:space="preserve">z im Strafprozess, RÜ 2011, 670; </w:t>
      </w:r>
      <w:r w:rsidR="009B588F" w:rsidRPr="00405941">
        <w:rPr>
          <w:rFonts w:ascii="Times New Roman" w:hAnsi="Times New Roman"/>
          <w:i/>
          <w:spacing w:val="-2"/>
          <w:sz w:val="16"/>
          <w:szCs w:val="16"/>
        </w:rPr>
        <w:t>Warken</w:t>
      </w:r>
      <w:r w:rsidR="009B588F" w:rsidRPr="00405941">
        <w:rPr>
          <w:rFonts w:ascii="Times New Roman" w:hAnsi="Times New Roman"/>
          <w:spacing w:val="-2"/>
          <w:sz w:val="16"/>
          <w:szCs w:val="16"/>
        </w:rPr>
        <w:t xml:space="preserve">, Elektronische Beweismittel im Strafprozessrecht – eine Momentaufnahme über den deutschen Tellerrand hinaus, Teil 2, </w:t>
      </w:r>
      <w:proofErr w:type="spellStart"/>
      <w:r w:rsidR="009B588F" w:rsidRPr="00405941">
        <w:rPr>
          <w:rFonts w:ascii="Times New Roman" w:hAnsi="Times New Roman"/>
          <w:spacing w:val="-2"/>
          <w:sz w:val="16"/>
          <w:szCs w:val="16"/>
        </w:rPr>
        <w:t>NZWiSt</w:t>
      </w:r>
      <w:proofErr w:type="spellEnd"/>
      <w:r w:rsidR="009B588F" w:rsidRPr="00405941">
        <w:rPr>
          <w:rFonts w:ascii="Times New Roman" w:hAnsi="Times New Roman"/>
          <w:spacing w:val="-2"/>
          <w:sz w:val="16"/>
          <w:szCs w:val="16"/>
        </w:rPr>
        <w:t xml:space="preserve"> 2017, 329</w:t>
      </w:r>
      <w:r w:rsidR="00CF3346" w:rsidRPr="00405941">
        <w:rPr>
          <w:rFonts w:ascii="Times New Roman" w:hAnsi="Times New Roman"/>
          <w:spacing w:val="-2"/>
          <w:sz w:val="16"/>
          <w:szCs w:val="16"/>
        </w:rPr>
        <w:t xml:space="preserve">; </w:t>
      </w:r>
      <w:r w:rsidR="00CF3346" w:rsidRPr="00405941">
        <w:rPr>
          <w:rFonts w:ascii="Times New Roman" w:hAnsi="Times New Roman"/>
          <w:i/>
          <w:spacing w:val="-2"/>
          <w:sz w:val="16"/>
          <w:szCs w:val="16"/>
        </w:rPr>
        <w:t>Huber</w:t>
      </w:r>
      <w:r w:rsidR="00CF3346" w:rsidRPr="00405941">
        <w:rPr>
          <w:rFonts w:ascii="Times New Roman" w:hAnsi="Times New Roman"/>
          <w:spacing w:val="-2"/>
          <w:sz w:val="16"/>
          <w:szCs w:val="16"/>
        </w:rPr>
        <w:t xml:space="preserve">, Grundwissen – Zivilprozess- und Strafprozessrecht: Indizienbeweis, </w:t>
      </w:r>
      <w:proofErr w:type="spellStart"/>
      <w:r w:rsidR="00CF3346" w:rsidRPr="00405941">
        <w:rPr>
          <w:rFonts w:ascii="Times New Roman" w:hAnsi="Times New Roman"/>
          <w:spacing w:val="-2"/>
          <w:sz w:val="16"/>
          <w:szCs w:val="16"/>
        </w:rPr>
        <w:t>JuS</w:t>
      </w:r>
      <w:proofErr w:type="spellEnd"/>
      <w:r w:rsidR="00CF3346" w:rsidRPr="00405941">
        <w:rPr>
          <w:rFonts w:ascii="Times New Roman" w:hAnsi="Times New Roman"/>
          <w:spacing w:val="-2"/>
          <w:sz w:val="16"/>
          <w:szCs w:val="16"/>
        </w:rPr>
        <w:t xml:space="preserve"> 2016, 218.</w:t>
      </w:r>
    </w:p>
    <w:p w14:paraId="714147AD" w14:textId="5DBF5EB9" w:rsidR="00D5221F" w:rsidRPr="00ED2E81" w:rsidRDefault="00ED2E81" w:rsidP="00ED2E81">
      <w:pPr>
        <w:widowControl/>
        <w:tabs>
          <w:tab w:val="left" w:pos="0"/>
          <w:tab w:val="left" w:pos="567"/>
          <w:tab w:val="left" w:pos="864"/>
          <w:tab w:val="left" w:pos="1418"/>
          <w:tab w:val="left" w:pos="1985"/>
          <w:tab w:val="left" w:pos="2880"/>
        </w:tabs>
        <w:ind w:left="1985" w:hanging="2127"/>
        <w:jc w:val="both"/>
        <w:rPr>
          <w:rFonts w:ascii="Times New Roman" w:hAnsi="Times New Roman"/>
          <w:spacing w:val="-2"/>
          <w:sz w:val="18"/>
          <w:szCs w:val="18"/>
        </w:rPr>
      </w:pPr>
      <w:r w:rsidRPr="00405941">
        <w:rPr>
          <w:rFonts w:ascii="Times New Roman" w:hAnsi="Times New Roman"/>
          <w:b/>
          <w:spacing w:val="-2"/>
          <w:sz w:val="16"/>
          <w:szCs w:val="16"/>
        </w:rPr>
        <w:tab/>
      </w:r>
      <w:r w:rsidR="00D5221F" w:rsidRPr="00405941">
        <w:rPr>
          <w:rFonts w:ascii="Times New Roman" w:hAnsi="Times New Roman"/>
          <w:b/>
          <w:spacing w:val="-2"/>
          <w:sz w:val="16"/>
          <w:szCs w:val="16"/>
        </w:rPr>
        <w:t>Rechtspre</w:t>
      </w:r>
      <w:r w:rsidRPr="00405941">
        <w:rPr>
          <w:rFonts w:ascii="Times New Roman" w:hAnsi="Times New Roman"/>
          <w:b/>
          <w:spacing w:val="-2"/>
          <w:sz w:val="16"/>
          <w:szCs w:val="16"/>
        </w:rPr>
        <w:t>chung:</w:t>
      </w:r>
      <w:r w:rsidRPr="00405941">
        <w:rPr>
          <w:rFonts w:ascii="Times New Roman" w:hAnsi="Times New Roman"/>
          <w:b/>
          <w:spacing w:val="-2"/>
          <w:sz w:val="16"/>
          <w:szCs w:val="16"/>
        </w:rPr>
        <w:tab/>
      </w:r>
      <w:r w:rsidRPr="00405941">
        <w:rPr>
          <w:rFonts w:ascii="Times New Roman" w:hAnsi="Times New Roman"/>
          <w:b/>
          <w:spacing w:val="-2"/>
          <w:sz w:val="16"/>
          <w:szCs w:val="16"/>
        </w:rPr>
        <w:tab/>
      </w:r>
      <w:r w:rsidR="00B63551" w:rsidRPr="00405941">
        <w:rPr>
          <w:rFonts w:ascii="Times New Roman" w:hAnsi="Times New Roman"/>
          <w:b/>
          <w:bCs/>
          <w:spacing w:val="-2"/>
          <w:sz w:val="16"/>
          <w:szCs w:val="16"/>
        </w:rPr>
        <w:t xml:space="preserve">BGHSt 5, 332 – </w:t>
      </w:r>
      <w:r w:rsidR="00B63551" w:rsidRPr="00405941">
        <w:rPr>
          <w:rFonts w:ascii="Times New Roman" w:hAnsi="Times New Roman"/>
          <w:bCs/>
          <w:spacing w:val="-2"/>
          <w:sz w:val="16"/>
          <w:szCs w:val="16"/>
        </w:rPr>
        <w:t xml:space="preserve">Lügendetektor I (Lügendetektor verletzt Freiheit der Willensentschließung und Willensbetätigung); </w:t>
      </w:r>
      <w:r w:rsidR="0071135B" w:rsidRPr="00405941">
        <w:rPr>
          <w:rFonts w:ascii="Times New Roman" w:hAnsi="Times New Roman"/>
          <w:b/>
          <w:bCs/>
          <w:spacing w:val="-2"/>
          <w:sz w:val="16"/>
          <w:szCs w:val="16"/>
        </w:rPr>
        <w:t xml:space="preserve">BVerfG NJW 1982, 375 – </w:t>
      </w:r>
      <w:r w:rsidR="0071135B" w:rsidRPr="00405941">
        <w:rPr>
          <w:rFonts w:ascii="Times New Roman" w:hAnsi="Times New Roman"/>
          <w:bCs/>
          <w:spacing w:val="-2"/>
          <w:sz w:val="16"/>
          <w:szCs w:val="16"/>
        </w:rPr>
        <w:t>Lügendetektor II (Verwendung unzulässig);</w:t>
      </w:r>
      <w:r w:rsidR="0071135B" w:rsidRPr="00405941">
        <w:rPr>
          <w:rFonts w:ascii="Times New Roman" w:hAnsi="Times New Roman"/>
          <w:b/>
          <w:bCs/>
          <w:spacing w:val="-2"/>
          <w:sz w:val="16"/>
          <w:szCs w:val="16"/>
        </w:rPr>
        <w:t xml:space="preserve"> BVerfG </w:t>
      </w:r>
      <w:proofErr w:type="spellStart"/>
      <w:r w:rsidR="0071135B" w:rsidRPr="00405941">
        <w:rPr>
          <w:rFonts w:ascii="Times New Roman" w:hAnsi="Times New Roman"/>
          <w:b/>
          <w:bCs/>
          <w:spacing w:val="-2"/>
          <w:sz w:val="16"/>
          <w:szCs w:val="16"/>
        </w:rPr>
        <w:t>StraFo</w:t>
      </w:r>
      <w:proofErr w:type="spellEnd"/>
      <w:r w:rsidR="0071135B" w:rsidRPr="00405941">
        <w:rPr>
          <w:rFonts w:ascii="Times New Roman" w:hAnsi="Times New Roman"/>
          <w:b/>
          <w:bCs/>
          <w:spacing w:val="-2"/>
          <w:sz w:val="16"/>
          <w:szCs w:val="16"/>
        </w:rPr>
        <w:t xml:space="preserve"> 1998, 16 – </w:t>
      </w:r>
      <w:r w:rsidR="0071135B" w:rsidRPr="00405941">
        <w:rPr>
          <w:rFonts w:ascii="Times New Roman" w:hAnsi="Times New Roman"/>
          <w:bCs/>
          <w:spacing w:val="-2"/>
          <w:sz w:val="16"/>
          <w:szCs w:val="16"/>
        </w:rPr>
        <w:t>Lügendetektor III (Nichtannahmebeschluss, der die Frage der Zulässigkeit bei Einwilligung offen lässt);</w:t>
      </w:r>
      <w:r w:rsidR="0071135B" w:rsidRPr="00405941">
        <w:rPr>
          <w:rFonts w:ascii="Times New Roman" w:hAnsi="Times New Roman"/>
          <w:b/>
          <w:bCs/>
          <w:spacing w:val="-2"/>
          <w:sz w:val="16"/>
          <w:szCs w:val="16"/>
        </w:rPr>
        <w:t xml:space="preserve"> </w:t>
      </w:r>
      <w:r w:rsidR="00D5221F" w:rsidRPr="00405941">
        <w:rPr>
          <w:rFonts w:ascii="Times New Roman" w:hAnsi="Times New Roman"/>
          <w:b/>
          <w:spacing w:val="-2"/>
          <w:sz w:val="16"/>
          <w:szCs w:val="16"/>
        </w:rPr>
        <w:t>BGHSt</w:t>
      </w:r>
      <w:r w:rsidR="00CD005F" w:rsidRPr="00405941">
        <w:rPr>
          <w:rFonts w:ascii="Times New Roman" w:hAnsi="Times New Roman"/>
          <w:b/>
          <w:spacing w:val="-2"/>
          <w:sz w:val="16"/>
          <w:szCs w:val="16"/>
        </w:rPr>
        <w:t> </w:t>
      </w:r>
      <w:r w:rsidR="00D5221F" w:rsidRPr="00405941">
        <w:rPr>
          <w:rFonts w:ascii="Times New Roman" w:hAnsi="Times New Roman"/>
          <w:b/>
          <w:spacing w:val="-2"/>
          <w:sz w:val="16"/>
          <w:szCs w:val="16"/>
        </w:rPr>
        <w:t xml:space="preserve">14, 339 – </w:t>
      </w:r>
      <w:r w:rsidR="00D5221F" w:rsidRPr="00405941">
        <w:rPr>
          <w:rFonts w:ascii="Times New Roman" w:hAnsi="Times New Roman"/>
          <w:spacing w:val="-2"/>
          <w:sz w:val="16"/>
          <w:szCs w:val="16"/>
        </w:rPr>
        <w:t xml:space="preserve">Tonaufzeichnung (Inaugenscheinnahme des Tonbandes mit Zustimmung des Angeklagten zulässig); </w:t>
      </w:r>
      <w:r w:rsidR="00D5221F" w:rsidRPr="00405941">
        <w:rPr>
          <w:rFonts w:ascii="Times New Roman" w:hAnsi="Times New Roman"/>
          <w:b/>
          <w:spacing w:val="-2"/>
          <w:sz w:val="16"/>
          <w:szCs w:val="16"/>
        </w:rPr>
        <w:t>BGHSt 44, 308</w:t>
      </w:r>
      <w:r w:rsidR="00D5221F" w:rsidRPr="00405941">
        <w:rPr>
          <w:rFonts w:ascii="Times New Roman" w:hAnsi="Times New Roman"/>
          <w:spacing w:val="-2"/>
          <w:sz w:val="16"/>
          <w:szCs w:val="16"/>
        </w:rPr>
        <w:t xml:space="preserve"> – Polygraph (völlige Ungeeignetheit des Beweismittels); </w:t>
      </w:r>
      <w:r w:rsidR="00D5221F" w:rsidRPr="00405941">
        <w:rPr>
          <w:rFonts w:ascii="Times New Roman" w:hAnsi="Times New Roman"/>
          <w:b/>
          <w:spacing w:val="-2"/>
          <w:sz w:val="16"/>
          <w:szCs w:val="16"/>
        </w:rPr>
        <w:t>BGHSt 46, 349</w:t>
      </w:r>
      <w:r w:rsidR="00D5221F" w:rsidRPr="00405941">
        <w:rPr>
          <w:rFonts w:ascii="Times New Roman" w:hAnsi="Times New Roman"/>
          <w:spacing w:val="-2"/>
          <w:sz w:val="16"/>
          <w:szCs w:val="16"/>
        </w:rPr>
        <w:t xml:space="preserve"> </w:t>
      </w:r>
      <w:r w:rsidR="005C3A8A" w:rsidRPr="00405941">
        <w:rPr>
          <w:rFonts w:ascii="Times New Roman" w:hAnsi="Times New Roman"/>
          <w:spacing w:val="-2"/>
          <w:sz w:val="16"/>
          <w:szCs w:val="16"/>
        </w:rPr>
        <w:t>–</w:t>
      </w:r>
      <w:r w:rsidR="00D5221F" w:rsidRPr="00405941">
        <w:rPr>
          <w:rFonts w:ascii="Times New Roman" w:hAnsi="Times New Roman"/>
          <w:spacing w:val="-2"/>
          <w:sz w:val="16"/>
          <w:szCs w:val="16"/>
        </w:rPr>
        <w:t xml:space="preserve"> Verfahrenshindernisse (Prüfung im Strengbeweisverfahren); </w:t>
      </w:r>
      <w:r w:rsidR="00D5221F" w:rsidRPr="00405941">
        <w:rPr>
          <w:rFonts w:ascii="Times New Roman" w:hAnsi="Times New Roman"/>
          <w:b/>
          <w:spacing w:val="-2"/>
          <w:sz w:val="16"/>
          <w:szCs w:val="16"/>
        </w:rPr>
        <w:t>BGHSt 55, 153</w:t>
      </w:r>
      <w:r w:rsidR="00D5221F" w:rsidRPr="00405941">
        <w:rPr>
          <w:rFonts w:ascii="Times New Roman" w:hAnsi="Times New Roman"/>
          <w:spacing w:val="-2"/>
          <w:sz w:val="16"/>
          <w:szCs w:val="16"/>
        </w:rPr>
        <w:t xml:space="preserve"> – </w:t>
      </w:r>
      <w:r w:rsidR="005C3A8A" w:rsidRPr="00405941">
        <w:rPr>
          <w:rFonts w:ascii="Times New Roman" w:hAnsi="Times New Roman"/>
          <w:spacing w:val="-2"/>
          <w:sz w:val="16"/>
          <w:szCs w:val="16"/>
        </w:rPr>
        <w:t>Kronzeuge</w:t>
      </w:r>
      <w:r w:rsidR="00D5221F" w:rsidRPr="00405941">
        <w:rPr>
          <w:rFonts w:ascii="Times New Roman" w:hAnsi="Times New Roman"/>
          <w:spacing w:val="-2"/>
          <w:sz w:val="16"/>
          <w:szCs w:val="16"/>
        </w:rPr>
        <w:t xml:space="preserve"> (Tatopfer als atypischer „Kronzeuge“ in fremder Sache); </w:t>
      </w:r>
      <w:r w:rsidR="008B1D3D" w:rsidRPr="00405941">
        <w:rPr>
          <w:rFonts w:ascii="Times New Roman" w:hAnsi="Times New Roman"/>
          <w:b/>
          <w:spacing w:val="-2"/>
          <w:sz w:val="16"/>
          <w:szCs w:val="16"/>
        </w:rPr>
        <w:t>BGHSt 57, 24</w:t>
      </w:r>
      <w:r w:rsidR="008B1D3D" w:rsidRPr="00405941">
        <w:rPr>
          <w:rFonts w:ascii="Times New Roman" w:hAnsi="Times New Roman"/>
          <w:spacing w:val="-2"/>
          <w:sz w:val="16"/>
          <w:szCs w:val="16"/>
        </w:rPr>
        <w:t xml:space="preserve"> – Ärztliches Attest (Verlesung zulässig</w:t>
      </w:r>
      <w:r w:rsidR="00BE4D49" w:rsidRPr="00405941">
        <w:rPr>
          <w:rFonts w:ascii="Times New Roman" w:hAnsi="Times New Roman"/>
          <w:spacing w:val="-2"/>
          <w:sz w:val="16"/>
          <w:szCs w:val="16"/>
        </w:rPr>
        <w:t>, wenn ärztliche Sicht über das Attest hinaus nichts beitragen kann</w:t>
      </w:r>
      <w:r w:rsidR="008B1D3D" w:rsidRPr="00405941">
        <w:rPr>
          <w:rFonts w:ascii="Times New Roman" w:hAnsi="Times New Roman"/>
          <w:spacing w:val="-2"/>
          <w:sz w:val="16"/>
          <w:szCs w:val="16"/>
        </w:rPr>
        <w:t xml:space="preserve">); </w:t>
      </w:r>
      <w:r w:rsidR="00D5221F" w:rsidRPr="00405941">
        <w:rPr>
          <w:rFonts w:ascii="Times New Roman" w:hAnsi="Times New Roman"/>
          <w:b/>
          <w:spacing w:val="-2"/>
          <w:sz w:val="16"/>
          <w:szCs w:val="16"/>
        </w:rPr>
        <w:t xml:space="preserve">BGH NStZ 1985, 514 – </w:t>
      </w:r>
      <w:r w:rsidR="00D5221F" w:rsidRPr="00405941">
        <w:rPr>
          <w:rFonts w:ascii="Times New Roman" w:hAnsi="Times New Roman"/>
          <w:spacing w:val="-2"/>
          <w:sz w:val="16"/>
          <w:szCs w:val="16"/>
        </w:rPr>
        <w:t>Verteidiger (Verteidiger als Zeuge in derselben Sache)</w:t>
      </w:r>
      <w:r w:rsidR="008445EF" w:rsidRPr="00405941">
        <w:rPr>
          <w:rFonts w:ascii="Times New Roman" w:hAnsi="Times New Roman"/>
          <w:spacing w:val="-2"/>
          <w:sz w:val="16"/>
          <w:szCs w:val="16"/>
        </w:rPr>
        <w:t xml:space="preserve">; </w:t>
      </w:r>
      <w:r w:rsidR="008445EF" w:rsidRPr="00405941">
        <w:rPr>
          <w:rFonts w:ascii="Times New Roman" w:hAnsi="Times New Roman"/>
          <w:b/>
          <w:bCs/>
          <w:spacing w:val="-2"/>
          <w:sz w:val="16"/>
          <w:szCs w:val="16"/>
        </w:rPr>
        <w:t xml:space="preserve">OLG Düsseldorf </w:t>
      </w:r>
      <w:r w:rsidR="008820AB" w:rsidRPr="00405941">
        <w:rPr>
          <w:rFonts w:ascii="Times New Roman" w:hAnsi="Times New Roman"/>
          <w:b/>
          <w:bCs/>
          <w:spacing w:val="-2"/>
          <w:sz w:val="16"/>
          <w:szCs w:val="16"/>
        </w:rPr>
        <w:t>BeckRS 2014, 1692</w:t>
      </w:r>
      <w:r w:rsidR="008445EF" w:rsidRPr="00405941">
        <w:rPr>
          <w:rFonts w:ascii="Times New Roman" w:hAnsi="Times New Roman"/>
          <w:spacing w:val="-2"/>
          <w:sz w:val="16"/>
          <w:szCs w:val="16"/>
        </w:rPr>
        <w:t xml:space="preserve"> – </w:t>
      </w:r>
      <w:r w:rsidR="00405941">
        <w:rPr>
          <w:rFonts w:ascii="Times New Roman" w:hAnsi="Times New Roman"/>
          <w:spacing w:val="-2"/>
          <w:sz w:val="16"/>
          <w:szCs w:val="16"/>
        </w:rPr>
        <w:t>Sachverständiger Zeuge (</w:t>
      </w:r>
      <w:r w:rsidR="008445EF" w:rsidRPr="00405941">
        <w:rPr>
          <w:rFonts w:ascii="Times New Roman" w:hAnsi="Times New Roman"/>
          <w:spacing w:val="-2"/>
          <w:sz w:val="16"/>
          <w:szCs w:val="16"/>
        </w:rPr>
        <w:t xml:space="preserve">Abgrenzung </w:t>
      </w:r>
      <w:r w:rsidR="00405941">
        <w:rPr>
          <w:rFonts w:ascii="Times New Roman" w:hAnsi="Times New Roman"/>
          <w:spacing w:val="-2"/>
          <w:sz w:val="16"/>
          <w:szCs w:val="16"/>
        </w:rPr>
        <w:t>zum</w:t>
      </w:r>
      <w:r w:rsidR="008445EF" w:rsidRPr="00405941">
        <w:rPr>
          <w:rFonts w:ascii="Times New Roman" w:hAnsi="Times New Roman"/>
          <w:spacing w:val="-2"/>
          <w:sz w:val="16"/>
          <w:szCs w:val="16"/>
        </w:rPr>
        <w:t xml:space="preserve"> Sachverständige</w:t>
      </w:r>
      <w:r w:rsidR="00405941">
        <w:rPr>
          <w:rFonts w:ascii="Times New Roman" w:hAnsi="Times New Roman"/>
          <w:spacing w:val="-2"/>
          <w:sz w:val="16"/>
          <w:szCs w:val="16"/>
        </w:rPr>
        <w:t>n)</w:t>
      </w:r>
      <w:r w:rsidR="00CE45AA" w:rsidRPr="00405941">
        <w:rPr>
          <w:rFonts w:ascii="Times New Roman" w:hAnsi="Times New Roman"/>
          <w:spacing w:val="-2"/>
          <w:sz w:val="16"/>
          <w:szCs w:val="16"/>
        </w:rPr>
        <w:t xml:space="preserve">; </w:t>
      </w:r>
      <w:r w:rsidR="00CE45AA" w:rsidRPr="00405941">
        <w:rPr>
          <w:rFonts w:ascii="Times New Roman" w:hAnsi="Times New Roman"/>
          <w:b/>
          <w:bCs/>
          <w:spacing w:val="-2"/>
          <w:sz w:val="16"/>
          <w:szCs w:val="16"/>
        </w:rPr>
        <w:t xml:space="preserve">OLG Hamm </w:t>
      </w:r>
      <w:r w:rsidR="00CE45AA" w:rsidRPr="00E54A16">
        <w:rPr>
          <w:rFonts w:ascii="Times New Roman" w:hAnsi="Times New Roman"/>
          <w:b/>
          <w:bCs/>
          <w:spacing w:val="-2"/>
          <w:sz w:val="16"/>
          <w:szCs w:val="16"/>
        </w:rPr>
        <w:t>BeckRS 2018, 41379</w:t>
      </w:r>
      <w:r w:rsidR="00CE45AA" w:rsidRPr="00405941">
        <w:rPr>
          <w:rFonts w:ascii="Times New Roman" w:hAnsi="Times New Roman"/>
          <w:spacing w:val="-2"/>
          <w:sz w:val="16"/>
          <w:szCs w:val="16"/>
        </w:rPr>
        <w:t xml:space="preserve"> – Beschilderungspl</w:t>
      </w:r>
      <w:r w:rsidR="00E54A16">
        <w:rPr>
          <w:rFonts w:ascii="Times New Roman" w:hAnsi="Times New Roman"/>
          <w:spacing w:val="-2"/>
          <w:sz w:val="16"/>
          <w:szCs w:val="16"/>
        </w:rPr>
        <w:t>an</w:t>
      </w:r>
      <w:r w:rsidR="00CE45AA" w:rsidRPr="00405941">
        <w:rPr>
          <w:rFonts w:ascii="Times New Roman" w:hAnsi="Times New Roman"/>
          <w:spacing w:val="-2"/>
          <w:sz w:val="16"/>
          <w:szCs w:val="16"/>
        </w:rPr>
        <w:t xml:space="preserve"> </w:t>
      </w:r>
      <w:r w:rsidR="00E54A16">
        <w:rPr>
          <w:rFonts w:ascii="Times New Roman" w:hAnsi="Times New Roman"/>
          <w:spacing w:val="-2"/>
          <w:sz w:val="16"/>
          <w:szCs w:val="16"/>
        </w:rPr>
        <w:t>(</w:t>
      </w:r>
      <w:proofErr w:type="spellStart"/>
      <w:r w:rsidR="00E54A16">
        <w:rPr>
          <w:rFonts w:ascii="Times New Roman" w:hAnsi="Times New Roman"/>
          <w:spacing w:val="-2"/>
          <w:sz w:val="16"/>
          <w:szCs w:val="16"/>
        </w:rPr>
        <w:t>Augenscheinsobjekt</w:t>
      </w:r>
      <w:proofErr w:type="spellEnd"/>
      <w:r w:rsidR="00E54A16">
        <w:rPr>
          <w:rFonts w:ascii="Times New Roman" w:hAnsi="Times New Roman"/>
          <w:spacing w:val="-2"/>
          <w:sz w:val="16"/>
          <w:szCs w:val="16"/>
        </w:rPr>
        <w:t xml:space="preserve"> oder</w:t>
      </w:r>
      <w:r w:rsidR="00CE45AA" w:rsidRPr="00405941">
        <w:rPr>
          <w:rFonts w:ascii="Times New Roman" w:hAnsi="Times New Roman"/>
          <w:spacing w:val="-2"/>
          <w:sz w:val="16"/>
          <w:szCs w:val="16"/>
        </w:rPr>
        <w:t xml:space="preserve"> Urkunde</w:t>
      </w:r>
      <w:r w:rsidR="00E54A16">
        <w:rPr>
          <w:rFonts w:ascii="Times New Roman" w:hAnsi="Times New Roman"/>
          <w:spacing w:val="-2"/>
          <w:sz w:val="16"/>
          <w:szCs w:val="16"/>
        </w:rPr>
        <w:t>)</w:t>
      </w:r>
      <w:r w:rsidR="00CE45AA" w:rsidRPr="00405941">
        <w:rPr>
          <w:rFonts w:ascii="Times New Roman" w:hAnsi="Times New Roman"/>
          <w:spacing w:val="-2"/>
          <w:sz w:val="16"/>
          <w:szCs w:val="16"/>
        </w:rPr>
        <w:t>.</w:t>
      </w:r>
    </w:p>
    <w:sectPr w:rsidR="00D5221F" w:rsidRPr="00ED2E81">
      <w:pgSz w:w="11906" w:h="16838"/>
      <w:pgMar w:top="566" w:right="566" w:bottom="288" w:left="1134" w:header="566" w:footer="28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984A1" w14:textId="77777777" w:rsidR="009F7370" w:rsidRDefault="009F7370">
      <w:pPr>
        <w:widowControl/>
        <w:spacing w:line="-20" w:lineRule="auto"/>
      </w:pPr>
    </w:p>
  </w:endnote>
  <w:endnote w:type="continuationSeparator" w:id="0">
    <w:p w14:paraId="59285547" w14:textId="77777777" w:rsidR="009F7370" w:rsidRDefault="009F7370">
      <w:r>
        <w:t xml:space="preserve"> </w:t>
      </w:r>
    </w:p>
  </w:endnote>
  <w:endnote w:type="continuationNotice" w:id="1">
    <w:p w14:paraId="25F70CDD" w14:textId="77777777" w:rsidR="009F7370" w:rsidRDefault="009F737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F90D6" w14:textId="77777777" w:rsidR="009F7370" w:rsidRDefault="009F7370">
      <w:r>
        <w:separator/>
      </w:r>
    </w:p>
  </w:footnote>
  <w:footnote w:type="continuationSeparator" w:id="0">
    <w:p w14:paraId="4806460F" w14:textId="77777777" w:rsidR="009F7370" w:rsidRDefault="009F7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9639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89145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trackRevisions/>
  <w:defaultTabStop w:val="720"/>
  <w:autoHyphenation/>
  <w:hyphenationZone w:val="51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FDD"/>
    <w:rsid w:val="00010878"/>
    <w:rsid w:val="00011248"/>
    <w:rsid w:val="00012EEC"/>
    <w:rsid w:val="00027989"/>
    <w:rsid w:val="000D62C8"/>
    <w:rsid w:val="00133CA1"/>
    <w:rsid w:val="001461FB"/>
    <w:rsid w:val="001557D3"/>
    <w:rsid w:val="001765F8"/>
    <w:rsid w:val="00194321"/>
    <w:rsid w:val="001A47D5"/>
    <w:rsid w:val="001E0B33"/>
    <w:rsid w:val="00213350"/>
    <w:rsid w:val="0023083B"/>
    <w:rsid w:val="00233EE5"/>
    <w:rsid w:val="002540F4"/>
    <w:rsid w:val="00257957"/>
    <w:rsid w:val="00287B72"/>
    <w:rsid w:val="002A305F"/>
    <w:rsid w:val="002C347F"/>
    <w:rsid w:val="002D1BFE"/>
    <w:rsid w:val="00337803"/>
    <w:rsid w:val="00342400"/>
    <w:rsid w:val="0034502A"/>
    <w:rsid w:val="00354815"/>
    <w:rsid w:val="00382081"/>
    <w:rsid w:val="00405941"/>
    <w:rsid w:val="00435A83"/>
    <w:rsid w:val="0044049D"/>
    <w:rsid w:val="00441866"/>
    <w:rsid w:val="00456C89"/>
    <w:rsid w:val="004B72D0"/>
    <w:rsid w:val="004F5461"/>
    <w:rsid w:val="00524883"/>
    <w:rsid w:val="00571D86"/>
    <w:rsid w:val="005A0CE0"/>
    <w:rsid w:val="005A0DDA"/>
    <w:rsid w:val="005A2E57"/>
    <w:rsid w:val="005C3A8A"/>
    <w:rsid w:val="00665ACD"/>
    <w:rsid w:val="00681C7E"/>
    <w:rsid w:val="006F7C91"/>
    <w:rsid w:val="00701B60"/>
    <w:rsid w:val="0071135B"/>
    <w:rsid w:val="00716A3E"/>
    <w:rsid w:val="00796E83"/>
    <w:rsid w:val="007D7889"/>
    <w:rsid w:val="008445EF"/>
    <w:rsid w:val="008776B9"/>
    <w:rsid w:val="00880DA1"/>
    <w:rsid w:val="008820AB"/>
    <w:rsid w:val="008B1D3D"/>
    <w:rsid w:val="008C7EDE"/>
    <w:rsid w:val="00917A0D"/>
    <w:rsid w:val="00937B9C"/>
    <w:rsid w:val="00941268"/>
    <w:rsid w:val="009951A9"/>
    <w:rsid w:val="009A1F27"/>
    <w:rsid w:val="009A324B"/>
    <w:rsid w:val="009A5F7D"/>
    <w:rsid w:val="009B588F"/>
    <w:rsid w:val="009E005F"/>
    <w:rsid w:val="009F7370"/>
    <w:rsid w:val="00A270F7"/>
    <w:rsid w:val="00A32FFD"/>
    <w:rsid w:val="00A4204E"/>
    <w:rsid w:val="00A610A3"/>
    <w:rsid w:val="00A939DE"/>
    <w:rsid w:val="00AB4F46"/>
    <w:rsid w:val="00AC112F"/>
    <w:rsid w:val="00AD700D"/>
    <w:rsid w:val="00AE4166"/>
    <w:rsid w:val="00AF44CD"/>
    <w:rsid w:val="00B46BCE"/>
    <w:rsid w:val="00B63551"/>
    <w:rsid w:val="00B72161"/>
    <w:rsid w:val="00BA79CB"/>
    <w:rsid w:val="00BE4D49"/>
    <w:rsid w:val="00C025D5"/>
    <w:rsid w:val="00C6173E"/>
    <w:rsid w:val="00CA240D"/>
    <w:rsid w:val="00CA78EE"/>
    <w:rsid w:val="00CB08DD"/>
    <w:rsid w:val="00CD005F"/>
    <w:rsid w:val="00CE2030"/>
    <w:rsid w:val="00CE45AA"/>
    <w:rsid w:val="00CF3346"/>
    <w:rsid w:val="00CF6561"/>
    <w:rsid w:val="00D5221F"/>
    <w:rsid w:val="00D828EC"/>
    <w:rsid w:val="00DF4FCB"/>
    <w:rsid w:val="00E54A16"/>
    <w:rsid w:val="00ED2E81"/>
    <w:rsid w:val="00EE1FDD"/>
    <w:rsid w:val="00F20524"/>
    <w:rsid w:val="00F34A60"/>
    <w:rsid w:val="00F50E1F"/>
    <w:rsid w:val="00F63EC9"/>
    <w:rsid w:val="00FC47BE"/>
    <w:rsid w:val="00FE7B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D86DFA"/>
  <w15:chartTrackingRefBased/>
  <w15:docId w15:val="{CF2B6894-D3A1-4123-8D36-79AC39BD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overflowPunct w:val="0"/>
      <w:autoSpaceDE w:val="0"/>
      <w:autoSpaceDN w:val="0"/>
      <w:adjustRightInd w:val="0"/>
      <w:textAlignment w:val="baseline"/>
    </w:pPr>
    <w:rPr>
      <w:rFonts w:ascii="Dutch Roman 12pt" w:hAnsi="Dutch Roman 12pt"/>
      <w:sz w:val="24"/>
    </w:rPr>
  </w:style>
  <w:style w:type="paragraph" w:styleId="berschrift1">
    <w:name w:val="heading 1"/>
    <w:basedOn w:val="Standard"/>
    <w:next w:val="Standard"/>
    <w:qFormat/>
    <w:pPr>
      <w:keepNext/>
      <w:widowControl/>
      <w:tabs>
        <w:tab w:val="right" w:pos="10206"/>
      </w:tabs>
      <w:jc w:val="both"/>
      <w:outlineLvl w:val="0"/>
    </w:pPr>
    <w:rPr>
      <w:rFonts w:ascii="Times New Roman" w:hAnsi="Times New Roman"/>
      <w:b/>
      <w:spacing w:val="-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style>
  <w:style w:type="character" w:styleId="Endnotenzeichen">
    <w:name w:val="endnote reference"/>
    <w:semiHidden/>
    <w:rPr>
      <w:vertAlign w:val="superscript"/>
    </w:rPr>
  </w:style>
  <w:style w:type="paragraph" w:styleId="Funotentext">
    <w:name w:val="footnote text"/>
    <w:basedOn w:val="Standard"/>
    <w:semiHidden/>
  </w:style>
  <w:style w:type="character" w:styleId="Funotenzeichen">
    <w:name w:val="footnote reference"/>
    <w:semiHidden/>
    <w:rPr>
      <w:vertAlign w:val="superscript"/>
    </w:rPr>
  </w:style>
  <w:style w:type="character" w:customStyle="1" w:styleId="klein">
    <w:name w:val="klein"/>
    <w:rPr>
      <w:rFonts w:ascii="Arial Narrow" w:hAnsi="Arial Narrow"/>
      <w:noProof w:val="0"/>
      <w:sz w:val="16"/>
      <w:lang w:val="en-US"/>
    </w:rPr>
  </w:style>
  <w:style w:type="character" w:customStyle="1" w:styleId="berschr-1">
    <w:name w:val="Überschr-1"/>
    <w:rPr>
      <w:rFonts w:ascii="Dutch Roman 12pt" w:hAnsi="Dutch Roman 12pt"/>
      <w:noProof w:val="0"/>
      <w:sz w:val="24"/>
      <w:lang w:val="en-US"/>
    </w:rPr>
  </w:style>
  <w:style w:type="character" w:customStyle="1" w:styleId="berschr-2">
    <w:name w:val="Überschr-2"/>
    <w:rPr>
      <w:rFonts w:ascii="Dutch Roman 12pt" w:hAnsi="Dutch Roman 12pt"/>
      <w:noProof w:val="0"/>
      <w:sz w:val="24"/>
      <w:lang w:val="en-US"/>
    </w:rPr>
  </w:style>
  <w:style w:type="character" w:customStyle="1" w:styleId="berschr-3">
    <w:name w:val="Überschr-3"/>
    <w:rPr>
      <w:rFonts w:ascii="Dutch Roman 12pt" w:hAnsi="Dutch Roman 12pt"/>
      <w:noProof w:val="0"/>
      <w:sz w:val="24"/>
      <w:lang w:val="en-US"/>
    </w:rPr>
  </w:style>
  <w:style w:type="character" w:customStyle="1" w:styleId="berschr-4">
    <w:name w:val="Überschr-4"/>
    <w:rPr>
      <w:rFonts w:ascii="Dutch Roman 12pt" w:hAnsi="Dutch Roman 12pt"/>
      <w:noProof w:val="0"/>
      <w:sz w:val="24"/>
      <w:lang w:val="en-US"/>
    </w:rPr>
  </w:style>
  <w:style w:type="character" w:customStyle="1" w:styleId="berschr-5">
    <w:name w:val="Überschr-5"/>
    <w:rPr>
      <w:rFonts w:ascii="Dutch Roman 12pt" w:hAnsi="Dutch Roman 12pt"/>
      <w:noProof w:val="0"/>
      <w:sz w:val="24"/>
      <w:lang w:val="en-US"/>
    </w:rPr>
  </w:style>
  <w:style w:type="character" w:customStyle="1" w:styleId="Kopftext">
    <w:name w:val="Kopftext"/>
    <w:rPr>
      <w:rFonts w:ascii="Dutch Roman 12pt" w:hAnsi="Dutch Roman 12pt"/>
      <w:noProof w:val="0"/>
      <w:sz w:val="24"/>
      <w:lang w:val="en-US"/>
    </w:rPr>
  </w:style>
  <w:style w:type="paragraph" w:styleId="Verzeichnis1">
    <w:name w:val="toc 1"/>
    <w:basedOn w:val="Standard"/>
    <w:next w:val="Standard"/>
    <w:semiHidden/>
    <w:pPr>
      <w:tabs>
        <w:tab w:val="right" w:leader="dot" w:pos="9360"/>
      </w:tabs>
      <w:suppressAutoHyphens/>
      <w:spacing w:before="480"/>
      <w:ind w:left="720" w:right="720" w:hanging="720"/>
    </w:pPr>
    <w:rPr>
      <w:lang w:val="en-US"/>
    </w:rPr>
  </w:style>
  <w:style w:type="paragraph" w:styleId="Verzeichnis2">
    <w:name w:val="toc 2"/>
    <w:basedOn w:val="Standard"/>
    <w:next w:val="Standard"/>
    <w:semiHidden/>
    <w:pPr>
      <w:tabs>
        <w:tab w:val="right" w:leader="dot" w:pos="9360"/>
      </w:tabs>
      <w:suppressAutoHyphens/>
      <w:ind w:left="720" w:right="720"/>
    </w:pPr>
    <w:rPr>
      <w:lang w:val="en-US"/>
    </w:rPr>
  </w:style>
  <w:style w:type="paragraph" w:styleId="Verzeichnis3">
    <w:name w:val="toc 3"/>
    <w:basedOn w:val="Standard"/>
    <w:next w:val="Standard"/>
    <w:semiHidden/>
    <w:pPr>
      <w:tabs>
        <w:tab w:val="right" w:leader="dot" w:pos="9360"/>
      </w:tabs>
      <w:suppressAutoHyphens/>
      <w:ind w:left="720" w:right="720"/>
    </w:pPr>
    <w:rPr>
      <w:lang w:val="en-US"/>
    </w:rPr>
  </w:style>
  <w:style w:type="paragraph" w:styleId="Verzeichnis4">
    <w:name w:val="toc 4"/>
    <w:basedOn w:val="Standard"/>
    <w:next w:val="Standard"/>
    <w:semiHidden/>
    <w:pPr>
      <w:tabs>
        <w:tab w:val="right" w:leader="dot" w:pos="9360"/>
      </w:tabs>
      <w:suppressAutoHyphens/>
      <w:ind w:left="720" w:right="720"/>
    </w:pPr>
    <w:rPr>
      <w:lang w:val="en-US"/>
    </w:rPr>
  </w:style>
  <w:style w:type="paragraph" w:styleId="Verzeichnis5">
    <w:name w:val="toc 5"/>
    <w:basedOn w:val="Standard"/>
    <w:next w:val="Standard"/>
    <w:semiHidden/>
    <w:pPr>
      <w:tabs>
        <w:tab w:val="right" w:leader="dot" w:pos="9360"/>
      </w:tabs>
      <w:suppressAutoHyphens/>
      <w:ind w:left="720" w:right="720"/>
    </w:pPr>
    <w:rPr>
      <w:lang w:val="en-US"/>
    </w:rPr>
  </w:style>
  <w:style w:type="paragraph" w:styleId="Verzeichnis6">
    <w:name w:val="toc 6"/>
    <w:basedOn w:val="Standard"/>
    <w:next w:val="Standard"/>
    <w:semiHidden/>
    <w:pPr>
      <w:tabs>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right" w:pos="9360"/>
      </w:tabs>
      <w:suppressAutoHyphens/>
      <w:ind w:left="720" w:hanging="720"/>
    </w:pPr>
    <w:rPr>
      <w:lang w:val="en-US"/>
    </w:rPr>
  </w:style>
  <w:style w:type="paragraph" w:styleId="Verzeichnis9">
    <w:name w:val="toc 9"/>
    <w:basedOn w:val="Standard"/>
    <w:next w:val="Standard"/>
    <w:semiHidden/>
    <w:pPr>
      <w:tabs>
        <w:tab w:val="right" w:leader="dot" w:pos="9360"/>
      </w:tabs>
      <w:suppressAutoHyphens/>
      <w:ind w:left="720" w:hanging="720"/>
    </w:pPr>
    <w:rPr>
      <w:lang w:val="en-US"/>
    </w:rPr>
  </w:style>
  <w:style w:type="paragraph" w:styleId="Index1">
    <w:name w:val="index 1"/>
    <w:basedOn w:val="Standard"/>
    <w:next w:val="Standard"/>
    <w:semiHidden/>
    <w:pPr>
      <w:tabs>
        <w:tab w:val="right" w:leader="dot" w:pos="9360"/>
      </w:tabs>
      <w:suppressAutoHyphens/>
      <w:ind w:left="720" w:hanging="720"/>
    </w:pPr>
    <w:rPr>
      <w:lang w:val="en-US"/>
    </w:rPr>
  </w:style>
  <w:style w:type="paragraph" w:styleId="Index2">
    <w:name w:val="index 2"/>
    <w:basedOn w:val="Standard"/>
    <w:next w:val="Standard"/>
    <w:semiHidden/>
    <w:pPr>
      <w:tabs>
        <w:tab w:val="right" w:leader="dot" w:pos="9360"/>
      </w:tabs>
      <w:suppressAutoHyphens/>
      <w:ind w:left="720"/>
    </w:pPr>
    <w:rPr>
      <w:lang w:val="en-US"/>
    </w:rPr>
  </w:style>
  <w:style w:type="paragraph" w:styleId="RGV-berschrift">
    <w:name w:val="toa heading"/>
    <w:basedOn w:val="Standard"/>
    <w:semiHidden/>
    <w:pPr>
      <w:tabs>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Sprechblasentext">
    <w:name w:val="Balloon Text"/>
    <w:basedOn w:val="Standard"/>
    <w:semiHidden/>
    <w:rsid w:val="00EA459A"/>
    <w:rPr>
      <w:rFonts w:ascii="Tahoma" w:hAnsi="Tahoma" w:cs="Tahoma"/>
      <w:sz w:val="16"/>
      <w:szCs w:val="16"/>
    </w:rPr>
  </w:style>
  <w:style w:type="character" w:styleId="Kommentarzeichen">
    <w:name w:val="annotation reference"/>
    <w:uiPriority w:val="99"/>
    <w:semiHidden/>
    <w:unhideWhenUsed/>
    <w:rsid w:val="0044049D"/>
    <w:rPr>
      <w:sz w:val="16"/>
      <w:szCs w:val="16"/>
    </w:rPr>
  </w:style>
  <w:style w:type="paragraph" w:styleId="Kommentartext">
    <w:name w:val="annotation text"/>
    <w:basedOn w:val="Standard"/>
    <w:link w:val="KommentartextZchn"/>
    <w:uiPriority w:val="99"/>
    <w:semiHidden/>
    <w:unhideWhenUsed/>
    <w:rsid w:val="0044049D"/>
    <w:rPr>
      <w:sz w:val="20"/>
    </w:rPr>
  </w:style>
  <w:style w:type="character" w:customStyle="1" w:styleId="KommentartextZchn">
    <w:name w:val="Kommentartext Zchn"/>
    <w:link w:val="Kommentartext"/>
    <w:uiPriority w:val="99"/>
    <w:semiHidden/>
    <w:rsid w:val="0044049D"/>
    <w:rPr>
      <w:rFonts w:ascii="Dutch Roman 12pt" w:hAnsi="Dutch Roman 12pt"/>
    </w:rPr>
  </w:style>
  <w:style w:type="paragraph" w:styleId="Kommentarthema">
    <w:name w:val="annotation subject"/>
    <w:basedOn w:val="Kommentartext"/>
    <w:next w:val="Kommentartext"/>
    <w:link w:val="KommentarthemaZchn"/>
    <w:uiPriority w:val="99"/>
    <w:semiHidden/>
    <w:unhideWhenUsed/>
    <w:rsid w:val="0044049D"/>
    <w:rPr>
      <w:b/>
      <w:bCs/>
    </w:rPr>
  </w:style>
  <w:style w:type="character" w:customStyle="1" w:styleId="KommentarthemaZchn">
    <w:name w:val="Kommentarthema Zchn"/>
    <w:link w:val="Kommentarthema"/>
    <w:uiPriority w:val="99"/>
    <w:semiHidden/>
    <w:rsid w:val="0044049D"/>
    <w:rPr>
      <w:rFonts w:ascii="Dutch Roman 12pt" w:hAnsi="Dutch Roman 12pt"/>
      <w:b/>
      <w:bCs/>
    </w:rPr>
  </w:style>
  <w:style w:type="paragraph" w:styleId="berarbeitung">
    <w:name w:val="Revision"/>
    <w:hidden/>
    <w:uiPriority w:val="71"/>
    <w:rsid w:val="00AF44CD"/>
    <w:rPr>
      <w:rFonts w:ascii="Dutch Roman 12pt" w:hAnsi="Dutch Roman 12p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894</Words>
  <Characters>5639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09. Kausalität [VorlAT]</vt:lpstr>
    </vt:vector>
  </TitlesOfParts>
  <Company>Humboldt Universität zu Berlin</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Kausalität [VorlAT]</dc:title>
  <dc:subject/>
  <dc:creator>Professor Dr. Bernd Heinrich</dc:creator>
  <cp:keywords/>
  <cp:lastModifiedBy>Judith Schult</cp:lastModifiedBy>
  <cp:revision>2</cp:revision>
  <cp:lastPrinted>2020-10-23T16:50:00Z</cp:lastPrinted>
  <dcterms:created xsi:type="dcterms:W3CDTF">2024-10-10T14:30:00Z</dcterms:created>
  <dcterms:modified xsi:type="dcterms:W3CDTF">2024-10-10T14:30:00Z</dcterms:modified>
</cp:coreProperties>
</file>