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42F1" w14:textId="4DC36A71" w:rsidR="001B0FA0" w:rsidRDefault="001B0FA0">
      <w:pPr>
        <w:tabs>
          <w:tab w:val="right" w:pos="10206"/>
        </w:tabs>
        <w:jc w:val="both"/>
        <w:rPr>
          <w:b/>
          <w:spacing w:val="-3"/>
        </w:rPr>
      </w:pPr>
      <w:r>
        <w:rPr>
          <w:b/>
          <w:spacing w:val="-3"/>
        </w:rPr>
        <w:t xml:space="preserve">Prof. Dr. </w:t>
      </w:r>
      <w:r w:rsidR="00D36C63">
        <w:rPr>
          <w:b/>
          <w:spacing w:val="-3"/>
        </w:rPr>
        <w:t xml:space="preserve">Dr. h.c. </w:t>
      </w:r>
      <w:r>
        <w:rPr>
          <w:b/>
          <w:spacing w:val="-3"/>
        </w:rPr>
        <w:t>Bernd Heinrich/</w:t>
      </w:r>
      <w:r w:rsidR="00A16996">
        <w:rPr>
          <w:b/>
          <w:spacing w:val="-3"/>
        </w:rPr>
        <w:t>Pr</w:t>
      </w:r>
      <w:r w:rsidR="00751E8C">
        <w:rPr>
          <w:b/>
          <w:spacing w:val="-3"/>
        </w:rPr>
        <w:t>of</w:t>
      </w:r>
      <w:r w:rsidR="00A16996">
        <w:rPr>
          <w:b/>
          <w:spacing w:val="-3"/>
        </w:rPr>
        <w:t xml:space="preserve">. </w:t>
      </w:r>
      <w:r>
        <w:rPr>
          <w:b/>
          <w:spacing w:val="-3"/>
        </w:rPr>
        <w:t>Dr. Tobias Reinbacher</w:t>
      </w:r>
      <w:r>
        <w:rPr>
          <w:b/>
          <w:spacing w:val="-3"/>
        </w:rPr>
        <w:tab/>
        <w:t xml:space="preserve">Stand: 1. </w:t>
      </w:r>
      <w:r w:rsidR="00DA3F43">
        <w:rPr>
          <w:b/>
          <w:spacing w:val="-3"/>
        </w:rPr>
        <w:t>Oktober</w:t>
      </w:r>
      <w:r w:rsidR="00C5382B">
        <w:rPr>
          <w:b/>
          <w:spacing w:val="-3"/>
        </w:rPr>
        <w:t xml:space="preserve"> </w:t>
      </w:r>
      <w:r w:rsidR="00677B44">
        <w:rPr>
          <w:b/>
          <w:spacing w:val="-3"/>
        </w:rPr>
        <w:t>20</w:t>
      </w:r>
      <w:r w:rsidR="003D12AC">
        <w:rPr>
          <w:b/>
          <w:spacing w:val="-3"/>
        </w:rPr>
        <w:t>2</w:t>
      </w:r>
      <w:r w:rsidR="002E0982">
        <w:rPr>
          <w:b/>
          <w:spacing w:val="-3"/>
        </w:rPr>
        <w:t>4</w:t>
      </w:r>
    </w:p>
    <w:p w14:paraId="7878D61D" w14:textId="77777777" w:rsidR="001B0FA0" w:rsidRPr="00F03740" w:rsidRDefault="001B0FA0">
      <w:pPr>
        <w:tabs>
          <w:tab w:val="left" w:pos="-720"/>
        </w:tabs>
        <w:jc w:val="both"/>
        <w:rPr>
          <w:spacing w:val="-3"/>
          <w:sz w:val="16"/>
          <w:szCs w:val="16"/>
        </w:rPr>
      </w:pPr>
    </w:p>
    <w:p w14:paraId="4EBB0A13" w14:textId="7B923004" w:rsidR="001B0FA0" w:rsidRDefault="001B0FA0" w:rsidP="0029063E">
      <w:pPr>
        <w:framePr w:w="9726" w:h="1201" w:hSpace="240" w:vSpace="120" w:wrap="auto" w:vAnchor="text" w:hAnchor="margin" w:x="241" w:y="12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2E0982">
        <w:rPr>
          <w:b/>
          <w:spacing w:val="-3"/>
        </w:rPr>
        <w:t> </w:t>
      </w:r>
      <w:r>
        <w:rPr>
          <w:b/>
          <w:spacing w:val="-3"/>
        </w:rPr>
        <w:t>38</w:t>
      </w:r>
    </w:p>
    <w:p w14:paraId="787E5856" w14:textId="324909E2" w:rsidR="001B0FA0" w:rsidRPr="0029063E" w:rsidRDefault="001B0FA0" w:rsidP="0029063E">
      <w:pPr>
        <w:framePr w:w="9726" w:h="1201" w:hSpace="240" w:vSpace="120" w:wrap="auto" w:vAnchor="text" w:hAnchor="margin" w:x="241" w:y="126"/>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44"/>
          <w:szCs w:val="44"/>
        </w:rPr>
      </w:pPr>
      <w:r w:rsidRPr="0029063E">
        <w:rPr>
          <w:b/>
          <w:spacing w:val="-7"/>
          <w:sz w:val="44"/>
          <w:szCs w:val="44"/>
        </w:rPr>
        <w:t>Unmittelbarkeitsgrundsatz</w:t>
      </w:r>
      <w:r w:rsidR="002E0982">
        <w:rPr>
          <w:b/>
          <w:spacing w:val="-7"/>
          <w:sz w:val="44"/>
          <w:szCs w:val="44"/>
        </w:rPr>
        <w:t xml:space="preserve">, </w:t>
      </w:r>
      <w:r w:rsidRPr="0029063E">
        <w:rPr>
          <w:b/>
          <w:spacing w:val="-7"/>
          <w:sz w:val="44"/>
          <w:szCs w:val="44"/>
        </w:rPr>
        <w:t>§§ 250 ff. StPO</w:t>
      </w:r>
    </w:p>
    <w:p w14:paraId="220FC87D" w14:textId="77777777" w:rsidR="001B0FA0" w:rsidRDefault="001B0FA0" w:rsidP="0029063E">
      <w:pPr>
        <w:pStyle w:val="Beschriftung"/>
        <w:framePr w:w="9726" w:h="1201" w:hSpace="240" w:vSpace="120" w:wrap="auto" w:vAnchor="text" w:hAnchor="margin" w:x="241" w:y="126"/>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AE3E7D">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1058DC">
        <w:rPr>
          <w:rFonts w:ascii="Times New Roman" w:hAnsi="Times New Roman"/>
          <w:noProof/>
          <w:vanish/>
          <w:spacing w:val="-7"/>
          <w:sz w:val="60"/>
        </w:rPr>
        <w:t>1</w:t>
      </w:r>
      <w:r>
        <w:rPr>
          <w:rFonts w:ascii="Times New Roman" w:hAnsi="Times New Roman"/>
          <w:vanish/>
          <w:spacing w:val="-7"/>
          <w:sz w:val="60"/>
        </w:rPr>
        <w:fldChar w:fldCharType="end"/>
      </w:r>
    </w:p>
    <w:p w14:paraId="528B36F4" w14:textId="370CE351" w:rsidR="001B0FA0" w:rsidRPr="00B36ED6" w:rsidRDefault="001B0FA0" w:rsidP="00B667B5">
      <w:pPr>
        <w:widowControl/>
        <w:tabs>
          <w:tab w:val="left" w:pos="-720"/>
          <w:tab w:val="left" w:pos="0"/>
          <w:tab w:val="left" w:pos="284"/>
          <w:tab w:val="left" w:pos="864"/>
          <w:tab w:val="left" w:pos="1116"/>
          <w:tab w:val="left" w:pos="1404"/>
          <w:tab w:val="left" w:pos="1692"/>
          <w:tab w:val="left" w:pos="1980"/>
          <w:tab w:val="left" w:pos="2268"/>
          <w:tab w:val="left" w:pos="2880"/>
        </w:tabs>
        <w:spacing w:line="180" w:lineRule="exact"/>
        <w:ind w:left="284" w:hanging="284"/>
        <w:jc w:val="both"/>
        <w:rPr>
          <w:rFonts w:ascii="Times New Roman" w:hAnsi="Times New Roman"/>
          <w:spacing w:val="-2"/>
          <w:sz w:val="16"/>
          <w:szCs w:val="16"/>
        </w:rPr>
      </w:pPr>
      <w:r w:rsidRPr="00B36ED6">
        <w:rPr>
          <w:rFonts w:ascii="Times New Roman" w:hAnsi="Times New Roman"/>
          <w:b/>
          <w:spacing w:val="-2"/>
          <w:sz w:val="16"/>
          <w:szCs w:val="16"/>
        </w:rPr>
        <w:t xml:space="preserve">I. </w:t>
      </w:r>
      <w:r w:rsidRPr="00B36ED6">
        <w:rPr>
          <w:rFonts w:ascii="Times New Roman" w:hAnsi="Times New Roman"/>
          <w:b/>
          <w:spacing w:val="-2"/>
          <w:sz w:val="16"/>
          <w:szCs w:val="16"/>
        </w:rPr>
        <w:tab/>
        <w:t xml:space="preserve">Allgemeines: </w:t>
      </w:r>
      <w:r w:rsidRPr="00B36ED6">
        <w:rPr>
          <w:rFonts w:ascii="Times New Roman" w:hAnsi="Times New Roman"/>
          <w:spacing w:val="-2"/>
          <w:sz w:val="16"/>
          <w:szCs w:val="16"/>
        </w:rPr>
        <w:t>Der Unmittelbarkeitsgrundsatz kommt insb</w:t>
      </w:r>
      <w:r w:rsidR="00C65FFE" w:rsidRPr="00B36ED6">
        <w:rPr>
          <w:rFonts w:ascii="Times New Roman" w:hAnsi="Times New Roman"/>
          <w:spacing w:val="-2"/>
          <w:sz w:val="16"/>
          <w:szCs w:val="16"/>
        </w:rPr>
        <w:t>.</w:t>
      </w:r>
      <w:r w:rsidRPr="00B36ED6">
        <w:rPr>
          <w:rFonts w:ascii="Times New Roman" w:hAnsi="Times New Roman"/>
          <w:spacing w:val="-2"/>
          <w:sz w:val="16"/>
          <w:szCs w:val="16"/>
        </w:rPr>
        <w:t xml:space="preserve"> in den §§ 250 ff. StPO zum Ausdruck. Er besagt, dass das Gericht Beweise selbst erheben muss und nicht durch Surrogate ersetzen darf. So sind etwa Zeugen persönlich zu vernehmen und es dürfen nicht schlichtweg die Protokolle über frühere Vernehmung</w:t>
      </w:r>
      <w:r w:rsidR="00C65FFE" w:rsidRPr="00B36ED6">
        <w:rPr>
          <w:rFonts w:ascii="Times New Roman" w:hAnsi="Times New Roman"/>
          <w:spacing w:val="-2"/>
          <w:sz w:val="16"/>
          <w:szCs w:val="16"/>
        </w:rPr>
        <w:t>en</w:t>
      </w:r>
      <w:r w:rsidRPr="00B36ED6">
        <w:rPr>
          <w:rFonts w:ascii="Times New Roman" w:hAnsi="Times New Roman"/>
          <w:spacing w:val="-2"/>
          <w:sz w:val="16"/>
          <w:szCs w:val="16"/>
        </w:rPr>
        <w:t xml:space="preserve"> verlesen und als Urkunde (§ 249 StPO) in den Prozess eingeführt werden. Insofern gilt ein </w:t>
      </w:r>
      <w:r w:rsidRPr="00B36ED6">
        <w:rPr>
          <w:rFonts w:ascii="Times New Roman" w:hAnsi="Times New Roman"/>
          <w:b/>
          <w:spacing w:val="-2"/>
          <w:sz w:val="16"/>
          <w:szCs w:val="16"/>
        </w:rPr>
        <w:t>Vorrang des Personalbeweises</w:t>
      </w:r>
      <w:r w:rsidRPr="00B36ED6">
        <w:rPr>
          <w:rFonts w:ascii="Times New Roman" w:hAnsi="Times New Roman"/>
          <w:spacing w:val="-2"/>
          <w:sz w:val="16"/>
          <w:szCs w:val="16"/>
        </w:rPr>
        <w:t xml:space="preserve"> vor dem </w:t>
      </w:r>
      <w:proofErr w:type="spellStart"/>
      <w:r w:rsidRPr="00B36ED6">
        <w:rPr>
          <w:rFonts w:ascii="Times New Roman" w:hAnsi="Times New Roman"/>
          <w:spacing w:val="-2"/>
          <w:sz w:val="16"/>
          <w:szCs w:val="16"/>
        </w:rPr>
        <w:t>Urkundsbeweis</w:t>
      </w:r>
      <w:proofErr w:type="spellEnd"/>
      <w:r w:rsidRPr="00B36ED6">
        <w:rPr>
          <w:rFonts w:ascii="Times New Roman" w:hAnsi="Times New Roman"/>
          <w:spacing w:val="-2"/>
          <w:sz w:val="16"/>
          <w:szCs w:val="16"/>
        </w:rPr>
        <w:t xml:space="preserve">. Dies schließt nicht aus, die frühere </w:t>
      </w:r>
      <w:proofErr w:type="spellStart"/>
      <w:r w:rsidRPr="00B36ED6">
        <w:rPr>
          <w:rFonts w:ascii="Times New Roman" w:hAnsi="Times New Roman"/>
          <w:spacing w:val="-2"/>
          <w:sz w:val="16"/>
          <w:szCs w:val="16"/>
        </w:rPr>
        <w:t>Verhörsperson</w:t>
      </w:r>
      <w:proofErr w:type="spellEnd"/>
      <w:r w:rsidRPr="00B36ED6">
        <w:rPr>
          <w:rFonts w:ascii="Times New Roman" w:hAnsi="Times New Roman"/>
          <w:spacing w:val="-2"/>
          <w:sz w:val="16"/>
          <w:szCs w:val="16"/>
        </w:rPr>
        <w:t xml:space="preserve"> über den Inhalt der Vernehmung </w:t>
      </w:r>
      <w:r w:rsidR="00826CA3">
        <w:rPr>
          <w:rFonts w:ascii="Times New Roman" w:hAnsi="Times New Roman"/>
          <w:spacing w:val="-2"/>
          <w:sz w:val="16"/>
          <w:szCs w:val="16"/>
        </w:rPr>
        <w:t xml:space="preserve">zu </w:t>
      </w:r>
      <w:r w:rsidRPr="00B36ED6">
        <w:rPr>
          <w:rFonts w:ascii="Times New Roman" w:hAnsi="Times New Roman"/>
          <w:spacing w:val="-2"/>
          <w:sz w:val="16"/>
          <w:szCs w:val="16"/>
        </w:rPr>
        <w:t>ver</w:t>
      </w:r>
      <w:r w:rsidR="00826CA3">
        <w:rPr>
          <w:rFonts w:ascii="Times New Roman" w:hAnsi="Times New Roman"/>
          <w:spacing w:val="-2"/>
          <w:sz w:val="16"/>
          <w:szCs w:val="16"/>
        </w:rPr>
        <w:t>nehmen</w:t>
      </w:r>
      <w:r w:rsidRPr="00B36ED6">
        <w:rPr>
          <w:rFonts w:ascii="Times New Roman" w:hAnsi="Times New Roman"/>
          <w:spacing w:val="-2"/>
          <w:sz w:val="16"/>
          <w:szCs w:val="16"/>
        </w:rPr>
        <w:t xml:space="preserve"> (so</w:t>
      </w:r>
      <w:r w:rsidR="00C65FFE" w:rsidRPr="00B36ED6">
        <w:rPr>
          <w:rFonts w:ascii="Times New Roman" w:hAnsi="Times New Roman"/>
          <w:spacing w:val="-2"/>
          <w:sz w:val="16"/>
          <w:szCs w:val="16"/>
        </w:rPr>
        <w:t>g.</w:t>
      </w:r>
      <w:r w:rsidRPr="00B36ED6">
        <w:rPr>
          <w:rFonts w:ascii="Times New Roman" w:hAnsi="Times New Roman"/>
          <w:spacing w:val="-2"/>
          <w:sz w:val="16"/>
          <w:szCs w:val="16"/>
        </w:rPr>
        <w:t xml:space="preserve"> „</w:t>
      </w:r>
      <w:r w:rsidRPr="00B36ED6">
        <w:rPr>
          <w:rFonts w:ascii="Times New Roman" w:hAnsi="Times New Roman"/>
          <w:b/>
          <w:spacing w:val="-2"/>
          <w:sz w:val="16"/>
          <w:szCs w:val="16"/>
        </w:rPr>
        <w:t>Zeuge vom Hörensagen</w:t>
      </w:r>
      <w:r w:rsidRPr="00B36ED6">
        <w:rPr>
          <w:rFonts w:ascii="Times New Roman" w:hAnsi="Times New Roman"/>
          <w:spacing w:val="-2"/>
          <w:sz w:val="16"/>
          <w:szCs w:val="16"/>
        </w:rPr>
        <w:t xml:space="preserve">“), denn dies ist ein Personalbeweis. Die §§ 251 ff. StPO enthalten Ausnahmen von diesen Grundsätzen und regeln Möglichkeiten der Ersetzung der persönlichen Vernehmung durch Verlesung von </w:t>
      </w:r>
      <w:r w:rsidR="00C65FFE" w:rsidRPr="00B36ED6">
        <w:rPr>
          <w:rFonts w:ascii="Times New Roman" w:hAnsi="Times New Roman"/>
          <w:spacing w:val="-2"/>
          <w:sz w:val="16"/>
          <w:szCs w:val="16"/>
        </w:rPr>
        <w:t>Protokollen</w:t>
      </w:r>
      <w:r w:rsidRPr="00B36ED6">
        <w:rPr>
          <w:rFonts w:ascii="Times New Roman" w:hAnsi="Times New Roman"/>
          <w:spacing w:val="-2"/>
          <w:sz w:val="16"/>
          <w:szCs w:val="16"/>
        </w:rPr>
        <w:t xml:space="preserve">. Von der Verlesung der </w:t>
      </w:r>
      <w:r w:rsidR="00D635A3" w:rsidRPr="00B36ED6">
        <w:rPr>
          <w:rFonts w:ascii="Times New Roman" w:hAnsi="Times New Roman"/>
          <w:spacing w:val="-2"/>
          <w:sz w:val="16"/>
          <w:szCs w:val="16"/>
        </w:rPr>
        <w:t>Protokolle</w:t>
      </w:r>
      <w:r w:rsidRPr="00B36ED6">
        <w:rPr>
          <w:rFonts w:ascii="Times New Roman" w:hAnsi="Times New Roman"/>
          <w:spacing w:val="-2"/>
          <w:sz w:val="16"/>
          <w:szCs w:val="16"/>
        </w:rPr>
        <w:t xml:space="preserve"> und ihrer Verwendung als </w:t>
      </w:r>
      <w:proofErr w:type="spellStart"/>
      <w:r w:rsidRPr="00B36ED6">
        <w:rPr>
          <w:rFonts w:ascii="Times New Roman" w:hAnsi="Times New Roman"/>
          <w:spacing w:val="-2"/>
          <w:sz w:val="16"/>
          <w:szCs w:val="16"/>
        </w:rPr>
        <w:t>Urkundsbeweis</w:t>
      </w:r>
      <w:proofErr w:type="spellEnd"/>
      <w:r w:rsidRPr="00B36ED6">
        <w:rPr>
          <w:rFonts w:ascii="Times New Roman" w:hAnsi="Times New Roman"/>
          <w:spacing w:val="-2"/>
          <w:sz w:val="16"/>
          <w:szCs w:val="16"/>
        </w:rPr>
        <w:t xml:space="preserve"> (!) zu unterscheiden ist die nach h.M. zulässige </w:t>
      </w:r>
      <w:r w:rsidRPr="00B36ED6">
        <w:rPr>
          <w:rFonts w:ascii="Times New Roman" w:hAnsi="Times New Roman"/>
          <w:b/>
          <w:spacing w:val="-2"/>
          <w:sz w:val="16"/>
          <w:szCs w:val="16"/>
        </w:rPr>
        <w:t>Verlesung zum Zwecke des</w:t>
      </w:r>
      <w:r w:rsidRPr="00B36ED6">
        <w:rPr>
          <w:rFonts w:ascii="Times New Roman" w:hAnsi="Times New Roman"/>
          <w:spacing w:val="-2"/>
          <w:sz w:val="16"/>
          <w:szCs w:val="16"/>
        </w:rPr>
        <w:t xml:space="preserve"> </w:t>
      </w:r>
      <w:r w:rsidRPr="00B36ED6">
        <w:rPr>
          <w:rFonts w:ascii="Times New Roman" w:hAnsi="Times New Roman"/>
          <w:b/>
          <w:spacing w:val="-2"/>
          <w:sz w:val="16"/>
          <w:szCs w:val="16"/>
        </w:rPr>
        <w:t>Vorhalts</w:t>
      </w:r>
      <w:r w:rsidRPr="00B36ED6">
        <w:rPr>
          <w:rFonts w:ascii="Times New Roman" w:hAnsi="Times New Roman"/>
          <w:spacing w:val="-2"/>
          <w:sz w:val="16"/>
          <w:szCs w:val="16"/>
        </w:rPr>
        <w:t xml:space="preserve">: Diese dient nicht </w:t>
      </w:r>
      <w:r w:rsidR="003A7147">
        <w:rPr>
          <w:rFonts w:ascii="Times New Roman" w:hAnsi="Times New Roman"/>
          <w:spacing w:val="-2"/>
          <w:sz w:val="16"/>
          <w:szCs w:val="16"/>
        </w:rPr>
        <w:t>als</w:t>
      </w:r>
      <w:r w:rsidRPr="00B36ED6">
        <w:rPr>
          <w:rFonts w:ascii="Times New Roman" w:hAnsi="Times New Roman"/>
          <w:spacing w:val="-2"/>
          <w:sz w:val="16"/>
          <w:szCs w:val="16"/>
        </w:rPr>
        <w:t xml:space="preserve"> (</w:t>
      </w:r>
      <w:proofErr w:type="spellStart"/>
      <w:r w:rsidRPr="00B36ED6">
        <w:rPr>
          <w:rFonts w:ascii="Times New Roman" w:hAnsi="Times New Roman"/>
          <w:spacing w:val="-2"/>
          <w:sz w:val="16"/>
          <w:szCs w:val="16"/>
        </w:rPr>
        <w:t>Urkunds</w:t>
      </w:r>
      <w:proofErr w:type="spellEnd"/>
      <w:r w:rsidRPr="00B36ED6">
        <w:rPr>
          <w:rFonts w:ascii="Times New Roman" w:hAnsi="Times New Roman"/>
          <w:spacing w:val="-2"/>
          <w:sz w:val="16"/>
          <w:szCs w:val="16"/>
        </w:rPr>
        <w:t xml:space="preserve">-)Beweis, sondern </w:t>
      </w:r>
      <w:r w:rsidR="003A7147">
        <w:rPr>
          <w:rFonts w:ascii="Times New Roman" w:hAnsi="Times New Roman"/>
          <w:spacing w:val="-2"/>
          <w:sz w:val="16"/>
          <w:szCs w:val="16"/>
        </w:rPr>
        <w:t>als</w:t>
      </w:r>
      <w:r w:rsidRPr="00B36ED6">
        <w:rPr>
          <w:rFonts w:ascii="Times New Roman" w:hAnsi="Times New Roman"/>
          <w:spacing w:val="-2"/>
          <w:sz w:val="16"/>
          <w:szCs w:val="16"/>
        </w:rPr>
        <w:t xml:space="preserve"> Gedächtnisanregung</w:t>
      </w:r>
      <w:r w:rsidR="007F092C">
        <w:rPr>
          <w:rFonts w:ascii="Times New Roman" w:hAnsi="Times New Roman"/>
          <w:spacing w:val="-2"/>
          <w:sz w:val="16"/>
          <w:szCs w:val="16"/>
        </w:rPr>
        <w:t>; es handelt sich bei der Vernehmung des Zeugen unter Vorhalt des Protokolls vielmehr weiterhin um einen Personalbeweis, bei dem nur die Reaktion des Zeugen verwertet wird.</w:t>
      </w:r>
    </w:p>
    <w:p w14:paraId="41C81CC9" w14:textId="77777777" w:rsidR="001B0FA0" w:rsidRPr="00B36ED6" w:rsidRDefault="001B0FA0" w:rsidP="00B667B5">
      <w:pPr>
        <w:widowControl/>
        <w:tabs>
          <w:tab w:val="left" w:pos="-720"/>
          <w:tab w:val="left" w:pos="0"/>
          <w:tab w:val="left" w:pos="284"/>
          <w:tab w:val="left" w:pos="864"/>
          <w:tab w:val="left" w:pos="1116"/>
          <w:tab w:val="left" w:pos="1404"/>
          <w:tab w:val="left" w:pos="1692"/>
          <w:tab w:val="left" w:pos="1980"/>
          <w:tab w:val="left" w:pos="2268"/>
          <w:tab w:val="left" w:pos="2880"/>
        </w:tabs>
        <w:spacing w:line="180" w:lineRule="exact"/>
        <w:ind w:left="284" w:hanging="284"/>
        <w:jc w:val="both"/>
        <w:rPr>
          <w:rFonts w:ascii="Times New Roman" w:hAnsi="Times New Roman"/>
          <w:spacing w:val="-2"/>
          <w:sz w:val="16"/>
          <w:szCs w:val="16"/>
        </w:rPr>
      </w:pPr>
      <w:r w:rsidRPr="00B36ED6">
        <w:rPr>
          <w:rFonts w:ascii="Times New Roman" w:hAnsi="Times New Roman"/>
          <w:b/>
          <w:spacing w:val="-2"/>
          <w:sz w:val="16"/>
          <w:szCs w:val="16"/>
        </w:rPr>
        <w:t xml:space="preserve">II. </w:t>
      </w:r>
      <w:r w:rsidRPr="00B36ED6">
        <w:rPr>
          <w:rFonts w:ascii="Times New Roman" w:hAnsi="Times New Roman"/>
          <w:b/>
          <w:spacing w:val="-2"/>
          <w:sz w:val="16"/>
          <w:szCs w:val="16"/>
        </w:rPr>
        <w:tab/>
        <w:t>Ausnahmen vom Vorrang des Personalbeweises:</w:t>
      </w:r>
      <w:r w:rsidRPr="00B36ED6">
        <w:rPr>
          <w:rFonts w:ascii="Times New Roman" w:hAnsi="Times New Roman"/>
          <w:spacing w:val="-2"/>
          <w:sz w:val="16"/>
          <w:szCs w:val="16"/>
        </w:rPr>
        <w:t xml:space="preserve"> Die §§ 251 ff. StPO regeln die Möglichkeiten der </w:t>
      </w:r>
      <w:r w:rsidR="00370483">
        <w:rPr>
          <w:rFonts w:ascii="Times New Roman" w:hAnsi="Times New Roman"/>
          <w:spacing w:val="-2"/>
          <w:sz w:val="16"/>
          <w:szCs w:val="16"/>
        </w:rPr>
        <w:t>Verlesung</w:t>
      </w:r>
      <w:r w:rsidR="00D635A3" w:rsidRPr="00B36ED6">
        <w:rPr>
          <w:rFonts w:ascii="Times New Roman" w:hAnsi="Times New Roman"/>
          <w:spacing w:val="-2"/>
          <w:sz w:val="16"/>
          <w:szCs w:val="16"/>
        </w:rPr>
        <w:t xml:space="preserve"> im Wege des Urkundenbeweises</w:t>
      </w:r>
      <w:r w:rsidRPr="00B36ED6">
        <w:rPr>
          <w:rFonts w:ascii="Times New Roman" w:hAnsi="Times New Roman"/>
          <w:spacing w:val="-2"/>
          <w:sz w:val="16"/>
          <w:szCs w:val="16"/>
        </w:rPr>
        <w:t>.</w:t>
      </w:r>
    </w:p>
    <w:p w14:paraId="3505254F" w14:textId="04796775" w:rsidR="001B0FA0" w:rsidRPr="00B36ED6" w:rsidRDefault="001B0FA0" w:rsidP="00B667B5">
      <w:pPr>
        <w:widowControl/>
        <w:tabs>
          <w:tab w:val="left" w:pos="-720"/>
          <w:tab w:val="left" w:pos="0"/>
          <w:tab w:val="left" w:pos="567"/>
          <w:tab w:val="left" w:pos="1116"/>
          <w:tab w:val="left" w:pos="1404"/>
          <w:tab w:val="left" w:pos="1692"/>
          <w:tab w:val="left" w:pos="1980"/>
          <w:tab w:val="left" w:pos="2268"/>
          <w:tab w:val="left" w:pos="2880"/>
        </w:tabs>
        <w:spacing w:line="180" w:lineRule="exact"/>
        <w:ind w:left="567" w:hanging="283"/>
        <w:jc w:val="both"/>
        <w:rPr>
          <w:rFonts w:ascii="Times New Roman" w:hAnsi="Times New Roman"/>
          <w:spacing w:val="-2"/>
          <w:sz w:val="16"/>
          <w:szCs w:val="16"/>
        </w:rPr>
      </w:pPr>
      <w:r w:rsidRPr="00B36ED6">
        <w:rPr>
          <w:rFonts w:ascii="Times New Roman" w:hAnsi="Times New Roman"/>
          <w:spacing w:val="-2"/>
          <w:sz w:val="16"/>
          <w:szCs w:val="16"/>
          <w:u w:val="single"/>
        </w:rPr>
        <w:t xml:space="preserve">1. </w:t>
      </w:r>
      <w:r w:rsidRPr="00B36ED6">
        <w:rPr>
          <w:rFonts w:ascii="Times New Roman" w:hAnsi="Times New Roman"/>
          <w:spacing w:val="-2"/>
          <w:sz w:val="16"/>
          <w:szCs w:val="16"/>
          <w:u w:val="single"/>
        </w:rPr>
        <w:tab/>
        <w:t>Verlesung von Protokollen über frühere Vernehmung von Zeugen, Sachverständigen und Mitbeschuldigten:</w:t>
      </w:r>
      <w:r w:rsidRPr="00B36ED6">
        <w:rPr>
          <w:rFonts w:ascii="Times New Roman" w:hAnsi="Times New Roman"/>
          <w:spacing w:val="-2"/>
          <w:sz w:val="16"/>
          <w:szCs w:val="16"/>
        </w:rPr>
        <w:t xml:space="preserve"> § 251 StPO enthält eine abschließende Aufzählung der Fälle, in </w:t>
      </w:r>
      <w:r w:rsidR="00282C53">
        <w:rPr>
          <w:rFonts w:ascii="Times New Roman" w:hAnsi="Times New Roman"/>
          <w:spacing w:val="-2"/>
          <w:sz w:val="16"/>
          <w:szCs w:val="16"/>
        </w:rPr>
        <w:t>denen</w:t>
      </w:r>
      <w:r w:rsidR="00282C53" w:rsidRPr="00B36ED6">
        <w:rPr>
          <w:rFonts w:ascii="Times New Roman" w:hAnsi="Times New Roman"/>
          <w:spacing w:val="-2"/>
          <w:sz w:val="16"/>
          <w:szCs w:val="16"/>
        </w:rPr>
        <w:t xml:space="preserve"> </w:t>
      </w:r>
      <w:r w:rsidR="00D635A3" w:rsidRPr="00B36ED6">
        <w:rPr>
          <w:rFonts w:ascii="Times New Roman" w:hAnsi="Times New Roman"/>
          <w:spacing w:val="-2"/>
          <w:sz w:val="16"/>
          <w:szCs w:val="16"/>
        </w:rPr>
        <w:t>Protokolle</w:t>
      </w:r>
      <w:r w:rsidRPr="00B36ED6">
        <w:rPr>
          <w:rFonts w:ascii="Times New Roman" w:hAnsi="Times New Roman"/>
          <w:spacing w:val="-2"/>
          <w:sz w:val="16"/>
          <w:szCs w:val="16"/>
        </w:rPr>
        <w:t xml:space="preserve"> der Vernehmung von Zeugen, Sachverständigen oder Mitbeschuldigten verlesen und als </w:t>
      </w:r>
      <w:proofErr w:type="spellStart"/>
      <w:r w:rsidRPr="00B36ED6">
        <w:rPr>
          <w:rFonts w:ascii="Times New Roman" w:hAnsi="Times New Roman"/>
          <w:spacing w:val="-2"/>
          <w:sz w:val="16"/>
          <w:szCs w:val="16"/>
        </w:rPr>
        <w:t>Urkundsbeweis</w:t>
      </w:r>
      <w:proofErr w:type="spellEnd"/>
      <w:r w:rsidRPr="00B36ED6">
        <w:rPr>
          <w:rFonts w:ascii="Times New Roman" w:hAnsi="Times New Roman"/>
          <w:spacing w:val="-2"/>
          <w:sz w:val="16"/>
          <w:szCs w:val="16"/>
        </w:rPr>
        <w:t xml:space="preserve"> verwendet werden dürfen. Die Vorschrift gilt </w:t>
      </w:r>
      <w:r w:rsidRPr="00B36ED6">
        <w:rPr>
          <w:rFonts w:ascii="Times New Roman" w:hAnsi="Times New Roman"/>
          <w:b/>
          <w:spacing w:val="-2"/>
          <w:sz w:val="16"/>
          <w:szCs w:val="16"/>
        </w:rPr>
        <w:t>nicht</w:t>
      </w:r>
      <w:r w:rsidRPr="00B36ED6">
        <w:rPr>
          <w:rFonts w:ascii="Times New Roman" w:hAnsi="Times New Roman"/>
          <w:spacing w:val="-2"/>
          <w:sz w:val="16"/>
          <w:szCs w:val="16"/>
        </w:rPr>
        <w:t xml:space="preserve"> für Protokolle über frühere Vernehmungen des Beschuldigten. § 251 I StPO enthält Regelungen bzgl. der Verlesung von nicht-richterlichen und richterlichen Protokollen; in § 251 II StPO finden sich weitere Spezialregelungen hinsichtlich der Verlesung von Protokollen über richterliche Vernehmungen</w:t>
      </w:r>
      <w:r w:rsidR="007076EC" w:rsidRPr="00B36ED6">
        <w:rPr>
          <w:rFonts w:ascii="Times New Roman" w:hAnsi="Times New Roman"/>
          <w:spacing w:val="-2"/>
          <w:sz w:val="16"/>
          <w:szCs w:val="16"/>
        </w:rPr>
        <w:t>:</w:t>
      </w:r>
    </w:p>
    <w:p w14:paraId="21751CD2" w14:textId="77777777" w:rsidR="001B0FA0" w:rsidRPr="00B36ED6" w:rsidRDefault="001B0FA0" w:rsidP="00B667B5">
      <w:pPr>
        <w:widowControl/>
        <w:tabs>
          <w:tab w:val="left" w:pos="-720"/>
          <w:tab w:val="left" w:pos="0"/>
          <w:tab w:val="left" w:pos="851"/>
          <w:tab w:val="left" w:pos="1404"/>
          <w:tab w:val="left" w:pos="1692"/>
          <w:tab w:val="left" w:pos="1980"/>
          <w:tab w:val="left" w:pos="2268"/>
          <w:tab w:val="left" w:pos="2880"/>
        </w:tabs>
        <w:spacing w:line="180" w:lineRule="exact"/>
        <w:ind w:left="851" w:hanging="284"/>
        <w:jc w:val="both"/>
        <w:outlineLvl w:val="0"/>
        <w:rPr>
          <w:rFonts w:ascii="Times New Roman" w:hAnsi="Times New Roman"/>
          <w:spacing w:val="-2"/>
          <w:sz w:val="16"/>
          <w:szCs w:val="16"/>
        </w:rPr>
      </w:pPr>
      <w:r w:rsidRPr="00B36ED6">
        <w:rPr>
          <w:rFonts w:ascii="Times New Roman" w:hAnsi="Times New Roman"/>
          <w:spacing w:val="-2"/>
          <w:sz w:val="16"/>
          <w:szCs w:val="16"/>
        </w:rPr>
        <w:t xml:space="preserve">a) </w:t>
      </w:r>
      <w:r w:rsidRPr="00B36ED6">
        <w:rPr>
          <w:rFonts w:ascii="Times New Roman" w:hAnsi="Times New Roman"/>
          <w:spacing w:val="-2"/>
          <w:sz w:val="16"/>
          <w:szCs w:val="16"/>
        </w:rPr>
        <w:tab/>
      </w:r>
      <w:r w:rsidRPr="00B36ED6">
        <w:rPr>
          <w:rFonts w:ascii="Times New Roman" w:hAnsi="Times New Roman"/>
          <w:spacing w:val="-2"/>
          <w:sz w:val="16"/>
          <w:szCs w:val="16"/>
          <w:u w:val="single"/>
        </w:rPr>
        <w:t>Nicht-richterliche und richterliche Protokolle</w:t>
      </w:r>
      <w:r w:rsidRPr="00B36ED6">
        <w:rPr>
          <w:rFonts w:ascii="Times New Roman" w:hAnsi="Times New Roman"/>
          <w:spacing w:val="-2"/>
          <w:sz w:val="16"/>
          <w:szCs w:val="16"/>
        </w:rPr>
        <w:t xml:space="preserve"> können gemäß § 251 I StPO verlesen werden</w:t>
      </w:r>
      <w:r w:rsidR="007076EC" w:rsidRPr="00B36ED6">
        <w:rPr>
          <w:rFonts w:ascii="Times New Roman" w:hAnsi="Times New Roman"/>
          <w:spacing w:val="-2"/>
          <w:sz w:val="16"/>
          <w:szCs w:val="16"/>
        </w:rPr>
        <w:t>, wenn</w:t>
      </w:r>
      <w:r w:rsidRPr="00B36ED6">
        <w:rPr>
          <w:rFonts w:ascii="Times New Roman" w:hAnsi="Times New Roman"/>
          <w:spacing w:val="-2"/>
          <w:sz w:val="16"/>
          <w:szCs w:val="16"/>
        </w:rPr>
        <w:t xml:space="preserve"> (alternativ)</w:t>
      </w:r>
    </w:p>
    <w:p w14:paraId="24DF64F4" w14:textId="77777777" w:rsidR="001B0FA0" w:rsidRPr="00B36ED6" w:rsidRDefault="001B0FA0" w:rsidP="00B667B5">
      <w:pPr>
        <w:widowControl/>
        <w:tabs>
          <w:tab w:val="left" w:pos="-720"/>
          <w:tab w:val="left" w:pos="0"/>
          <w:tab w:val="left" w:pos="1134"/>
          <w:tab w:val="left" w:pos="140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t>StA, Verteidiger und Angeklagter mit der Verlesung einverstanden sind</w:t>
      </w:r>
      <w:r w:rsidR="00800AC3">
        <w:rPr>
          <w:rFonts w:ascii="Times New Roman" w:hAnsi="Times New Roman"/>
          <w:spacing w:val="-2"/>
          <w:sz w:val="16"/>
          <w:szCs w:val="16"/>
        </w:rPr>
        <w:t xml:space="preserve"> (Nr. 1)</w:t>
      </w:r>
      <w:r w:rsidRPr="00B36ED6">
        <w:rPr>
          <w:rFonts w:ascii="Times New Roman" w:hAnsi="Times New Roman"/>
          <w:spacing w:val="-2"/>
          <w:sz w:val="16"/>
          <w:szCs w:val="16"/>
        </w:rPr>
        <w:t>;</w:t>
      </w:r>
    </w:p>
    <w:p w14:paraId="2930B51E" w14:textId="73C76255" w:rsidR="009B4AC6" w:rsidRPr="00B36ED6" w:rsidRDefault="009B4AC6" w:rsidP="00B667B5">
      <w:pPr>
        <w:widowControl/>
        <w:numPr>
          <w:ilvl w:val="0"/>
          <w:numId w:val="2"/>
        </w:numPr>
        <w:tabs>
          <w:tab w:val="left" w:pos="-720"/>
          <w:tab w:val="left" w:pos="0"/>
          <w:tab w:val="left" w:pos="113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die Verlesung lediglich der Bestätigung eines Geständnisses des Angeklagten dient und der Angeklagte, der keinen Verteidiger hat, sowie </w:t>
      </w:r>
      <w:r w:rsidR="007F092C">
        <w:rPr>
          <w:rFonts w:ascii="Times New Roman" w:hAnsi="Times New Roman"/>
          <w:spacing w:val="-2"/>
          <w:sz w:val="16"/>
          <w:szCs w:val="16"/>
        </w:rPr>
        <w:t>die</w:t>
      </w:r>
      <w:r w:rsidRPr="00B36ED6">
        <w:rPr>
          <w:rFonts w:ascii="Times New Roman" w:hAnsi="Times New Roman"/>
          <w:spacing w:val="-2"/>
          <w:sz w:val="16"/>
          <w:szCs w:val="16"/>
        </w:rPr>
        <w:t xml:space="preserve"> </w:t>
      </w:r>
      <w:proofErr w:type="spellStart"/>
      <w:r w:rsidRPr="00B36ED6">
        <w:rPr>
          <w:rFonts w:ascii="Times New Roman" w:hAnsi="Times New Roman"/>
          <w:spacing w:val="-2"/>
          <w:sz w:val="16"/>
          <w:szCs w:val="16"/>
        </w:rPr>
        <w:t>StA</w:t>
      </w:r>
      <w:proofErr w:type="spellEnd"/>
      <w:r w:rsidRPr="00B36ED6">
        <w:rPr>
          <w:rFonts w:ascii="Times New Roman" w:hAnsi="Times New Roman"/>
          <w:spacing w:val="-2"/>
          <w:sz w:val="16"/>
          <w:szCs w:val="16"/>
        </w:rPr>
        <w:t xml:space="preserve"> der Verlesung zustimmen</w:t>
      </w:r>
      <w:r w:rsidR="00800AC3">
        <w:rPr>
          <w:rFonts w:ascii="Times New Roman" w:hAnsi="Times New Roman"/>
          <w:spacing w:val="-2"/>
          <w:sz w:val="16"/>
          <w:szCs w:val="16"/>
        </w:rPr>
        <w:t xml:space="preserve"> (Nr. 2)</w:t>
      </w:r>
      <w:r w:rsidR="009B3B17" w:rsidRPr="00B36ED6">
        <w:rPr>
          <w:rFonts w:ascii="Times New Roman" w:hAnsi="Times New Roman"/>
          <w:spacing w:val="-2"/>
          <w:sz w:val="16"/>
          <w:szCs w:val="16"/>
        </w:rPr>
        <w:t>;</w:t>
      </w:r>
    </w:p>
    <w:p w14:paraId="4CA0F685" w14:textId="77777777" w:rsidR="001B0FA0" w:rsidRPr="00B36ED6" w:rsidRDefault="001B0FA0" w:rsidP="00B667B5">
      <w:pPr>
        <w:widowControl/>
        <w:tabs>
          <w:tab w:val="left" w:pos="-720"/>
          <w:tab w:val="left" w:pos="1134"/>
          <w:tab w:val="left" w:pos="140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t xml:space="preserve">der Zeuge, Sachverständige oder Mitbeschuldigte verstorben ist oder aus einem anderen Grund </w:t>
      </w:r>
      <w:r w:rsidR="00AE0386" w:rsidRPr="00B36ED6">
        <w:rPr>
          <w:rFonts w:ascii="Times New Roman" w:hAnsi="Times New Roman"/>
          <w:spacing w:val="-2"/>
          <w:sz w:val="16"/>
          <w:szCs w:val="16"/>
        </w:rPr>
        <w:t xml:space="preserve">in absehbarer Zeit gerichtlich </w:t>
      </w:r>
      <w:r w:rsidRPr="00B36ED6">
        <w:rPr>
          <w:rFonts w:ascii="Times New Roman" w:hAnsi="Times New Roman"/>
          <w:spacing w:val="-2"/>
          <w:sz w:val="16"/>
          <w:szCs w:val="16"/>
        </w:rPr>
        <w:t>nicht vernommen werden kann</w:t>
      </w:r>
      <w:r w:rsidR="00800AC3">
        <w:rPr>
          <w:rFonts w:ascii="Times New Roman" w:hAnsi="Times New Roman"/>
          <w:spacing w:val="-2"/>
          <w:sz w:val="16"/>
          <w:szCs w:val="16"/>
        </w:rPr>
        <w:t xml:space="preserve"> (Nr. 3)</w:t>
      </w:r>
      <w:r w:rsidRPr="00B36ED6">
        <w:rPr>
          <w:rFonts w:ascii="Times New Roman" w:hAnsi="Times New Roman"/>
          <w:spacing w:val="-2"/>
          <w:sz w:val="16"/>
          <w:szCs w:val="16"/>
        </w:rPr>
        <w:t>;</w:t>
      </w:r>
    </w:p>
    <w:p w14:paraId="561E361D" w14:textId="77777777" w:rsidR="001B0FA0" w:rsidRPr="00B36ED6" w:rsidRDefault="001B0FA0" w:rsidP="00B667B5">
      <w:pPr>
        <w:widowControl/>
        <w:tabs>
          <w:tab w:val="left" w:pos="-720"/>
          <w:tab w:val="left" w:pos="0"/>
          <w:tab w:val="left" w:pos="113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r>
      <w:proofErr w:type="gramStart"/>
      <w:r w:rsidR="0036563D" w:rsidRPr="00B36ED6">
        <w:rPr>
          <w:rFonts w:ascii="Times New Roman" w:hAnsi="Times New Roman"/>
          <w:spacing w:val="-2"/>
          <w:sz w:val="16"/>
          <w:szCs w:val="16"/>
        </w:rPr>
        <w:t>soweit</w:t>
      </w:r>
      <w:proofErr w:type="gramEnd"/>
      <w:r w:rsidR="0036563D" w:rsidRPr="00B36ED6">
        <w:rPr>
          <w:rFonts w:ascii="Times New Roman" w:hAnsi="Times New Roman"/>
          <w:spacing w:val="-2"/>
          <w:sz w:val="16"/>
          <w:szCs w:val="16"/>
        </w:rPr>
        <w:t xml:space="preserve"> das Protokoll oder die Urkunde </w:t>
      </w:r>
      <w:r w:rsidRPr="00B36ED6">
        <w:rPr>
          <w:rFonts w:ascii="Times New Roman" w:hAnsi="Times New Roman"/>
          <w:spacing w:val="-2"/>
          <w:sz w:val="16"/>
          <w:szCs w:val="16"/>
        </w:rPr>
        <w:t>das Vorliegen oder die Höhe eines Vermögensschadens betrifft</w:t>
      </w:r>
      <w:r w:rsidR="00800AC3">
        <w:rPr>
          <w:rFonts w:ascii="Times New Roman" w:hAnsi="Times New Roman"/>
          <w:spacing w:val="-2"/>
          <w:sz w:val="16"/>
          <w:szCs w:val="16"/>
        </w:rPr>
        <w:t xml:space="preserve"> (Nr. 4)</w:t>
      </w:r>
      <w:r w:rsidRPr="00B36ED6">
        <w:rPr>
          <w:rFonts w:ascii="Times New Roman" w:hAnsi="Times New Roman"/>
          <w:spacing w:val="-2"/>
          <w:sz w:val="16"/>
          <w:szCs w:val="16"/>
        </w:rPr>
        <w:t>.</w:t>
      </w:r>
    </w:p>
    <w:p w14:paraId="600EE2A8" w14:textId="77777777" w:rsidR="001B0FA0" w:rsidRPr="00B36ED6" w:rsidRDefault="001B0FA0" w:rsidP="00B667B5">
      <w:pPr>
        <w:widowControl/>
        <w:tabs>
          <w:tab w:val="left" w:pos="-720"/>
          <w:tab w:val="left" w:pos="0"/>
          <w:tab w:val="left" w:pos="851"/>
          <w:tab w:val="left" w:pos="1134"/>
          <w:tab w:val="left" w:pos="1692"/>
          <w:tab w:val="left" w:pos="1980"/>
          <w:tab w:val="left" w:pos="2268"/>
          <w:tab w:val="left" w:pos="2880"/>
        </w:tabs>
        <w:spacing w:line="180" w:lineRule="exact"/>
        <w:ind w:left="851" w:hanging="284"/>
        <w:jc w:val="both"/>
        <w:outlineLvl w:val="0"/>
        <w:rPr>
          <w:rFonts w:ascii="Times New Roman" w:hAnsi="Times New Roman"/>
          <w:spacing w:val="-2"/>
          <w:sz w:val="16"/>
          <w:szCs w:val="16"/>
        </w:rPr>
      </w:pPr>
      <w:r w:rsidRPr="00B36ED6">
        <w:rPr>
          <w:rFonts w:ascii="Times New Roman" w:hAnsi="Times New Roman"/>
          <w:spacing w:val="-2"/>
          <w:sz w:val="16"/>
          <w:szCs w:val="16"/>
        </w:rPr>
        <w:t xml:space="preserve">b) </w:t>
      </w:r>
      <w:r w:rsidRPr="00B36ED6">
        <w:rPr>
          <w:rFonts w:ascii="Times New Roman" w:hAnsi="Times New Roman"/>
          <w:spacing w:val="-2"/>
          <w:sz w:val="16"/>
          <w:szCs w:val="16"/>
        </w:rPr>
        <w:tab/>
      </w:r>
      <w:r w:rsidRPr="00B36ED6">
        <w:rPr>
          <w:rFonts w:ascii="Times New Roman" w:hAnsi="Times New Roman"/>
          <w:spacing w:val="-2"/>
          <w:sz w:val="16"/>
          <w:szCs w:val="16"/>
          <w:u w:val="single"/>
        </w:rPr>
        <w:t>Richterliche Protokolle</w:t>
      </w:r>
      <w:r w:rsidRPr="00B36ED6">
        <w:rPr>
          <w:rFonts w:ascii="Times New Roman" w:hAnsi="Times New Roman"/>
          <w:spacing w:val="-2"/>
          <w:sz w:val="16"/>
          <w:szCs w:val="16"/>
        </w:rPr>
        <w:t xml:space="preserve"> können zudem gemäß § 251 II StPO verlesen werden</w:t>
      </w:r>
      <w:r w:rsidR="009B3B17" w:rsidRPr="00B36ED6">
        <w:rPr>
          <w:rFonts w:ascii="Times New Roman" w:hAnsi="Times New Roman"/>
          <w:spacing w:val="-2"/>
          <w:sz w:val="16"/>
          <w:szCs w:val="16"/>
        </w:rPr>
        <w:t>, wenn</w:t>
      </w:r>
      <w:r w:rsidRPr="00B36ED6">
        <w:rPr>
          <w:rFonts w:ascii="Times New Roman" w:hAnsi="Times New Roman"/>
          <w:spacing w:val="-2"/>
          <w:sz w:val="16"/>
          <w:szCs w:val="16"/>
        </w:rPr>
        <w:t xml:space="preserve"> (alternativ)</w:t>
      </w:r>
    </w:p>
    <w:p w14:paraId="361A24FE" w14:textId="77777777" w:rsidR="001B0FA0" w:rsidRPr="00B36ED6" w:rsidRDefault="001B0FA0" w:rsidP="00B667B5">
      <w:pPr>
        <w:widowControl/>
        <w:tabs>
          <w:tab w:val="left" w:pos="-720"/>
          <w:tab w:val="left" w:pos="0"/>
          <w:tab w:val="left" w:pos="113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t>dem Erscheinen des Zeugen, Sachverständigen oder Mitbeschuldigten in der Hauptverhandlung für eine längere oder ungewisse Zeit Krankheit, Gebrechlichkeit oder andere nicht zu beseitigende Hindernisse entgegenstehen</w:t>
      </w:r>
      <w:r w:rsidR="00800AC3">
        <w:rPr>
          <w:rFonts w:ascii="Times New Roman" w:hAnsi="Times New Roman"/>
          <w:spacing w:val="-2"/>
          <w:sz w:val="16"/>
          <w:szCs w:val="16"/>
        </w:rPr>
        <w:t xml:space="preserve"> (Nr. 1)</w:t>
      </w:r>
      <w:r w:rsidRPr="00B36ED6">
        <w:rPr>
          <w:rFonts w:ascii="Times New Roman" w:hAnsi="Times New Roman"/>
          <w:spacing w:val="-2"/>
          <w:sz w:val="16"/>
          <w:szCs w:val="16"/>
        </w:rPr>
        <w:t>;</w:t>
      </w:r>
    </w:p>
    <w:p w14:paraId="2409F593" w14:textId="77777777" w:rsidR="001B0FA0" w:rsidRPr="00B36ED6" w:rsidRDefault="001B0FA0" w:rsidP="00B667B5">
      <w:pPr>
        <w:widowControl/>
        <w:tabs>
          <w:tab w:val="left" w:pos="-720"/>
          <w:tab w:val="left" w:pos="0"/>
          <w:tab w:val="left" w:pos="113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t>dem Zeugen oder Sachverständigen das Erscheinen in der Hauptverhandlung wegen großer Entfernung unter Berücksichtigung der Bedeutung seiner Aussage nicht zugemutet werden kann</w:t>
      </w:r>
      <w:r w:rsidR="00800AC3">
        <w:rPr>
          <w:rFonts w:ascii="Times New Roman" w:hAnsi="Times New Roman"/>
          <w:spacing w:val="-2"/>
          <w:sz w:val="16"/>
          <w:szCs w:val="16"/>
        </w:rPr>
        <w:t xml:space="preserve"> (Nr. 2)</w:t>
      </w:r>
      <w:r w:rsidRPr="00B36ED6">
        <w:rPr>
          <w:rFonts w:ascii="Times New Roman" w:hAnsi="Times New Roman"/>
          <w:spacing w:val="-2"/>
          <w:sz w:val="16"/>
          <w:szCs w:val="16"/>
        </w:rPr>
        <w:t>;</w:t>
      </w:r>
    </w:p>
    <w:p w14:paraId="2D1EBEF4" w14:textId="43143B95" w:rsidR="001B0FA0" w:rsidRPr="00B36ED6" w:rsidRDefault="001B0FA0" w:rsidP="00B667B5">
      <w:pPr>
        <w:widowControl/>
        <w:tabs>
          <w:tab w:val="left" w:pos="-720"/>
          <w:tab w:val="left" w:pos="0"/>
          <w:tab w:val="left" w:pos="1134"/>
          <w:tab w:val="left" w:pos="1692"/>
          <w:tab w:val="left" w:pos="1980"/>
          <w:tab w:val="left" w:pos="2268"/>
          <w:tab w:val="left" w:pos="2880"/>
        </w:tabs>
        <w:spacing w:line="180" w:lineRule="exact"/>
        <w:ind w:left="1134" w:hanging="283"/>
        <w:jc w:val="both"/>
        <w:rPr>
          <w:rFonts w:ascii="Times New Roman" w:hAnsi="Times New Roman"/>
          <w:spacing w:val="-2"/>
          <w:sz w:val="16"/>
          <w:szCs w:val="16"/>
        </w:rPr>
      </w:pPr>
      <w:r w:rsidRPr="00B36ED6">
        <w:rPr>
          <w:rFonts w:ascii="Times New Roman" w:hAnsi="Times New Roman"/>
          <w:spacing w:val="-2"/>
          <w:sz w:val="16"/>
          <w:szCs w:val="16"/>
        </w:rPr>
        <w:t xml:space="preserve">– </w:t>
      </w:r>
      <w:r w:rsidRPr="00B36ED6">
        <w:rPr>
          <w:rFonts w:ascii="Times New Roman" w:hAnsi="Times New Roman"/>
          <w:spacing w:val="-2"/>
          <w:sz w:val="16"/>
          <w:szCs w:val="16"/>
        </w:rPr>
        <w:tab/>
        <w:t>d</w:t>
      </w:r>
      <w:r w:rsidR="007F092C">
        <w:rPr>
          <w:rFonts w:ascii="Times New Roman" w:hAnsi="Times New Roman"/>
          <w:spacing w:val="-2"/>
          <w:sz w:val="16"/>
          <w:szCs w:val="16"/>
        </w:rPr>
        <w:t xml:space="preserve">ie </w:t>
      </w:r>
      <w:proofErr w:type="spellStart"/>
      <w:r w:rsidR="007F092C">
        <w:rPr>
          <w:rFonts w:ascii="Times New Roman" w:hAnsi="Times New Roman"/>
          <w:spacing w:val="-2"/>
          <w:sz w:val="16"/>
          <w:szCs w:val="16"/>
        </w:rPr>
        <w:t>StA</w:t>
      </w:r>
      <w:proofErr w:type="spellEnd"/>
      <w:r w:rsidRPr="00B36ED6">
        <w:rPr>
          <w:rFonts w:ascii="Times New Roman" w:hAnsi="Times New Roman"/>
          <w:spacing w:val="-2"/>
          <w:sz w:val="16"/>
          <w:szCs w:val="16"/>
        </w:rPr>
        <w:t>, der Verteidiger und der Angeklagte mit der Verlesung einverstanden sind</w:t>
      </w:r>
      <w:r w:rsidR="00800AC3">
        <w:rPr>
          <w:rFonts w:ascii="Times New Roman" w:hAnsi="Times New Roman"/>
          <w:spacing w:val="-2"/>
          <w:sz w:val="16"/>
          <w:szCs w:val="16"/>
        </w:rPr>
        <w:t xml:space="preserve"> (Nr. 3)</w:t>
      </w:r>
      <w:r w:rsidRPr="00B36ED6">
        <w:rPr>
          <w:rFonts w:ascii="Times New Roman" w:hAnsi="Times New Roman"/>
          <w:spacing w:val="-2"/>
          <w:sz w:val="16"/>
          <w:szCs w:val="16"/>
        </w:rPr>
        <w:t>.</w:t>
      </w:r>
    </w:p>
    <w:p w14:paraId="0F90531C" w14:textId="77777777" w:rsidR="001B0FA0" w:rsidRPr="00B36ED6" w:rsidRDefault="001B0FA0" w:rsidP="00B667B5">
      <w:pPr>
        <w:widowControl/>
        <w:tabs>
          <w:tab w:val="left" w:pos="-720"/>
          <w:tab w:val="left" w:pos="284"/>
          <w:tab w:val="left" w:pos="567"/>
          <w:tab w:val="left" w:pos="1404"/>
          <w:tab w:val="left" w:pos="1692"/>
          <w:tab w:val="left" w:pos="1980"/>
          <w:tab w:val="left" w:pos="2268"/>
          <w:tab w:val="left" w:pos="2880"/>
        </w:tabs>
        <w:spacing w:line="180" w:lineRule="exact"/>
        <w:ind w:left="567" w:hanging="283"/>
        <w:jc w:val="both"/>
        <w:rPr>
          <w:rFonts w:ascii="Times New Roman" w:hAnsi="Times New Roman"/>
          <w:spacing w:val="-2"/>
          <w:sz w:val="16"/>
          <w:szCs w:val="16"/>
        </w:rPr>
      </w:pPr>
      <w:r w:rsidRPr="00B36ED6">
        <w:rPr>
          <w:rFonts w:ascii="Times New Roman" w:hAnsi="Times New Roman"/>
          <w:spacing w:val="-2"/>
          <w:sz w:val="16"/>
          <w:szCs w:val="16"/>
          <w:u w:val="single"/>
        </w:rPr>
        <w:t xml:space="preserve">2. </w:t>
      </w:r>
      <w:r w:rsidR="0000170C" w:rsidRPr="00B36ED6">
        <w:rPr>
          <w:rFonts w:ascii="Times New Roman" w:hAnsi="Times New Roman"/>
          <w:spacing w:val="-2"/>
          <w:sz w:val="16"/>
          <w:szCs w:val="16"/>
          <w:u w:val="single"/>
        </w:rPr>
        <w:tab/>
      </w:r>
      <w:r w:rsidRPr="00B36ED6">
        <w:rPr>
          <w:rFonts w:ascii="Times New Roman" w:hAnsi="Times New Roman"/>
          <w:spacing w:val="-2"/>
          <w:sz w:val="16"/>
          <w:szCs w:val="16"/>
          <w:u w:val="single"/>
        </w:rPr>
        <w:t>Verlesung von Protokollen zur Gedächtnisunterstützung, § 253 StPO</w:t>
      </w:r>
      <w:r w:rsidRPr="00B36ED6">
        <w:rPr>
          <w:rFonts w:ascii="Times New Roman" w:hAnsi="Times New Roman"/>
          <w:spacing w:val="-2"/>
          <w:sz w:val="16"/>
          <w:szCs w:val="16"/>
        </w:rPr>
        <w:t xml:space="preserve">: Wichtiger Unterschied zur oben angesprochenen Verlesung zum Zwecke des Vorhalts: Im Fall des § 253 StPO werden die verlesenen </w:t>
      </w:r>
      <w:r w:rsidR="00F90A80" w:rsidRPr="00B36ED6">
        <w:rPr>
          <w:rFonts w:ascii="Times New Roman" w:hAnsi="Times New Roman"/>
          <w:spacing w:val="-2"/>
          <w:sz w:val="16"/>
          <w:szCs w:val="16"/>
        </w:rPr>
        <w:t>Protokolle</w:t>
      </w:r>
      <w:r w:rsidRPr="00B36ED6">
        <w:rPr>
          <w:rFonts w:ascii="Times New Roman" w:hAnsi="Times New Roman"/>
          <w:spacing w:val="-2"/>
          <w:sz w:val="16"/>
          <w:szCs w:val="16"/>
        </w:rPr>
        <w:t xml:space="preserve"> gleichwohl als </w:t>
      </w:r>
      <w:proofErr w:type="spellStart"/>
      <w:r w:rsidRPr="00B36ED6">
        <w:rPr>
          <w:rFonts w:ascii="Times New Roman" w:hAnsi="Times New Roman"/>
          <w:spacing w:val="-2"/>
          <w:sz w:val="16"/>
          <w:szCs w:val="16"/>
        </w:rPr>
        <w:t>Urkundsbeweis</w:t>
      </w:r>
      <w:proofErr w:type="spellEnd"/>
      <w:r w:rsidRPr="00B36ED6">
        <w:rPr>
          <w:rFonts w:ascii="Times New Roman" w:hAnsi="Times New Roman"/>
          <w:spacing w:val="-2"/>
          <w:sz w:val="16"/>
          <w:szCs w:val="16"/>
        </w:rPr>
        <w:t xml:space="preserve"> in den Prozess eingeführt.</w:t>
      </w:r>
    </w:p>
    <w:p w14:paraId="2ED1230D" w14:textId="77777777" w:rsidR="001B0FA0" w:rsidRPr="00B36ED6" w:rsidRDefault="001B0FA0" w:rsidP="00B667B5">
      <w:pPr>
        <w:widowControl/>
        <w:tabs>
          <w:tab w:val="left" w:pos="-720"/>
          <w:tab w:val="left" w:pos="284"/>
          <w:tab w:val="left" w:pos="567"/>
          <w:tab w:val="left" w:pos="1404"/>
          <w:tab w:val="left" w:pos="1692"/>
          <w:tab w:val="left" w:pos="1980"/>
          <w:tab w:val="left" w:pos="2268"/>
          <w:tab w:val="left" w:pos="2880"/>
        </w:tabs>
        <w:spacing w:line="180" w:lineRule="exact"/>
        <w:ind w:left="567" w:hanging="283"/>
        <w:jc w:val="both"/>
        <w:rPr>
          <w:rFonts w:ascii="Times New Roman" w:hAnsi="Times New Roman"/>
          <w:spacing w:val="-2"/>
          <w:sz w:val="16"/>
          <w:szCs w:val="16"/>
        </w:rPr>
      </w:pPr>
      <w:r w:rsidRPr="00B36ED6">
        <w:rPr>
          <w:rFonts w:ascii="Times New Roman" w:hAnsi="Times New Roman"/>
          <w:spacing w:val="-2"/>
          <w:sz w:val="16"/>
          <w:szCs w:val="16"/>
          <w:u w:val="single"/>
        </w:rPr>
        <w:t xml:space="preserve">3. </w:t>
      </w:r>
      <w:r w:rsidR="0000170C" w:rsidRPr="00B36ED6">
        <w:rPr>
          <w:rFonts w:ascii="Times New Roman" w:hAnsi="Times New Roman"/>
          <w:spacing w:val="-2"/>
          <w:sz w:val="16"/>
          <w:szCs w:val="16"/>
          <w:u w:val="single"/>
        </w:rPr>
        <w:tab/>
      </w:r>
      <w:r w:rsidRPr="00B36ED6">
        <w:rPr>
          <w:rFonts w:ascii="Times New Roman" w:hAnsi="Times New Roman"/>
          <w:spacing w:val="-2"/>
          <w:sz w:val="16"/>
          <w:szCs w:val="16"/>
          <w:u w:val="single"/>
        </w:rPr>
        <w:t>Verlesung von Aussagen des Angeklagten zum Zwecke der Beweisaufnahme über ein Geständnis und zur Behebung von Widersprüchen in der Aussage, § 254 StPO</w:t>
      </w:r>
      <w:r w:rsidRPr="00B36ED6">
        <w:rPr>
          <w:rFonts w:ascii="Times New Roman" w:hAnsi="Times New Roman"/>
          <w:spacing w:val="-2"/>
          <w:sz w:val="16"/>
          <w:szCs w:val="16"/>
        </w:rPr>
        <w:t xml:space="preserve">: </w:t>
      </w:r>
      <w:r w:rsidR="00F90A80" w:rsidRPr="00B36ED6">
        <w:rPr>
          <w:rFonts w:ascii="Times New Roman" w:hAnsi="Times New Roman"/>
          <w:spacing w:val="-2"/>
          <w:sz w:val="16"/>
          <w:szCs w:val="16"/>
        </w:rPr>
        <w:t>Die in § 254 StPO genannten Erklärungen des Angeklagten müssen in einem richterlichen Protokoll oder in einer Bild-Ton-Aufzeichnung einer Vernehmung enthalten sein.</w:t>
      </w:r>
    </w:p>
    <w:p w14:paraId="283A874F" w14:textId="77777777" w:rsidR="00F9257A" w:rsidRPr="00B36ED6" w:rsidRDefault="00F9257A" w:rsidP="00B667B5">
      <w:pPr>
        <w:widowControl/>
        <w:tabs>
          <w:tab w:val="left" w:pos="-720"/>
          <w:tab w:val="left" w:pos="284"/>
          <w:tab w:val="left" w:pos="567"/>
          <w:tab w:val="left" w:pos="1404"/>
          <w:tab w:val="left" w:pos="1692"/>
          <w:tab w:val="left" w:pos="1980"/>
          <w:tab w:val="left" w:pos="2268"/>
          <w:tab w:val="left" w:pos="2880"/>
        </w:tabs>
        <w:spacing w:line="180" w:lineRule="exact"/>
        <w:ind w:left="567" w:hanging="283"/>
        <w:jc w:val="both"/>
        <w:rPr>
          <w:rFonts w:ascii="Times New Roman" w:hAnsi="Times New Roman"/>
          <w:spacing w:val="-2"/>
          <w:sz w:val="16"/>
          <w:szCs w:val="16"/>
          <w:u w:val="single"/>
        </w:rPr>
      </w:pPr>
      <w:r w:rsidRPr="00B36ED6">
        <w:rPr>
          <w:rFonts w:ascii="Times New Roman" w:hAnsi="Times New Roman"/>
          <w:spacing w:val="-2"/>
          <w:sz w:val="16"/>
          <w:szCs w:val="16"/>
          <w:u w:val="single"/>
        </w:rPr>
        <w:t>4.</w:t>
      </w:r>
      <w:r w:rsidR="00DB2308" w:rsidRPr="00B36ED6">
        <w:rPr>
          <w:rFonts w:ascii="Times New Roman" w:hAnsi="Times New Roman"/>
          <w:spacing w:val="-2"/>
          <w:sz w:val="16"/>
          <w:szCs w:val="16"/>
          <w:u w:val="single"/>
        </w:rPr>
        <w:t xml:space="preserve"> </w:t>
      </w:r>
      <w:r w:rsidR="0000170C" w:rsidRPr="00B36ED6">
        <w:rPr>
          <w:rFonts w:ascii="Times New Roman" w:hAnsi="Times New Roman"/>
          <w:spacing w:val="-2"/>
          <w:sz w:val="16"/>
          <w:szCs w:val="16"/>
          <w:u w:val="single"/>
        </w:rPr>
        <w:tab/>
      </w:r>
      <w:r w:rsidRPr="00B36ED6">
        <w:rPr>
          <w:rFonts w:ascii="Times New Roman" w:hAnsi="Times New Roman"/>
          <w:spacing w:val="-2"/>
          <w:sz w:val="16"/>
          <w:szCs w:val="16"/>
          <w:u w:val="single"/>
        </w:rPr>
        <w:t>Vorführung einer Videoaufzeichnung einer Zeugenvernehmung, § 255a StPO</w:t>
      </w:r>
    </w:p>
    <w:p w14:paraId="6865B684" w14:textId="6BF8D2D4" w:rsidR="001B0FA0" w:rsidRPr="00B36ED6" w:rsidRDefault="00F9257A" w:rsidP="00B667B5">
      <w:pPr>
        <w:widowControl/>
        <w:tabs>
          <w:tab w:val="left" w:pos="-720"/>
          <w:tab w:val="left" w:pos="284"/>
          <w:tab w:val="left" w:pos="567"/>
          <w:tab w:val="left" w:pos="1404"/>
          <w:tab w:val="left" w:pos="1692"/>
          <w:tab w:val="left" w:pos="1980"/>
          <w:tab w:val="left" w:pos="2268"/>
          <w:tab w:val="left" w:pos="2880"/>
        </w:tabs>
        <w:spacing w:line="180" w:lineRule="exact"/>
        <w:ind w:left="567" w:hanging="283"/>
        <w:jc w:val="both"/>
        <w:rPr>
          <w:rFonts w:ascii="Times New Roman" w:hAnsi="Times New Roman"/>
          <w:spacing w:val="-2"/>
          <w:sz w:val="16"/>
          <w:szCs w:val="16"/>
          <w:u w:val="single"/>
        </w:rPr>
      </w:pPr>
      <w:r w:rsidRPr="00B36ED6">
        <w:rPr>
          <w:rFonts w:ascii="Times New Roman" w:hAnsi="Times New Roman"/>
          <w:spacing w:val="-2"/>
          <w:sz w:val="16"/>
          <w:szCs w:val="16"/>
          <w:u w:val="single"/>
        </w:rPr>
        <w:t>5</w:t>
      </w:r>
      <w:r w:rsidR="001B0FA0" w:rsidRPr="00B36ED6">
        <w:rPr>
          <w:rFonts w:ascii="Times New Roman" w:hAnsi="Times New Roman"/>
          <w:spacing w:val="-2"/>
          <w:sz w:val="16"/>
          <w:szCs w:val="16"/>
          <w:u w:val="single"/>
        </w:rPr>
        <w:t xml:space="preserve">. </w:t>
      </w:r>
      <w:r w:rsidR="0000170C" w:rsidRPr="00B36ED6">
        <w:rPr>
          <w:rFonts w:ascii="Times New Roman" w:hAnsi="Times New Roman"/>
          <w:spacing w:val="-2"/>
          <w:sz w:val="16"/>
          <w:szCs w:val="16"/>
          <w:u w:val="single"/>
        </w:rPr>
        <w:tab/>
      </w:r>
      <w:r w:rsidR="001B0FA0" w:rsidRPr="00B36ED6">
        <w:rPr>
          <w:rFonts w:ascii="Times New Roman" w:hAnsi="Times New Roman"/>
          <w:spacing w:val="-2"/>
          <w:sz w:val="16"/>
          <w:szCs w:val="16"/>
          <w:u w:val="single"/>
        </w:rPr>
        <w:t>Verlesung von Behörden- und Ärzteerklärungen, § 256 StPO</w:t>
      </w:r>
      <w:r w:rsidR="00A16996" w:rsidRPr="00B36ED6">
        <w:rPr>
          <w:rFonts w:ascii="Times New Roman" w:hAnsi="Times New Roman"/>
          <w:spacing w:val="-2"/>
          <w:sz w:val="16"/>
          <w:szCs w:val="16"/>
          <w:u w:val="single"/>
        </w:rPr>
        <w:t>:</w:t>
      </w:r>
      <w:r w:rsidR="00A16996" w:rsidRPr="00E160A6">
        <w:rPr>
          <w:rFonts w:ascii="Times New Roman" w:hAnsi="Times New Roman"/>
          <w:spacing w:val="-2"/>
          <w:sz w:val="16"/>
          <w:szCs w:val="16"/>
        </w:rPr>
        <w:t xml:space="preserve"> </w:t>
      </w:r>
      <w:r w:rsidR="00C65FFE" w:rsidRPr="00B36ED6">
        <w:rPr>
          <w:rFonts w:ascii="Times New Roman" w:hAnsi="Times New Roman"/>
          <w:spacing w:val="-2"/>
          <w:sz w:val="16"/>
          <w:szCs w:val="16"/>
        </w:rPr>
        <w:t>Diesbzgl.</w:t>
      </w:r>
      <w:r w:rsidR="00A16996" w:rsidRPr="00B36ED6">
        <w:rPr>
          <w:rFonts w:ascii="Times New Roman" w:hAnsi="Times New Roman"/>
          <w:spacing w:val="-2"/>
          <w:sz w:val="16"/>
          <w:szCs w:val="16"/>
        </w:rPr>
        <w:t xml:space="preserve"> wird vom Gesetzgeber eine hohe Autorität und Objektivität angenommen und somit eine besondere </w:t>
      </w:r>
      <w:proofErr w:type="spellStart"/>
      <w:r w:rsidR="00A16996" w:rsidRPr="00B36ED6">
        <w:rPr>
          <w:rFonts w:ascii="Times New Roman" w:hAnsi="Times New Roman"/>
          <w:spacing w:val="-2"/>
          <w:sz w:val="16"/>
          <w:szCs w:val="16"/>
        </w:rPr>
        <w:t>Beweisqualität</w:t>
      </w:r>
      <w:proofErr w:type="spellEnd"/>
      <w:r w:rsidR="00A16996" w:rsidRPr="00B36ED6">
        <w:rPr>
          <w:rFonts w:ascii="Times New Roman" w:hAnsi="Times New Roman"/>
          <w:spacing w:val="-2"/>
          <w:sz w:val="16"/>
          <w:szCs w:val="16"/>
        </w:rPr>
        <w:t xml:space="preserve"> der Urkunde vermutet. Probleme bereitet in diesem Zusammenhang </w:t>
      </w:r>
      <w:r w:rsidR="00282C53">
        <w:rPr>
          <w:rFonts w:ascii="Times New Roman" w:hAnsi="Times New Roman"/>
          <w:spacing w:val="-2"/>
          <w:sz w:val="16"/>
          <w:szCs w:val="16"/>
        </w:rPr>
        <w:t>v.a.</w:t>
      </w:r>
      <w:r w:rsidR="00282C53" w:rsidRPr="00B36ED6">
        <w:rPr>
          <w:rFonts w:ascii="Times New Roman" w:hAnsi="Times New Roman"/>
          <w:spacing w:val="-2"/>
          <w:sz w:val="16"/>
          <w:szCs w:val="16"/>
        </w:rPr>
        <w:t xml:space="preserve"> </w:t>
      </w:r>
      <w:r w:rsidR="00A16996" w:rsidRPr="00B36ED6">
        <w:rPr>
          <w:rFonts w:ascii="Times New Roman" w:hAnsi="Times New Roman"/>
          <w:spacing w:val="-2"/>
          <w:sz w:val="16"/>
          <w:szCs w:val="16"/>
        </w:rPr>
        <w:t>§</w:t>
      </w:r>
      <w:r w:rsidR="00282C53">
        <w:rPr>
          <w:rFonts w:ascii="Times New Roman" w:hAnsi="Times New Roman"/>
          <w:spacing w:val="-2"/>
          <w:sz w:val="16"/>
          <w:szCs w:val="16"/>
        </w:rPr>
        <w:t> </w:t>
      </w:r>
      <w:r w:rsidR="00A16996" w:rsidRPr="00B36ED6">
        <w:rPr>
          <w:rFonts w:ascii="Times New Roman" w:hAnsi="Times New Roman"/>
          <w:spacing w:val="-2"/>
          <w:sz w:val="16"/>
          <w:szCs w:val="16"/>
        </w:rPr>
        <w:t xml:space="preserve">256 </w:t>
      </w:r>
      <w:r w:rsidR="00282C53">
        <w:rPr>
          <w:rFonts w:ascii="Times New Roman" w:hAnsi="Times New Roman"/>
          <w:spacing w:val="-2"/>
          <w:sz w:val="16"/>
          <w:szCs w:val="16"/>
        </w:rPr>
        <w:t xml:space="preserve">I </w:t>
      </w:r>
      <w:r w:rsidR="00A16996" w:rsidRPr="00B36ED6">
        <w:rPr>
          <w:rFonts w:ascii="Times New Roman" w:hAnsi="Times New Roman"/>
          <w:spacing w:val="-2"/>
          <w:sz w:val="16"/>
          <w:szCs w:val="16"/>
        </w:rPr>
        <w:t>Nr.</w:t>
      </w:r>
      <w:r w:rsidR="00282C53">
        <w:rPr>
          <w:rFonts w:ascii="Times New Roman" w:hAnsi="Times New Roman"/>
          <w:spacing w:val="-2"/>
          <w:sz w:val="16"/>
          <w:szCs w:val="16"/>
        </w:rPr>
        <w:t> </w:t>
      </w:r>
      <w:r w:rsidR="00A16996" w:rsidRPr="00B36ED6">
        <w:rPr>
          <w:rFonts w:ascii="Times New Roman" w:hAnsi="Times New Roman"/>
          <w:spacing w:val="-2"/>
          <w:sz w:val="16"/>
          <w:szCs w:val="16"/>
        </w:rPr>
        <w:t xml:space="preserve">5 StPO. Dieser betrifft </w:t>
      </w:r>
      <w:r w:rsidR="000B03A9" w:rsidRPr="00B36ED6">
        <w:rPr>
          <w:rFonts w:ascii="Times New Roman" w:hAnsi="Times New Roman"/>
          <w:spacing w:val="-2"/>
          <w:sz w:val="16"/>
          <w:szCs w:val="16"/>
        </w:rPr>
        <w:t xml:space="preserve">Protokolle sowie in einer Urkunde enthaltene </w:t>
      </w:r>
      <w:r w:rsidR="00A16996" w:rsidRPr="00B36ED6">
        <w:rPr>
          <w:rFonts w:ascii="Times New Roman" w:hAnsi="Times New Roman"/>
          <w:spacing w:val="-2"/>
          <w:sz w:val="16"/>
          <w:szCs w:val="16"/>
        </w:rPr>
        <w:t>Erklärungen der Strafverfolgungsbehörden über Ermittlungshandlungen, soweit diese nicht eine Vernehmung zum Gegenstand haben (insoweit gilt § 251 StPO). Nicht unproblematisch ist hier, dass bei den Strafverfolgungsbehörden – anders als bei den in §</w:t>
      </w:r>
      <w:r w:rsidR="002D3313" w:rsidRPr="00B36ED6">
        <w:rPr>
          <w:rFonts w:ascii="Times New Roman" w:hAnsi="Times New Roman"/>
          <w:spacing w:val="-2"/>
          <w:sz w:val="16"/>
          <w:szCs w:val="16"/>
        </w:rPr>
        <w:t> </w:t>
      </w:r>
      <w:r w:rsidR="00A16996" w:rsidRPr="00B36ED6">
        <w:rPr>
          <w:rFonts w:ascii="Times New Roman" w:hAnsi="Times New Roman"/>
          <w:spacing w:val="-2"/>
          <w:sz w:val="16"/>
          <w:szCs w:val="16"/>
        </w:rPr>
        <w:t xml:space="preserve">256 </w:t>
      </w:r>
      <w:r w:rsidR="00282C53">
        <w:rPr>
          <w:rFonts w:ascii="Times New Roman" w:hAnsi="Times New Roman"/>
          <w:spacing w:val="-2"/>
          <w:sz w:val="16"/>
          <w:szCs w:val="16"/>
        </w:rPr>
        <w:t xml:space="preserve">I </w:t>
      </w:r>
      <w:r w:rsidR="00A16996" w:rsidRPr="00B36ED6">
        <w:rPr>
          <w:rFonts w:ascii="Times New Roman" w:hAnsi="Times New Roman"/>
          <w:spacing w:val="-2"/>
          <w:sz w:val="16"/>
          <w:szCs w:val="16"/>
        </w:rPr>
        <w:t>Nr.</w:t>
      </w:r>
      <w:r w:rsidR="00DD2A63">
        <w:rPr>
          <w:rFonts w:ascii="Times New Roman" w:hAnsi="Times New Roman"/>
          <w:spacing w:val="-2"/>
          <w:sz w:val="16"/>
          <w:szCs w:val="16"/>
        </w:rPr>
        <w:t xml:space="preserve"> </w:t>
      </w:r>
      <w:r w:rsidR="00A16996" w:rsidRPr="00B36ED6">
        <w:rPr>
          <w:rFonts w:ascii="Times New Roman" w:hAnsi="Times New Roman"/>
          <w:spacing w:val="-2"/>
          <w:sz w:val="16"/>
          <w:szCs w:val="16"/>
        </w:rPr>
        <w:t xml:space="preserve">1-4 StPO bezeichneten Institutionen – ein stärkeres Interesse an der Überführung und Bestrafung des Beschuldigten besteht. In der Literatur wird daher ein restriktives Verständnis der Norm verlangt, sodass eine Verlesung nur bei absoluten Routinevorgängen wie z.B. Durchsuchungsprotokollen oder Vermerken zur Spurensicherung in Betracht kommt. Der BGH hat auch längerfristige Observationsprotokolle zu den Routinevorgängen gezählt und darüber hinaus entschieden, dass er, dem unbeschränkten Wortlaut des § 256 </w:t>
      </w:r>
      <w:r w:rsidR="00282C53">
        <w:rPr>
          <w:rFonts w:ascii="Times New Roman" w:hAnsi="Times New Roman"/>
          <w:spacing w:val="-2"/>
          <w:sz w:val="16"/>
          <w:szCs w:val="16"/>
        </w:rPr>
        <w:t xml:space="preserve">I </w:t>
      </w:r>
      <w:r w:rsidR="00A16996" w:rsidRPr="00B36ED6">
        <w:rPr>
          <w:rFonts w:ascii="Times New Roman" w:hAnsi="Times New Roman"/>
          <w:spacing w:val="-2"/>
          <w:sz w:val="16"/>
          <w:szCs w:val="16"/>
        </w:rPr>
        <w:t>Nr. 5 StPO entsprechend, eine Verlesung auch jenseits von Routinevorgängen für zulässig erachtet (BGH NStZ 2016, 301).</w:t>
      </w:r>
    </w:p>
    <w:p w14:paraId="2117D779" w14:textId="70AED4BE" w:rsidR="001B0FA0" w:rsidRPr="00B36ED6" w:rsidRDefault="001B0FA0" w:rsidP="00B667B5">
      <w:pPr>
        <w:widowControl/>
        <w:tabs>
          <w:tab w:val="left" w:pos="-720"/>
          <w:tab w:val="left" w:pos="284"/>
          <w:tab w:val="left" w:pos="1134"/>
          <w:tab w:val="left" w:pos="1404"/>
          <w:tab w:val="left" w:pos="1692"/>
          <w:tab w:val="left" w:pos="1980"/>
          <w:tab w:val="left" w:pos="2268"/>
          <w:tab w:val="left" w:pos="2880"/>
        </w:tabs>
        <w:spacing w:line="180" w:lineRule="exact"/>
        <w:ind w:left="284" w:hanging="284"/>
        <w:jc w:val="both"/>
        <w:rPr>
          <w:rFonts w:ascii="Times New Roman" w:hAnsi="Times New Roman"/>
          <w:spacing w:val="-2"/>
          <w:sz w:val="16"/>
          <w:szCs w:val="16"/>
        </w:rPr>
      </w:pPr>
      <w:r w:rsidRPr="00B36ED6">
        <w:rPr>
          <w:rFonts w:ascii="Times New Roman" w:hAnsi="Times New Roman"/>
          <w:b/>
          <w:spacing w:val="-2"/>
          <w:sz w:val="16"/>
          <w:szCs w:val="16"/>
        </w:rPr>
        <w:t>III. Verbot der Verlesung bei Zeugnisverweigerung:</w:t>
      </w:r>
      <w:r w:rsidRPr="00B36ED6">
        <w:rPr>
          <w:rFonts w:ascii="Times New Roman" w:hAnsi="Times New Roman"/>
          <w:spacing w:val="-2"/>
          <w:sz w:val="16"/>
          <w:szCs w:val="16"/>
        </w:rPr>
        <w:t xml:space="preserve"> </w:t>
      </w:r>
      <w:r w:rsidRPr="00B36ED6">
        <w:rPr>
          <w:rFonts w:ascii="Times New Roman" w:hAnsi="Times New Roman"/>
          <w:b/>
          <w:spacing w:val="-2"/>
          <w:sz w:val="16"/>
          <w:szCs w:val="16"/>
        </w:rPr>
        <w:t>§ 252 StPO</w:t>
      </w:r>
      <w:r w:rsidRPr="00B36ED6">
        <w:rPr>
          <w:rFonts w:ascii="Times New Roman" w:hAnsi="Times New Roman"/>
          <w:spacing w:val="-2"/>
          <w:sz w:val="16"/>
          <w:szCs w:val="16"/>
        </w:rPr>
        <w:t xml:space="preserve"> stellt klar, dass die </w:t>
      </w:r>
      <w:r w:rsidRPr="00B36ED6">
        <w:rPr>
          <w:rFonts w:ascii="Times New Roman" w:hAnsi="Times New Roman"/>
          <w:b/>
          <w:spacing w:val="-2"/>
          <w:sz w:val="16"/>
          <w:szCs w:val="16"/>
        </w:rPr>
        <w:t>Verlesung</w:t>
      </w:r>
      <w:r w:rsidRPr="00B36ED6">
        <w:rPr>
          <w:rFonts w:ascii="Times New Roman" w:hAnsi="Times New Roman"/>
          <w:spacing w:val="-2"/>
          <w:sz w:val="16"/>
          <w:szCs w:val="16"/>
        </w:rPr>
        <w:t xml:space="preserve"> von Protokollen von Zeugenaussagen </w:t>
      </w:r>
      <w:r w:rsidRPr="00B36ED6">
        <w:rPr>
          <w:rFonts w:ascii="Times New Roman" w:hAnsi="Times New Roman"/>
          <w:b/>
          <w:spacing w:val="-2"/>
          <w:sz w:val="16"/>
          <w:szCs w:val="16"/>
        </w:rPr>
        <w:t>nicht</w:t>
      </w:r>
      <w:r w:rsidRPr="00B36ED6">
        <w:rPr>
          <w:rFonts w:ascii="Times New Roman" w:hAnsi="Times New Roman"/>
          <w:spacing w:val="-2"/>
          <w:sz w:val="16"/>
          <w:szCs w:val="16"/>
        </w:rPr>
        <w:t xml:space="preserve"> zulässig ist, wenn der Zeuge erst in der Hauptverhandlung von seinem Zeugnisverweigerungsrecht Gebrauch macht. Über den Wortlaut hinaus nimmt die h.M. bei nicht-richterlichen Vernehmungen ein allg</w:t>
      </w:r>
      <w:r w:rsidR="001C4CF4">
        <w:rPr>
          <w:rFonts w:ascii="Times New Roman" w:hAnsi="Times New Roman"/>
          <w:spacing w:val="-2"/>
          <w:sz w:val="16"/>
          <w:szCs w:val="16"/>
        </w:rPr>
        <w:t>.</w:t>
      </w:r>
      <w:r w:rsidRPr="00B36ED6">
        <w:rPr>
          <w:rFonts w:ascii="Times New Roman" w:hAnsi="Times New Roman"/>
          <w:spacing w:val="-2"/>
          <w:sz w:val="16"/>
          <w:szCs w:val="16"/>
        </w:rPr>
        <w:t xml:space="preserve"> </w:t>
      </w:r>
      <w:r w:rsidRPr="00B36ED6">
        <w:rPr>
          <w:rFonts w:ascii="Times New Roman" w:hAnsi="Times New Roman"/>
          <w:b/>
          <w:spacing w:val="-2"/>
          <w:sz w:val="16"/>
          <w:szCs w:val="16"/>
        </w:rPr>
        <w:t>Verwertungsverbot</w:t>
      </w:r>
      <w:r w:rsidRPr="00B36ED6">
        <w:rPr>
          <w:rFonts w:ascii="Times New Roman" w:hAnsi="Times New Roman"/>
          <w:spacing w:val="-2"/>
          <w:sz w:val="16"/>
          <w:szCs w:val="16"/>
        </w:rPr>
        <w:t xml:space="preserve"> hinsichtlich der früheren Aussage an, sodass auch die Vernehmung der </w:t>
      </w:r>
      <w:proofErr w:type="spellStart"/>
      <w:r w:rsidRPr="00B36ED6">
        <w:rPr>
          <w:rFonts w:ascii="Times New Roman" w:hAnsi="Times New Roman"/>
          <w:spacing w:val="-2"/>
          <w:sz w:val="16"/>
          <w:szCs w:val="16"/>
        </w:rPr>
        <w:t>Verhörsperson</w:t>
      </w:r>
      <w:proofErr w:type="spellEnd"/>
      <w:r w:rsidRPr="00B36ED6">
        <w:rPr>
          <w:rFonts w:ascii="Times New Roman" w:hAnsi="Times New Roman"/>
          <w:spacing w:val="-2"/>
          <w:sz w:val="16"/>
          <w:szCs w:val="16"/>
        </w:rPr>
        <w:t xml:space="preserve"> untersagt ist. Dies gilt aber zum einen </w:t>
      </w:r>
      <w:r w:rsidRPr="00B36ED6">
        <w:rPr>
          <w:rFonts w:ascii="Times New Roman" w:hAnsi="Times New Roman"/>
          <w:b/>
          <w:spacing w:val="-2"/>
          <w:sz w:val="16"/>
          <w:szCs w:val="16"/>
        </w:rPr>
        <w:t>nicht</w:t>
      </w:r>
      <w:r w:rsidRPr="00B36ED6">
        <w:rPr>
          <w:rFonts w:ascii="Times New Roman" w:hAnsi="Times New Roman"/>
          <w:spacing w:val="-2"/>
          <w:sz w:val="16"/>
          <w:szCs w:val="16"/>
        </w:rPr>
        <w:t xml:space="preserve">, wenn der Zeugnisverweigerungsberechtigte der Verwertung der früheren Vernehmung </w:t>
      </w:r>
      <w:r w:rsidRPr="00B36ED6">
        <w:rPr>
          <w:rFonts w:ascii="Times New Roman" w:hAnsi="Times New Roman"/>
          <w:b/>
          <w:spacing w:val="-2"/>
          <w:sz w:val="16"/>
          <w:szCs w:val="16"/>
        </w:rPr>
        <w:t>zustimmt</w:t>
      </w:r>
      <w:r w:rsidRPr="00B36ED6">
        <w:rPr>
          <w:rFonts w:ascii="Times New Roman" w:hAnsi="Times New Roman"/>
          <w:spacing w:val="-2"/>
          <w:sz w:val="16"/>
          <w:szCs w:val="16"/>
        </w:rPr>
        <w:t xml:space="preserve"> und zum anderen </w:t>
      </w:r>
      <w:r w:rsidRPr="00B36ED6">
        <w:rPr>
          <w:rFonts w:ascii="Times New Roman" w:hAnsi="Times New Roman"/>
          <w:b/>
          <w:spacing w:val="-2"/>
          <w:sz w:val="16"/>
          <w:szCs w:val="16"/>
        </w:rPr>
        <w:t>nicht</w:t>
      </w:r>
      <w:r w:rsidRPr="00B36ED6">
        <w:rPr>
          <w:rFonts w:ascii="Times New Roman" w:hAnsi="Times New Roman"/>
          <w:spacing w:val="-2"/>
          <w:sz w:val="16"/>
          <w:szCs w:val="16"/>
        </w:rPr>
        <w:t xml:space="preserve"> bei </w:t>
      </w:r>
      <w:r w:rsidRPr="00B36ED6">
        <w:rPr>
          <w:rFonts w:ascii="Times New Roman" w:hAnsi="Times New Roman"/>
          <w:b/>
          <w:spacing w:val="-2"/>
          <w:sz w:val="16"/>
          <w:szCs w:val="16"/>
        </w:rPr>
        <w:t>richterlichen</w:t>
      </w:r>
      <w:r w:rsidRPr="00B36ED6">
        <w:rPr>
          <w:rFonts w:ascii="Times New Roman" w:hAnsi="Times New Roman"/>
          <w:spacing w:val="-2"/>
          <w:sz w:val="16"/>
          <w:szCs w:val="16"/>
        </w:rPr>
        <w:t xml:space="preserve"> Vernehmungen. In letzterem Fall ist die Verwertung nach der </w:t>
      </w:r>
      <w:proofErr w:type="spellStart"/>
      <w:r w:rsidRPr="00B36ED6">
        <w:rPr>
          <w:rFonts w:ascii="Times New Roman" w:hAnsi="Times New Roman"/>
          <w:spacing w:val="-2"/>
          <w:sz w:val="16"/>
          <w:szCs w:val="16"/>
        </w:rPr>
        <w:t>Rspr</w:t>
      </w:r>
      <w:proofErr w:type="spellEnd"/>
      <w:r w:rsidRPr="00B36ED6">
        <w:rPr>
          <w:rFonts w:ascii="Times New Roman" w:hAnsi="Times New Roman"/>
          <w:spacing w:val="-2"/>
          <w:sz w:val="16"/>
          <w:szCs w:val="16"/>
        </w:rPr>
        <w:t>. zulässig, wenn der das Zeugnis Verweigernde als Zeuge vernommen wurde, das Zeugnisverweigerungsrecht schon bei der damaligen Vernehmung bestand, der Zeuge damals ordnungsgemäß belehrt wurde und wirksam auf sein Recht verzichtet hat (</w:t>
      </w:r>
      <w:proofErr w:type="spellStart"/>
      <w:r w:rsidRPr="00B36ED6">
        <w:rPr>
          <w:rFonts w:ascii="Times New Roman" w:hAnsi="Times New Roman"/>
          <w:spacing w:val="-2"/>
          <w:sz w:val="16"/>
          <w:szCs w:val="16"/>
        </w:rPr>
        <w:t>str.</w:t>
      </w:r>
      <w:proofErr w:type="spellEnd"/>
      <w:r w:rsidRPr="00B36ED6">
        <w:rPr>
          <w:rFonts w:ascii="Times New Roman" w:hAnsi="Times New Roman"/>
          <w:spacing w:val="-2"/>
          <w:sz w:val="16"/>
          <w:szCs w:val="16"/>
        </w:rPr>
        <w:t>). In diesem Fall kann der Richter über die frühere Aussage vernommen werden.</w:t>
      </w:r>
      <w:r w:rsidR="009B5557" w:rsidRPr="00B36ED6">
        <w:rPr>
          <w:rFonts w:ascii="Times New Roman" w:hAnsi="Times New Roman"/>
          <w:spacing w:val="-2"/>
          <w:sz w:val="16"/>
          <w:szCs w:val="16"/>
        </w:rPr>
        <w:t xml:space="preserve"> </w:t>
      </w:r>
      <w:r w:rsidR="008F0EBB" w:rsidRPr="00B36ED6">
        <w:rPr>
          <w:rFonts w:ascii="Times New Roman" w:hAnsi="Times New Roman"/>
          <w:spacing w:val="-2"/>
          <w:sz w:val="16"/>
          <w:szCs w:val="16"/>
        </w:rPr>
        <w:t xml:space="preserve">Die Privilegierung richterlicher Vernehmungen rechtfertigt sich aus der aus § 251 StPO folgenden erhöhten Bedeutung der richterlichen gegenüber einer sonstigen Vernehmung, welche sich in </w:t>
      </w:r>
      <w:r w:rsidR="00C65FFE" w:rsidRPr="00B36ED6">
        <w:rPr>
          <w:rFonts w:ascii="Times New Roman" w:hAnsi="Times New Roman"/>
          <w:spacing w:val="-2"/>
          <w:sz w:val="16"/>
          <w:szCs w:val="16"/>
        </w:rPr>
        <w:t xml:space="preserve">den </w:t>
      </w:r>
      <w:r w:rsidR="008F0EBB" w:rsidRPr="00B36ED6">
        <w:rPr>
          <w:rFonts w:ascii="Times New Roman" w:hAnsi="Times New Roman"/>
          <w:spacing w:val="-2"/>
          <w:sz w:val="16"/>
          <w:szCs w:val="16"/>
        </w:rPr>
        <w:t xml:space="preserve">§§ 153 ff. StGB – auch für den Zeugen erkennbar – </w:t>
      </w:r>
      <w:r w:rsidR="00F9191E" w:rsidRPr="00B36ED6">
        <w:rPr>
          <w:rFonts w:ascii="Times New Roman" w:hAnsi="Times New Roman"/>
          <w:spacing w:val="-2"/>
          <w:sz w:val="16"/>
          <w:szCs w:val="16"/>
        </w:rPr>
        <w:t>widerspiegelt</w:t>
      </w:r>
      <w:r w:rsidR="008F0EBB" w:rsidRPr="00B36ED6">
        <w:rPr>
          <w:rFonts w:ascii="Times New Roman" w:hAnsi="Times New Roman"/>
          <w:spacing w:val="-2"/>
          <w:sz w:val="16"/>
          <w:szCs w:val="16"/>
        </w:rPr>
        <w:t xml:space="preserve">. </w:t>
      </w:r>
      <w:r w:rsidRPr="00B36ED6">
        <w:rPr>
          <w:rFonts w:ascii="Times New Roman" w:hAnsi="Times New Roman"/>
          <w:spacing w:val="-2"/>
          <w:sz w:val="16"/>
          <w:szCs w:val="16"/>
        </w:rPr>
        <w:t xml:space="preserve">Das Verwertungsverbot besteht auch bei vernehmungsähnlichen Situationen, </w:t>
      </w:r>
      <w:r w:rsidRPr="00B36ED6">
        <w:rPr>
          <w:rFonts w:ascii="Times New Roman" w:hAnsi="Times New Roman"/>
          <w:b/>
          <w:spacing w:val="-2"/>
          <w:sz w:val="16"/>
          <w:szCs w:val="16"/>
        </w:rPr>
        <w:t xml:space="preserve">nicht </w:t>
      </w:r>
      <w:r w:rsidRPr="00B36ED6">
        <w:rPr>
          <w:rFonts w:ascii="Times New Roman" w:hAnsi="Times New Roman"/>
          <w:spacing w:val="-2"/>
          <w:sz w:val="16"/>
          <w:szCs w:val="16"/>
        </w:rPr>
        <w:t xml:space="preserve">aber bei </w:t>
      </w:r>
      <w:r w:rsidRPr="00B36ED6">
        <w:rPr>
          <w:rFonts w:ascii="Times New Roman" w:hAnsi="Times New Roman"/>
          <w:b/>
          <w:spacing w:val="-2"/>
          <w:sz w:val="16"/>
          <w:szCs w:val="16"/>
        </w:rPr>
        <w:t>Spontanäußerungen</w:t>
      </w:r>
      <w:r w:rsidRPr="00B36ED6">
        <w:rPr>
          <w:rFonts w:ascii="Times New Roman" w:hAnsi="Times New Roman"/>
          <w:spacing w:val="-2"/>
          <w:sz w:val="16"/>
          <w:szCs w:val="16"/>
        </w:rPr>
        <w:t>. Beachte: Stimmt der Z</w:t>
      </w:r>
      <w:r w:rsidR="00484882" w:rsidRPr="00B36ED6">
        <w:rPr>
          <w:rFonts w:ascii="Times New Roman" w:hAnsi="Times New Roman"/>
          <w:spacing w:val="-2"/>
          <w:sz w:val="16"/>
          <w:szCs w:val="16"/>
        </w:rPr>
        <w:t>e</w:t>
      </w:r>
      <w:r w:rsidRPr="00B36ED6">
        <w:rPr>
          <w:rFonts w:ascii="Times New Roman" w:hAnsi="Times New Roman"/>
          <w:spacing w:val="-2"/>
          <w:sz w:val="16"/>
          <w:szCs w:val="16"/>
        </w:rPr>
        <w:t xml:space="preserve">uge der Verwertung seiner früheren Aussage durch Vernehmung der </w:t>
      </w:r>
      <w:proofErr w:type="spellStart"/>
      <w:r w:rsidRPr="00B36ED6">
        <w:rPr>
          <w:rFonts w:ascii="Times New Roman" w:hAnsi="Times New Roman"/>
          <w:spacing w:val="-2"/>
          <w:sz w:val="16"/>
          <w:szCs w:val="16"/>
        </w:rPr>
        <w:t>Verhörsperson</w:t>
      </w:r>
      <w:proofErr w:type="spellEnd"/>
      <w:r w:rsidRPr="00B36ED6">
        <w:rPr>
          <w:rFonts w:ascii="Times New Roman" w:hAnsi="Times New Roman"/>
          <w:spacing w:val="-2"/>
          <w:sz w:val="16"/>
          <w:szCs w:val="16"/>
        </w:rPr>
        <w:t xml:space="preserve"> zu, ist auch die Verlesung der früheren Aussage in der Form des </w:t>
      </w:r>
      <w:r w:rsidRPr="00B36ED6">
        <w:rPr>
          <w:rFonts w:ascii="Times New Roman" w:hAnsi="Times New Roman"/>
          <w:b/>
          <w:spacing w:val="-2"/>
          <w:sz w:val="16"/>
          <w:szCs w:val="16"/>
        </w:rPr>
        <w:t xml:space="preserve">Vorhalts </w:t>
      </w:r>
      <w:r w:rsidRPr="00B36ED6">
        <w:rPr>
          <w:rFonts w:ascii="Times New Roman" w:hAnsi="Times New Roman"/>
          <w:spacing w:val="-2"/>
          <w:sz w:val="16"/>
          <w:szCs w:val="16"/>
        </w:rPr>
        <w:t>zulässig.</w:t>
      </w:r>
      <w:r w:rsidR="00282C53">
        <w:rPr>
          <w:rFonts w:ascii="Times New Roman" w:hAnsi="Times New Roman"/>
          <w:spacing w:val="-2"/>
          <w:sz w:val="16"/>
          <w:szCs w:val="16"/>
        </w:rPr>
        <w:t xml:space="preserve"> </w:t>
      </w:r>
      <w:r w:rsidR="00652CB4">
        <w:rPr>
          <w:rFonts w:ascii="Times New Roman" w:hAnsi="Times New Roman"/>
          <w:spacing w:val="-2"/>
          <w:sz w:val="16"/>
          <w:szCs w:val="16"/>
        </w:rPr>
        <w:t>Eine</w:t>
      </w:r>
      <w:r w:rsidR="00427784">
        <w:rPr>
          <w:rFonts w:ascii="Times New Roman" w:hAnsi="Times New Roman"/>
          <w:spacing w:val="-2"/>
          <w:sz w:val="16"/>
          <w:szCs w:val="16"/>
        </w:rPr>
        <w:t xml:space="preserve"> Freigabeerklärung </w:t>
      </w:r>
      <w:r w:rsidR="00652CB4">
        <w:rPr>
          <w:rFonts w:ascii="Times New Roman" w:hAnsi="Times New Roman"/>
          <w:spacing w:val="-2"/>
          <w:sz w:val="16"/>
          <w:szCs w:val="16"/>
        </w:rPr>
        <w:t xml:space="preserve">kann nach der </w:t>
      </w:r>
      <w:proofErr w:type="spellStart"/>
      <w:r w:rsidR="00652CB4">
        <w:rPr>
          <w:rFonts w:ascii="Times New Roman" w:hAnsi="Times New Roman"/>
          <w:spacing w:val="-2"/>
          <w:sz w:val="16"/>
          <w:szCs w:val="16"/>
        </w:rPr>
        <w:t>Rspr</w:t>
      </w:r>
      <w:proofErr w:type="spellEnd"/>
      <w:r w:rsidR="00652CB4">
        <w:rPr>
          <w:rFonts w:ascii="Times New Roman" w:hAnsi="Times New Roman"/>
          <w:spacing w:val="-2"/>
          <w:sz w:val="16"/>
          <w:szCs w:val="16"/>
        </w:rPr>
        <w:t xml:space="preserve">. dabei </w:t>
      </w:r>
      <w:r w:rsidR="00427784">
        <w:rPr>
          <w:rFonts w:ascii="Times New Roman" w:hAnsi="Times New Roman"/>
          <w:spacing w:val="-2"/>
          <w:sz w:val="16"/>
          <w:szCs w:val="16"/>
        </w:rPr>
        <w:t>nicht auf einzelne Vernehmungen beschränkt werden (BGH NStZ 2024, 173).</w:t>
      </w:r>
    </w:p>
    <w:p w14:paraId="2AB1F78D" w14:textId="7E248158" w:rsidR="001B0FA0" w:rsidRPr="00095E05" w:rsidRDefault="001B0FA0" w:rsidP="00B667B5">
      <w:pPr>
        <w:widowControl/>
        <w:tabs>
          <w:tab w:val="left" w:pos="-720"/>
          <w:tab w:val="left" w:pos="0"/>
          <w:tab w:val="left" w:pos="284"/>
          <w:tab w:val="left" w:pos="1404"/>
          <w:tab w:val="left" w:pos="1692"/>
          <w:tab w:val="left" w:pos="1980"/>
          <w:tab w:val="left" w:pos="2268"/>
          <w:tab w:val="left" w:pos="2880"/>
        </w:tabs>
        <w:spacing w:line="180" w:lineRule="exact"/>
        <w:ind w:left="284" w:hanging="284"/>
        <w:jc w:val="both"/>
        <w:rPr>
          <w:rFonts w:ascii="Times New Roman" w:hAnsi="Times New Roman"/>
          <w:spacing w:val="-2"/>
          <w:sz w:val="15"/>
          <w:szCs w:val="15"/>
        </w:rPr>
      </w:pPr>
      <w:r w:rsidRPr="00B36ED6">
        <w:rPr>
          <w:rFonts w:ascii="Times New Roman" w:hAnsi="Times New Roman"/>
          <w:b/>
          <w:spacing w:val="-2"/>
          <w:sz w:val="16"/>
          <w:szCs w:val="16"/>
        </w:rPr>
        <w:t>IV. Verdeckte Ermittler:</w:t>
      </w:r>
      <w:r w:rsidRPr="00B36ED6">
        <w:rPr>
          <w:rFonts w:ascii="Times New Roman" w:hAnsi="Times New Roman"/>
          <w:spacing w:val="-2"/>
          <w:sz w:val="16"/>
          <w:szCs w:val="16"/>
        </w:rPr>
        <w:t xml:space="preserve"> Besondere Probleme im Hinblick auf den Unmittelbarkeitsgrundsatz ergeben sich ferner z.B. beim Einsatz von Verdeckten Ermittlern (vgl. dazu Arbeitsblatt Nr. 21), denn hier besteht ein besonderes staatliches Geheimhaltungsinteresse. Daher kann die Behörde ihre Ermittlungspersonen nach den §§ 110b III, 96 StPO für die Hauptverhandlung sperren, mit der Folge, dass die Verdeckten Ermittler nicht aussagen können. Eine Totalsperrung ist aber nicht ohne weiteres zulässig. Vielmehr gilt nach h.M. eine </w:t>
      </w:r>
      <w:r w:rsidRPr="00B36ED6">
        <w:rPr>
          <w:rFonts w:ascii="Times New Roman" w:hAnsi="Times New Roman"/>
          <w:b/>
          <w:spacing w:val="-2"/>
          <w:sz w:val="16"/>
          <w:szCs w:val="16"/>
        </w:rPr>
        <w:t>Drei-Stufen-Theorie</w:t>
      </w:r>
      <w:r w:rsidRPr="00B36ED6">
        <w:rPr>
          <w:rFonts w:ascii="Times New Roman" w:hAnsi="Times New Roman"/>
          <w:spacing w:val="-2"/>
          <w:sz w:val="16"/>
          <w:szCs w:val="16"/>
        </w:rPr>
        <w:t xml:space="preserve">, nach der die Behörde eine Vernehmung auch von bestimmten Bedingungen abhängig machen kann; vgl. </w:t>
      </w:r>
      <w:r w:rsidR="00427784">
        <w:rPr>
          <w:rFonts w:ascii="Times New Roman" w:hAnsi="Times New Roman"/>
          <w:spacing w:val="-2"/>
          <w:sz w:val="16"/>
          <w:szCs w:val="16"/>
        </w:rPr>
        <w:t xml:space="preserve">dazu </w:t>
      </w:r>
      <w:r w:rsidRPr="00B36ED6">
        <w:rPr>
          <w:rFonts w:ascii="Times New Roman" w:hAnsi="Times New Roman"/>
          <w:spacing w:val="-2"/>
          <w:sz w:val="16"/>
          <w:szCs w:val="16"/>
        </w:rPr>
        <w:t>Arbeitsblatt Nr.</w:t>
      </w:r>
      <w:r w:rsidR="00427784">
        <w:rPr>
          <w:rFonts w:ascii="Times New Roman" w:hAnsi="Times New Roman"/>
          <w:spacing w:val="-2"/>
          <w:sz w:val="16"/>
          <w:szCs w:val="16"/>
        </w:rPr>
        <w:t> </w:t>
      </w:r>
      <w:r w:rsidRPr="00B36ED6">
        <w:rPr>
          <w:rFonts w:ascii="Times New Roman" w:hAnsi="Times New Roman"/>
          <w:spacing w:val="-2"/>
          <w:sz w:val="16"/>
          <w:szCs w:val="16"/>
        </w:rPr>
        <w:t>21.</w:t>
      </w:r>
    </w:p>
    <w:p w14:paraId="0872B7B7" w14:textId="77777777" w:rsidR="008C031D" w:rsidRPr="00C65FFE" w:rsidRDefault="008C031D" w:rsidP="00680ACE">
      <w:pPr>
        <w:widowControl/>
        <w:tabs>
          <w:tab w:val="left" w:pos="-720"/>
          <w:tab w:val="left" w:pos="0"/>
          <w:tab w:val="left" w:pos="284"/>
          <w:tab w:val="left" w:pos="1404"/>
          <w:tab w:val="left" w:pos="1692"/>
          <w:tab w:val="left" w:pos="1980"/>
          <w:tab w:val="left" w:pos="2268"/>
          <w:tab w:val="left" w:pos="2880"/>
        </w:tabs>
        <w:spacing w:line="160" w:lineRule="exact"/>
        <w:ind w:left="284" w:hanging="284"/>
        <w:jc w:val="both"/>
        <w:rPr>
          <w:rFonts w:ascii="Times New Roman" w:hAnsi="Times New Roman"/>
          <w:spacing w:val="-2"/>
          <w:sz w:val="16"/>
          <w:szCs w:val="16"/>
        </w:rPr>
      </w:pPr>
    </w:p>
    <w:p w14:paraId="33FE92A4" w14:textId="598304A1" w:rsidR="001B0FA0" w:rsidRPr="005572EE" w:rsidRDefault="001B0FA0" w:rsidP="00AE0386">
      <w:pPr>
        <w:widowControl/>
        <w:tabs>
          <w:tab w:val="left" w:pos="0"/>
          <w:tab w:val="left" w:pos="567"/>
          <w:tab w:val="left" w:pos="864"/>
          <w:tab w:val="left" w:pos="1418"/>
          <w:tab w:val="left" w:pos="1985"/>
          <w:tab w:val="left" w:pos="2127"/>
          <w:tab w:val="left" w:pos="2268"/>
          <w:tab w:val="left" w:pos="2880"/>
        </w:tabs>
        <w:spacing w:line="156" w:lineRule="exact"/>
        <w:ind w:left="1985" w:hanging="1985"/>
        <w:jc w:val="both"/>
        <w:rPr>
          <w:rFonts w:ascii="Times New Roman" w:hAnsi="Times New Roman"/>
          <w:spacing w:val="-2"/>
          <w:sz w:val="13"/>
          <w:szCs w:val="13"/>
        </w:rPr>
      </w:pPr>
      <w:r w:rsidRPr="00F06FC3">
        <w:rPr>
          <w:rFonts w:ascii="Times New Roman" w:hAnsi="Times New Roman"/>
          <w:b/>
          <w:spacing w:val="-2"/>
          <w:sz w:val="14"/>
          <w:szCs w:val="14"/>
        </w:rPr>
        <w:t>Literatur/Lehrbücher:</w:t>
      </w:r>
      <w:r w:rsidRPr="00F06FC3">
        <w:rPr>
          <w:rFonts w:ascii="Times New Roman" w:hAnsi="Times New Roman"/>
          <w:b/>
          <w:spacing w:val="-2"/>
          <w:sz w:val="14"/>
          <w:szCs w:val="14"/>
        </w:rPr>
        <w:tab/>
      </w:r>
      <w:r w:rsidR="00C5382B" w:rsidRPr="00F06FC3">
        <w:rPr>
          <w:rFonts w:ascii="Times New Roman" w:hAnsi="Times New Roman"/>
          <w:i/>
          <w:spacing w:val="-2"/>
          <w:sz w:val="14"/>
          <w:szCs w:val="14"/>
        </w:rPr>
        <w:t>Heinrich/Reinbacher</w:t>
      </w:r>
      <w:r w:rsidR="00C5382B" w:rsidRPr="00F06FC3">
        <w:rPr>
          <w:rFonts w:ascii="Times New Roman" w:hAnsi="Times New Roman"/>
          <w:spacing w:val="-2"/>
          <w:sz w:val="14"/>
          <w:szCs w:val="14"/>
        </w:rPr>
        <w:t>, Examinatorium Strafprozessrecht</w:t>
      </w:r>
      <w:r w:rsidR="00C31B23" w:rsidRPr="00F06FC3">
        <w:rPr>
          <w:rFonts w:ascii="Times New Roman" w:hAnsi="Times New Roman"/>
          <w:spacing w:val="-2"/>
          <w:sz w:val="14"/>
          <w:szCs w:val="14"/>
        </w:rPr>
        <w:t xml:space="preserve">, </w:t>
      </w:r>
      <w:r w:rsidR="005A57DC" w:rsidRPr="00F06FC3">
        <w:rPr>
          <w:rFonts w:ascii="Times New Roman" w:hAnsi="Times New Roman"/>
          <w:spacing w:val="-2"/>
          <w:sz w:val="14"/>
          <w:szCs w:val="14"/>
        </w:rPr>
        <w:t>4</w:t>
      </w:r>
      <w:r w:rsidR="00C31B23" w:rsidRPr="00F06FC3">
        <w:rPr>
          <w:rFonts w:ascii="Times New Roman" w:hAnsi="Times New Roman"/>
          <w:spacing w:val="-2"/>
          <w:sz w:val="14"/>
          <w:szCs w:val="14"/>
        </w:rPr>
        <w:t>. Auflage 20</w:t>
      </w:r>
      <w:r w:rsidR="003D12AC" w:rsidRPr="00F06FC3">
        <w:rPr>
          <w:rFonts w:ascii="Times New Roman" w:hAnsi="Times New Roman"/>
          <w:spacing w:val="-2"/>
          <w:sz w:val="14"/>
          <w:szCs w:val="14"/>
        </w:rPr>
        <w:t>2</w:t>
      </w:r>
      <w:r w:rsidR="005A57DC" w:rsidRPr="00F06FC3">
        <w:rPr>
          <w:rFonts w:ascii="Times New Roman" w:hAnsi="Times New Roman"/>
          <w:spacing w:val="-2"/>
          <w:sz w:val="14"/>
          <w:szCs w:val="14"/>
        </w:rPr>
        <w:t>3</w:t>
      </w:r>
      <w:r w:rsidR="00C5382B" w:rsidRPr="00F06FC3">
        <w:rPr>
          <w:rFonts w:ascii="Times New Roman" w:hAnsi="Times New Roman"/>
          <w:spacing w:val="-2"/>
          <w:sz w:val="14"/>
          <w:szCs w:val="14"/>
        </w:rPr>
        <w:t>, Problem</w:t>
      </w:r>
      <w:r w:rsidR="00C5382B" w:rsidRPr="005572EE">
        <w:rPr>
          <w:rFonts w:ascii="Times New Roman" w:hAnsi="Times New Roman"/>
          <w:spacing w:val="-2"/>
          <w:sz w:val="13"/>
          <w:szCs w:val="13"/>
        </w:rPr>
        <w:t>38.</w:t>
      </w:r>
    </w:p>
    <w:p w14:paraId="484C6908" w14:textId="522663AD" w:rsidR="001B0FA0" w:rsidRPr="005572EE" w:rsidRDefault="001B0FA0" w:rsidP="00AE0386">
      <w:pPr>
        <w:widowControl/>
        <w:tabs>
          <w:tab w:val="left" w:pos="0"/>
          <w:tab w:val="left" w:pos="567"/>
          <w:tab w:val="left" w:pos="1418"/>
          <w:tab w:val="left" w:pos="2835"/>
          <w:tab w:val="left" w:pos="2880"/>
        </w:tabs>
        <w:spacing w:line="156" w:lineRule="exact"/>
        <w:ind w:left="1418" w:hanging="1418"/>
        <w:jc w:val="both"/>
        <w:rPr>
          <w:rFonts w:ascii="Times New Roman" w:hAnsi="Times New Roman"/>
          <w:spacing w:val="-2"/>
          <w:sz w:val="13"/>
          <w:szCs w:val="13"/>
        </w:rPr>
      </w:pPr>
      <w:r w:rsidRPr="005572EE">
        <w:rPr>
          <w:rFonts w:ascii="Times New Roman" w:hAnsi="Times New Roman"/>
          <w:b/>
          <w:spacing w:val="-2"/>
          <w:sz w:val="13"/>
          <w:szCs w:val="13"/>
        </w:rPr>
        <w:t>Literatur/Aufsätze:</w:t>
      </w:r>
      <w:r w:rsidR="00C65FFE" w:rsidRPr="005572EE">
        <w:rPr>
          <w:rFonts w:ascii="Times New Roman" w:hAnsi="Times New Roman"/>
          <w:b/>
          <w:spacing w:val="-2"/>
          <w:sz w:val="13"/>
          <w:szCs w:val="13"/>
        </w:rPr>
        <w:tab/>
      </w:r>
      <w:proofErr w:type="spellStart"/>
      <w:r w:rsidR="001F0E8B" w:rsidRPr="005572EE">
        <w:rPr>
          <w:rFonts w:ascii="Times New Roman" w:hAnsi="Times New Roman"/>
          <w:bCs/>
          <w:i/>
          <w:spacing w:val="-2"/>
          <w:sz w:val="13"/>
          <w:szCs w:val="13"/>
        </w:rPr>
        <w:t>Artkämper</w:t>
      </w:r>
      <w:proofErr w:type="spellEnd"/>
      <w:r w:rsidR="001F0E8B" w:rsidRPr="005572EE">
        <w:rPr>
          <w:rFonts w:ascii="Times New Roman" w:hAnsi="Times New Roman"/>
          <w:bCs/>
          <w:i/>
          <w:spacing w:val="-2"/>
          <w:sz w:val="13"/>
          <w:szCs w:val="13"/>
        </w:rPr>
        <w:t>/</w:t>
      </w:r>
      <w:proofErr w:type="spellStart"/>
      <w:r w:rsidR="001F0E8B" w:rsidRPr="005572EE">
        <w:rPr>
          <w:rFonts w:ascii="Times New Roman" w:hAnsi="Times New Roman"/>
          <w:bCs/>
          <w:i/>
          <w:spacing w:val="-2"/>
          <w:sz w:val="13"/>
          <w:szCs w:val="13"/>
        </w:rPr>
        <w:t>Sotelsek</w:t>
      </w:r>
      <w:proofErr w:type="spellEnd"/>
      <w:r w:rsidR="001F0E8B" w:rsidRPr="005572EE">
        <w:rPr>
          <w:rFonts w:ascii="Times New Roman" w:hAnsi="Times New Roman"/>
          <w:bCs/>
          <w:spacing w:val="-2"/>
          <w:sz w:val="13"/>
          <w:szCs w:val="13"/>
        </w:rPr>
        <w:t>, Möglichkeiten und Grenzen des § 253 StPO, JURA 2008, 579;</w:t>
      </w:r>
      <w:r w:rsidR="001F0E8B" w:rsidRPr="005572EE">
        <w:rPr>
          <w:rFonts w:ascii="Times New Roman" w:hAnsi="Times New Roman"/>
          <w:b/>
          <w:bCs/>
          <w:spacing w:val="-2"/>
          <w:sz w:val="13"/>
          <w:szCs w:val="13"/>
        </w:rPr>
        <w:t xml:space="preserve"> </w:t>
      </w:r>
      <w:r w:rsidRPr="005572EE">
        <w:rPr>
          <w:rFonts w:ascii="Times New Roman" w:hAnsi="Times New Roman"/>
          <w:i/>
          <w:spacing w:val="-2"/>
          <w:sz w:val="13"/>
          <w:szCs w:val="13"/>
        </w:rPr>
        <w:t>Beulke</w:t>
      </w:r>
      <w:r w:rsidRPr="005572EE">
        <w:rPr>
          <w:rFonts w:ascii="Times New Roman" w:hAnsi="Times New Roman"/>
          <w:spacing w:val="-2"/>
          <w:sz w:val="13"/>
          <w:szCs w:val="13"/>
        </w:rPr>
        <w:t xml:space="preserve">, Die Unmittelbarkeit der Beweisaufnahme in der Hauptverhandlung, §§ 250 ff. StPO, JA 2008, 758; </w:t>
      </w:r>
      <w:proofErr w:type="spellStart"/>
      <w:r w:rsidRPr="005572EE">
        <w:rPr>
          <w:rFonts w:ascii="Times New Roman" w:hAnsi="Times New Roman"/>
          <w:i/>
          <w:spacing w:val="-2"/>
          <w:sz w:val="13"/>
          <w:szCs w:val="13"/>
        </w:rPr>
        <w:t>Gubitz</w:t>
      </w:r>
      <w:proofErr w:type="spellEnd"/>
      <w:r w:rsidRPr="005572EE">
        <w:rPr>
          <w:rFonts w:ascii="Times New Roman" w:hAnsi="Times New Roman"/>
          <w:i/>
          <w:spacing w:val="-2"/>
          <w:sz w:val="13"/>
          <w:szCs w:val="13"/>
        </w:rPr>
        <w:t>/Bock</w:t>
      </w:r>
      <w:r w:rsidRPr="005572EE">
        <w:rPr>
          <w:rFonts w:ascii="Times New Roman" w:hAnsi="Times New Roman"/>
          <w:spacing w:val="-2"/>
          <w:sz w:val="13"/>
          <w:szCs w:val="13"/>
        </w:rPr>
        <w:t xml:space="preserve">, Die Verlesung von Vernehmungsniederschriften in der strafrechtlichen Hauptverhandlung, NJW 2008, 958; </w:t>
      </w:r>
      <w:r w:rsidRPr="005572EE">
        <w:rPr>
          <w:rFonts w:ascii="Times New Roman" w:hAnsi="Times New Roman"/>
          <w:i/>
          <w:spacing w:val="-2"/>
          <w:sz w:val="13"/>
          <w:szCs w:val="13"/>
        </w:rPr>
        <w:t>dies.</w:t>
      </w:r>
      <w:r w:rsidRPr="005572EE">
        <w:rPr>
          <w:rFonts w:ascii="Times New Roman" w:hAnsi="Times New Roman"/>
          <w:spacing w:val="-2"/>
          <w:sz w:val="13"/>
          <w:szCs w:val="13"/>
        </w:rPr>
        <w:t xml:space="preserve">, </w:t>
      </w:r>
      <w:proofErr w:type="spellStart"/>
      <w:r w:rsidRPr="005572EE">
        <w:rPr>
          <w:rFonts w:ascii="Times New Roman" w:hAnsi="Times New Roman"/>
          <w:spacing w:val="-2"/>
          <w:sz w:val="13"/>
          <w:szCs w:val="13"/>
        </w:rPr>
        <w:t>Aus</w:t>
      </w:r>
      <w:proofErr w:type="spellEnd"/>
      <w:r w:rsidRPr="005572EE">
        <w:rPr>
          <w:rFonts w:ascii="Times New Roman" w:hAnsi="Times New Roman"/>
          <w:spacing w:val="-2"/>
          <w:sz w:val="13"/>
          <w:szCs w:val="13"/>
        </w:rPr>
        <w:t xml:space="preserve"> der Praxis: Die „ergänzende“ Verlesung eines Vernehmungsprotokolls – Ein </w:t>
      </w:r>
      <w:proofErr w:type="spellStart"/>
      <w:r w:rsidRPr="005572EE">
        <w:rPr>
          <w:rFonts w:ascii="Times New Roman" w:hAnsi="Times New Roman"/>
          <w:spacing w:val="-2"/>
          <w:sz w:val="13"/>
          <w:szCs w:val="13"/>
        </w:rPr>
        <w:t>revisibler</w:t>
      </w:r>
      <w:proofErr w:type="spellEnd"/>
      <w:r w:rsidRPr="005572EE">
        <w:rPr>
          <w:rFonts w:ascii="Times New Roman" w:hAnsi="Times New Roman"/>
          <w:spacing w:val="-2"/>
          <w:sz w:val="13"/>
          <w:szCs w:val="13"/>
        </w:rPr>
        <w:t xml:space="preserve"> Verstoß gegen § 250 S. 2 StPO, </w:t>
      </w:r>
      <w:proofErr w:type="spellStart"/>
      <w:r w:rsidRPr="005572EE">
        <w:rPr>
          <w:rFonts w:ascii="Times New Roman" w:hAnsi="Times New Roman"/>
          <w:spacing w:val="-2"/>
          <w:sz w:val="13"/>
          <w:szCs w:val="13"/>
        </w:rPr>
        <w:t>JuS</w:t>
      </w:r>
      <w:proofErr w:type="spellEnd"/>
      <w:r w:rsidRPr="005572EE">
        <w:rPr>
          <w:rFonts w:ascii="Times New Roman" w:hAnsi="Times New Roman"/>
          <w:spacing w:val="-2"/>
          <w:sz w:val="13"/>
          <w:szCs w:val="13"/>
        </w:rPr>
        <w:t xml:space="preserve"> 2007, 130; </w:t>
      </w:r>
      <w:r w:rsidR="003D12AC" w:rsidRPr="005572EE">
        <w:rPr>
          <w:rFonts w:ascii="Times New Roman" w:hAnsi="Times New Roman"/>
          <w:i/>
          <w:spacing w:val="-2"/>
          <w:sz w:val="13"/>
          <w:szCs w:val="13"/>
        </w:rPr>
        <w:t>Claus</w:t>
      </w:r>
      <w:r w:rsidR="003D12AC" w:rsidRPr="005572EE">
        <w:rPr>
          <w:rFonts w:ascii="Times New Roman" w:hAnsi="Times New Roman"/>
          <w:spacing w:val="-2"/>
          <w:sz w:val="13"/>
          <w:szCs w:val="13"/>
        </w:rPr>
        <w:t xml:space="preserve">, Zur Modernisierung des Strafverfahrens, NStZ 2020, 57; </w:t>
      </w:r>
      <w:r w:rsidR="001C4CF4" w:rsidRPr="005572EE">
        <w:rPr>
          <w:rFonts w:ascii="Times New Roman" w:hAnsi="Times New Roman"/>
          <w:i/>
          <w:iCs/>
          <w:spacing w:val="-2"/>
          <w:sz w:val="13"/>
          <w:szCs w:val="13"/>
        </w:rPr>
        <w:t>Jahn/Schmitt-</w:t>
      </w:r>
      <w:proofErr w:type="spellStart"/>
      <w:r w:rsidR="001C4CF4" w:rsidRPr="005572EE">
        <w:rPr>
          <w:rFonts w:ascii="Times New Roman" w:hAnsi="Times New Roman"/>
          <w:i/>
          <w:iCs/>
          <w:spacing w:val="-2"/>
          <w:sz w:val="13"/>
          <w:szCs w:val="13"/>
        </w:rPr>
        <w:t>Leonardy</w:t>
      </w:r>
      <w:proofErr w:type="spellEnd"/>
      <w:r w:rsidR="001C4CF4">
        <w:rPr>
          <w:rFonts w:ascii="Times New Roman" w:hAnsi="Times New Roman"/>
          <w:spacing w:val="-2"/>
          <w:sz w:val="13"/>
          <w:szCs w:val="13"/>
        </w:rPr>
        <w:t xml:space="preserve">, Unumstößliches Unmittelbarkeitsprinzip im Strafprozess?, NJW 2022, 2721; </w:t>
      </w:r>
      <w:proofErr w:type="spellStart"/>
      <w:r w:rsidR="00DA3F43" w:rsidRPr="005572EE">
        <w:rPr>
          <w:rFonts w:ascii="Times New Roman" w:hAnsi="Times New Roman"/>
          <w:i/>
          <w:spacing w:val="-2"/>
          <w:sz w:val="13"/>
          <w:szCs w:val="13"/>
        </w:rPr>
        <w:t>Kloke</w:t>
      </w:r>
      <w:proofErr w:type="spellEnd"/>
      <w:r w:rsidR="00DA3F43" w:rsidRPr="005572EE">
        <w:rPr>
          <w:rFonts w:ascii="Times New Roman" w:hAnsi="Times New Roman"/>
          <w:spacing w:val="-2"/>
          <w:sz w:val="13"/>
          <w:szCs w:val="13"/>
        </w:rPr>
        <w:t xml:space="preserve">, Zur Zulässigkeit der ergänzenden Verlesung von Vernehmungsprotokollen, die Angaben des Angeklagten enthalten, NStZ 2019, 374; </w:t>
      </w:r>
      <w:r w:rsidR="0000170C" w:rsidRPr="005572EE">
        <w:rPr>
          <w:rFonts w:ascii="Times New Roman" w:hAnsi="Times New Roman"/>
          <w:i/>
          <w:spacing w:val="-2"/>
          <w:sz w:val="13"/>
          <w:szCs w:val="13"/>
        </w:rPr>
        <w:t>Kraatz</w:t>
      </w:r>
      <w:r w:rsidR="0000170C" w:rsidRPr="005572EE">
        <w:rPr>
          <w:rFonts w:ascii="Times New Roman" w:hAnsi="Times New Roman"/>
          <w:spacing w:val="-2"/>
          <w:sz w:val="13"/>
          <w:szCs w:val="13"/>
        </w:rPr>
        <w:t xml:space="preserve">, Der Verzicht auf das Verwertungsverbot des § 252 StPO – Oder: Der Zeuge als Herr des Verfahrens?, JA 2014, 773; </w:t>
      </w:r>
      <w:r w:rsidRPr="005572EE">
        <w:rPr>
          <w:rFonts w:ascii="Times New Roman" w:hAnsi="Times New Roman"/>
          <w:i/>
          <w:spacing w:val="-2"/>
          <w:sz w:val="13"/>
          <w:szCs w:val="13"/>
        </w:rPr>
        <w:t>Kretschmer</w:t>
      </w:r>
      <w:r w:rsidRPr="005572EE">
        <w:rPr>
          <w:rFonts w:ascii="Times New Roman" w:hAnsi="Times New Roman"/>
          <w:spacing w:val="-2"/>
          <w:sz w:val="13"/>
          <w:szCs w:val="13"/>
        </w:rPr>
        <w:t xml:space="preserve">, Einige Eckpunkte in der Entwicklung der Videoaufzeichnung von strafprozessualen Zeugenvernehmungen, JR 2006, 453; </w:t>
      </w:r>
      <w:r w:rsidR="003D12AC" w:rsidRPr="005572EE">
        <w:rPr>
          <w:rFonts w:ascii="Times New Roman" w:hAnsi="Times New Roman"/>
          <w:i/>
          <w:spacing w:val="-2"/>
          <w:sz w:val="13"/>
          <w:szCs w:val="13"/>
        </w:rPr>
        <w:t>Kudlich</w:t>
      </w:r>
      <w:r w:rsidR="003D12AC" w:rsidRPr="005572EE">
        <w:rPr>
          <w:rFonts w:ascii="Times New Roman" w:hAnsi="Times New Roman"/>
          <w:spacing w:val="-2"/>
          <w:sz w:val="13"/>
          <w:szCs w:val="13"/>
        </w:rPr>
        <w:t xml:space="preserve">, Zeig doch nicht diesen Film von mir!, JA 2020, 229; </w:t>
      </w:r>
      <w:r w:rsidRPr="005572EE">
        <w:rPr>
          <w:rFonts w:ascii="Times New Roman" w:hAnsi="Times New Roman"/>
          <w:i/>
          <w:spacing w:val="-2"/>
          <w:sz w:val="13"/>
          <w:szCs w:val="13"/>
        </w:rPr>
        <w:t>Meurer</w:t>
      </w:r>
      <w:r w:rsidRPr="005572EE">
        <w:rPr>
          <w:rFonts w:ascii="Times New Roman" w:hAnsi="Times New Roman"/>
          <w:spacing w:val="-2"/>
          <w:sz w:val="13"/>
          <w:szCs w:val="13"/>
        </w:rPr>
        <w:t xml:space="preserve">, Zeugenschutzgesetz und Unmittelbarkeitsgrundsatz, </w:t>
      </w:r>
      <w:proofErr w:type="spellStart"/>
      <w:r w:rsidRPr="005572EE">
        <w:rPr>
          <w:rFonts w:ascii="Times New Roman" w:hAnsi="Times New Roman"/>
          <w:spacing w:val="-2"/>
          <w:sz w:val="13"/>
          <w:szCs w:val="13"/>
        </w:rPr>
        <w:t>JuS</w:t>
      </w:r>
      <w:proofErr w:type="spellEnd"/>
      <w:r w:rsidRPr="005572EE">
        <w:rPr>
          <w:rFonts w:ascii="Times New Roman" w:hAnsi="Times New Roman"/>
          <w:spacing w:val="-2"/>
          <w:sz w:val="13"/>
          <w:szCs w:val="13"/>
        </w:rPr>
        <w:t xml:space="preserve"> 1999, 937; </w:t>
      </w:r>
      <w:r w:rsidR="001F0E8B" w:rsidRPr="005572EE">
        <w:rPr>
          <w:rFonts w:ascii="Times New Roman" w:hAnsi="Times New Roman"/>
          <w:i/>
          <w:spacing w:val="-2"/>
          <w:sz w:val="13"/>
          <w:szCs w:val="13"/>
        </w:rPr>
        <w:t>Meyer</w:t>
      </w:r>
      <w:r w:rsidR="001F0E8B" w:rsidRPr="005572EE">
        <w:rPr>
          <w:rFonts w:ascii="Times New Roman" w:hAnsi="Times New Roman"/>
          <w:spacing w:val="-2"/>
          <w:sz w:val="13"/>
          <w:szCs w:val="13"/>
        </w:rPr>
        <w:t xml:space="preserve">, Die Vernehmung der richterlichen </w:t>
      </w:r>
      <w:proofErr w:type="spellStart"/>
      <w:r w:rsidR="001F0E8B" w:rsidRPr="005572EE">
        <w:rPr>
          <w:rFonts w:ascii="Times New Roman" w:hAnsi="Times New Roman"/>
          <w:spacing w:val="-2"/>
          <w:sz w:val="13"/>
          <w:szCs w:val="13"/>
        </w:rPr>
        <w:t>Verhörsperson</w:t>
      </w:r>
      <w:proofErr w:type="spellEnd"/>
      <w:r w:rsidR="001F0E8B" w:rsidRPr="005572EE">
        <w:rPr>
          <w:rFonts w:ascii="Times New Roman" w:hAnsi="Times New Roman"/>
          <w:spacing w:val="-2"/>
          <w:sz w:val="13"/>
          <w:szCs w:val="13"/>
        </w:rPr>
        <w:t xml:space="preserve"> trotz § 252 StPO, StV 2015, 319; </w:t>
      </w:r>
      <w:r w:rsidRPr="005572EE">
        <w:rPr>
          <w:rFonts w:ascii="Times New Roman" w:hAnsi="Times New Roman"/>
          <w:i/>
          <w:spacing w:val="-2"/>
          <w:sz w:val="13"/>
          <w:szCs w:val="13"/>
        </w:rPr>
        <w:t>Mitsch</w:t>
      </w:r>
      <w:r w:rsidRPr="005572EE">
        <w:rPr>
          <w:rFonts w:ascii="Times New Roman" w:hAnsi="Times New Roman"/>
          <w:spacing w:val="-2"/>
          <w:sz w:val="13"/>
          <w:szCs w:val="13"/>
        </w:rPr>
        <w:t xml:space="preserve">, Videoaufzeichnung als Vernehmungssurrogat in der Hauptverhandlung, </w:t>
      </w:r>
      <w:proofErr w:type="spellStart"/>
      <w:r w:rsidRPr="005572EE">
        <w:rPr>
          <w:rFonts w:ascii="Times New Roman" w:hAnsi="Times New Roman"/>
          <w:spacing w:val="-2"/>
          <w:sz w:val="13"/>
          <w:szCs w:val="13"/>
        </w:rPr>
        <w:t>JuS</w:t>
      </w:r>
      <w:proofErr w:type="spellEnd"/>
      <w:r w:rsidRPr="005572EE">
        <w:rPr>
          <w:rFonts w:ascii="Times New Roman" w:hAnsi="Times New Roman"/>
          <w:spacing w:val="-2"/>
          <w:sz w:val="13"/>
          <w:szCs w:val="13"/>
        </w:rPr>
        <w:t xml:space="preserve"> 2005, 102; </w:t>
      </w:r>
      <w:r w:rsidR="0000170C" w:rsidRPr="005572EE">
        <w:rPr>
          <w:rFonts w:ascii="Times New Roman" w:hAnsi="Times New Roman"/>
          <w:i/>
          <w:spacing w:val="-2"/>
          <w:sz w:val="13"/>
          <w:szCs w:val="13"/>
        </w:rPr>
        <w:t>Mosbacher</w:t>
      </w:r>
      <w:r w:rsidR="0000170C" w:rsidRPr="005572EE">
        <w:rPr>
          <w:rFonts w:ascii="Times New Roman" w:hAnsi="Times New Roman"/>
          <w:spacing w:val="-2"/>
          <w:sz w:val="13"/>
          <w:szCs w:val="13"/>
        </w:rPr>
        <w:t xml:space="preserve">, Zur Zulässigkeit vernehmungsergänzender Verlesung, NStZ 2014, 1; </w:t>
      </w:r>
      <w:r w:rsidRPr="005572EE">
        <w:rPr>
          <w:rFonts w:ascii="Times New Roman" w:hAnsi="Times New Roman"/>
          <w:i/>
          <w:spacing w:val="-2"/>
          <w:sz w:val="13"/>
          <w:szCs w:val="13"/>
        </w:rPr>
        <w:t>Norouzi</w:t>
      </w:r>
      <w:r w:rsidRPr="005572EE">
        <w:rPr>
          <w:rFonts w:ascii="Times New Roman" w:hAnsi="Times New Roman"/>
          <w:spacing w:val="-2"/>
          <w:sz w:val="13"/>
          <w:szCs w:val="13"/>
        </w:rPr>
        <w:t xml:space="preserve">, Videovernehmung unter optisch-akustischer Abschirmung, </w:t>
      </w:r>
      <w:proofErr w:type="spellStart"/>
      <w:r w:rsidRPr="005572EE">
        <w:rPr>
          <w:rFonts w:ascii="Times New Roman" w:hAnsi="Times New Roman"/>
          <w:spacing w:val="-2"/>
          <w:sz w:val="13"/>
          <w:szCs w:val="13"/>
        </w:rPr>
        <w:t>JuS</w:t>
      </w:r>
      <w:proofErr w:type="spellEnd"/>
      <w:r w:rsidRPr="005572EE">
        <w:rPr>
          <w:rFonts w:ascii="Times New Roman" w:hAnsi="Times New Roman"/>
          <w:spacing w:val="-2"/>
          <w:sz w:val="13"/>
          <w:szCs w:val="13"/>
        </w:rPr>
        <w:t xml:space="preserve"> 2003, 434</w:t>
      </w:r>
      <w:r w:rsidR="00BE5BEA" w:rsidRPr="005572EE">
        <w:rPr>
          <w:rFonts w:ascii="Times New Roman" w:hAnsi="Times New Roman"/>
          <w:spacing w:val="-2"/>
          <w:sz w:val="13"/>
          <w:szCs w:val="13"/>
        </w:rPr>
        <w:t xml:space="preserve">; </w:t>
      </w:r>
      <w:r w:rsidR="00BE5BEA" w:rsidRPr="005572EE">
        <w:rPr>
          <w:rFonts w:ascii="Times New Roman" w:hAnsi="Times New Roman"/>
          <w:i/>
          <w:spacing w:val="-2"/>
          <w:sz w:val="13"/>
          <w:szCs w:val="13"/>
        </w:rPr>
        <w:t>Schmitt</w:t>
      </w:r>
      <w:r w:rsidR="00BE5BEA" w:rsidRPr="005572EE">
        <w:rPr>
          <w:rFonts w:ascii="Times New Roman" w:hAnsi="Times New Roman"/>
          <w:spacing w:val="-2"/>
          <w:sz w:val="13"/>
          <w:szCs w:val="13"/>
        </w:rPr>
        <w:t xml:space="preserve">, Zum Verzicht auf das Verwertungsverbot des § 252 </w:t>
      </w:r>
      <w:r w:rsidR="00FC3883" w:rsidRPr="005572EE">
        <w:rPr>
          <w:rFonts w:ascii="Times New Roman" w:hAnsi="Times New Roman"/>
          <w:spacing w:val="-2"/>
          <w:sz w:val="13"/>
          <w:szCs w:val="13"/>
        </w:rPr>
        <w:t>StPO</w:t>
      </w:r>
      <w:r w:rsidR="00BE5BEA" w:rsidRPr="005572EE">
        <w:rPr>
          <w:rFonts w:ascii="Times New Roman" w:hAnsi="Times New Roman"/>
          <w:spacing w:val="-2"/>
          <w:sz w:val="13"/>
          <w:szCs w:val="13"/>
        </w:rPr>
        <w:t>, NStZ 2013, 213</w:t>
      </w:r>
      <w:r w:rsidR="000D5344" w:rsidRPr="005572EE">
        <w:rPr>
          <w:rFonts w:ascii="Times New Roman" w:hAnsi="Times New Roman"/>
          <w:spacing w:val="-2"/>
          <w:sz w:val="13"/>
          <w:szCs w:val="13"/>
        </w:rPr>
        <w:t>.</w:t>
      </w:r>
    </w:p>
    <w:p w14:paraId="36662E60" w14:textId="672FD628" w:rsidR="00680ACE" w:rsidRPr="005572EE" w:rsidRDefault="001B0FA0" w:rsidP="00AE0386">
      <w:pPr>
        <w:widowControl/>
        <w:tabs>
          <w:tab w:val="left" w:pos="0"/>
          <w:tab w:val="left" w:pos="567"/>
          <w:tab w:val="left" w:pos="864"/>
          <w:tab w:val="left" w:pos="1418"/>
          <w:tab w:val="left" w:pos="2127"/>
          <w:tab w:val="left" w:pos="2268"/>
          <w:tab w:val="left" w:pos="2880"/>
        </w:tabs>
        <w:spacing w:line="156" w:lineRule="exact"/>
        <w:ind w:left="1418" w:hanging="1418"/>
        <w:jc w:val="both"/>
        <w:rPr>
          <w:rFonts w:ascii="Times New Roman" w:hAnsi="Times New Roman"/>
          <w:spacing w:val="-2"/>
          <w:sz w:val="13"/>
          <w:szCs w:val="13"/>
        </w:rPr>
      </w:pPr>
      <w:r w:rsidRPr="005572EE">
        <w:rPr>
          <w:rFonts w:ascii="Times New Roman" w:hAnsi="Times New Roman"/>
          <w:b/>
          <w:spacing w:val="-2"/>
          <w:sz w:val="13"/>
          <w:szCs w:val="13"/>
        </w:rPr>
        <w:t>Rechtsprechung:</w:t>
      </w:r>
      <w:r w:rsidRPr="005572EE">
        <w:rPr>
          <w:rFonts w:ascii="Times New Roman" w:hAnsi="Times New Roman"/>
          <w:b/>
          <w:spacing w:val="-2"/>
          <w:sz w:val="13"/>
          <w:szCs w:val="13"/>
        </w:rPr>
        <w:tab/>
        <w:t xml:space="preserve">BGHSt 45, 203 </w:t>
      </w:r>
      <w:r w:rsidRPr="005572EE">
        <w:rPr>
          <w:rFonts w:ascii="Times New Roman" w:hAnsi="Times New Roman"/>
          <w:spacing w:val="-2"/>
          <w:sz w:val="13"/>
          <w:szCs w:val="13"/>
        </w:rPr>
        <w:t xml:space="preserve">– Explorationsgespräch (Gestattung </w:t>
      </w:r>
      <w:r w:rsidR="001D78EE" w:rsidRPr="005572EE">
        <w:rPr>
          <w:rFonts w:ascii="Times New Roman" w:hAnsi="Times New Roman"/>
          <w:spacing w:val="-2"/>
          <w:sz w:val="13"/>
          <w:szCs w:val="13"/>
        </w:rPr>
        <w:t xml:space="preserve">der Verwertung </w:t>
      </w:r>
      <w:r w:rsidRPr="005572EE">
        <w:rPr>
          <w:rFonts w:ascii="Times New Roman" w:hAnsi="Times New Roman"/>
          <w:spacing w:val="-2"/>
          <w:sz w:val="13"/>
          <w:szCs w:val="13"/>
        </w:rPr>
        <w:t>durch Zeug</w:t>
      </w:r>
      <w:r w:rsidR="0058643A" w:rsidRPr="005572EE">
        <w:rPr>
          <w:rFonts w:ascii="Times New Roman" w:hAnsi="Times New Roman"/>
          <w:spacing w:val="-2"/>
          <w:sz w:val="13"/>
          <w:szCs w:val="13"/>
        </w:rPr>
        <w:t>i</w:t>
      </w:r>
      <w:r w:rsidRPr="005572EE">
        <w:rPr>
          <w:rFonts w:ascii="Times New Roman" w:hAnsi="Times New Roman"/>
          <w:spacing w:val="-2"/>
          <w:sz w:val="13"/>
          <w:szCs w:val="13"/>
        </w:rPr>
        <w:t xml:space="preserve">n); </w:t>
      </w:r>
      <w:r w:rsidRPr="005572EE">
        <w:rPr>
          <w:rFonts w:ascii="Times New Roman" w:hAnsi="Times New Roman"/>
          <w:b/>
          <w:spacing w:val="-2"/>
          <w:sz w:val="13"/>
          <w:szCs w:val="13"/>
        </w:rPr>
        <w:t xml:space="preserve">BGHSt 49, 72 </w:t>
      </w:r>
      <w:r w:rsidRPr="005572EE">
        <w:rPr>
          <w:rFonts w:ascii="Times New Roman" w:hAnsi="Times New Roman"/>
          <w:spacing w:val="-2"/>
          <w:sz w:val="13"/>
          <w:szCs w:val="13"/>
        </w:rPr>
        <w:t xml:space="preserve">– Videoband (Verwertungsverbot bei Zeugnisverweigerung); </w:t>
      </w:r>
      <w:r w:rsidRPr="005572EE">
        <w:rPr>
          <w:rFonts w:ascii="Times New Roman" w:hAnsi="Times New Roman"/>
          <w:b/>
          <w:spacing w:val="-2"/>
          <w:sz w:val="13"/>
          <w:szCs w:val="13"/>
        </w:rPr>
        <w:t>BGHSt 52, 148</w:t>
      </w:r>
      <w:r w:rsidRPr="005572EE">
        <w:rPr>
          <w:rFonts w:ascii="Times New Roman" w:hAnsi="Times New Roman"/>
          <w:spacing w:val="-2"/>
          <w:sz w:val="13"/>
          <w:szCs w:val="13"/>
        </w:rPr>
        <w:t xml:space="preserve"> – Videoband II (Abspielen zum Zwecke des Vorhalts); </w:t>
      </w:r>
      <w:r w:rsidRPr="005572EE">
        <w:rPr>
          <w:rFonts w:ascii="Times New Roman" w:hAnsi="Times New Roman"/>
          <w:b/>
          <w:spacing w:val="-2"/>
          <w:sz w:val="13"/>
          <w:szCs w:val="13"/>
        </w:rPr>
        <w:t>BGHSt 55, 138</w:t>
      </w:r>
      <w:r w:rsidRPr="005572EE">
        <w:rPr>
          <w:rFonts w:ascii="Times New Roman" w:hAnsi="Times New Roman"/>
          <w:spacing w:val="-2"/>
          <w:sz w:val="13"/>
          <w:szCs w:val="13"/>
        </w:rPr>
        <w:t xml:space="preserve"> – Mordauftrag (Verwertungsverbot bei Nötigung </w:t>
      </w:r>
      <w:r w:rsidR="00046F9C" w:rsidRPr="005572EE">
        <w:rPr>
          <w:rFonts w:ascii="Times New Roman" w:hAnsi="Times New Roman"/>
          <w:spacing w:val="-2"/>
          <w:sz w:val="13"/>
          <w:szCs w:val="13"/>
        </w:rPr>
        <w:t>durch</w:t>
      </w:r>
      <w:r w:rsidRPr="005572EE">
        <w:rPr>
          <w:rFonts w:ascii="Times New Roman" w:hAnsi="Times New Roman"/>
          <w:spacing w:val="-2"/>
          <w:sz w:val="13"/>
          <w:szCs w:val="13"/>
        </w:rPr>
        <w:t xml:space="preserve"> verdeckt</w:t>
      </w:r>
      <w:r w:rsidR="009757D2" w:rsidRPr="005572EE">
        <w:rPr>
          <w:rFonts w:ascii="Times New Roman" w:hAnsi="Times New Roman"/>
          <w:spacing w:val="-2"/>
          <w:sz w:val="13"/>
          <w:szCs w:val="13"/>
        </w:rPr>
        <w:t>e</w:t>
      </w:r>
      <w:r w:rsidR="00046F9C" w:rsidRPr="005572EE">
        <w:rPr>
          <w:rFonts w:ascii="Times New Roman" w:hAnsi="Times New Roman"/>
          <w:spacing w:val="-2"/>
          <w:sz w:val="13"/>
          <w:szCs w:val="13"/>
        </w:rPr>
        <w:t>n</w:t>
      </w:r>
      <w:r w:rsidR="009757D2" w:rsidRPr="005572EE">
        <w:rPr>
          <w:rFonts w:ascii="Times New Roman" w:hAnsi="Times New Roman"/>
          <w:spacing w:val="-2"/>
          <w:sz w:val="13"/>
          <w:szCs w:val="13"/>
        </w:rPr>
        <w:t xml:space="preserve"> Ermittl</w:t>
      </w:r>
      <w:r w:rsidR="00046F9C" w:rsidRPr="005572EE">
        <w:rPr>
          <w:rFonts w:ascii="Times New Roman" w:hAnsi="Times New Roman"/>
          <w:spacing w:val="-2"/>
          <w:sz w:val="13"/>
          <w:szCs w:val="13"/>
        </w:rPr>
        <w:t>er</w:t>
      </w:r>
      <w:r w:rsidRPr="005572EE">
        <w:rPr>
          <w:rFonts w:ascii="Times New Roman" w:hAnsi="Times New Roman"/>
          <w:spacing w:val="-2"/>
          <w:sz w:val="13"/>
          <w:szCs w:val="13"/>
        </w:rPr>
        <w:t xml:space="preserve">); </w:t>
      </w:r>
      <w:r w:rsidR="00365E46" w:rsidRPr="005572EE">
        <w:rPr>
          <w:rFonts w:ascii="Times New Roman" w:hAnsi="Times New Roman"/>
          <w:b/>
          <w:spacing w:val="-2"/>
          <w:sz w:val="13"/>
          <w:szCs w:val="13"/>
        </w:rPr>
        <w:t>BGHSt 65</w:t>
      </w:r>
      <w:r w:rsidR="00852708" w:rsidRPr="005572EE">
        <w:rPr>
          <w:rFonts w:ascii="Times New Roman" w:hAnsi="Times New Roman"/>
          <w:b/>
          <w:spacing w:val="-2"/>
          <w:sz w:val="13"/>
          <w:szCs w:val="13"/>
        </w:rPr>
        <w:t>, 155</w:t>
      </w:r>
      <w:r w:rsidR="00852708" w:rsidRPr="005572EE">
        <w:rPr>
          <w:rFonts w:ascii="Times New Roman" w:hAnsi="Times New Roman"/>
          <w:spacing w:val="-2"/>
          <w:sz w:val="13"/>
          <w:szCs w:val="13"/>
        </w:rPr>
        <w:t xml:space="preserve"> – Selbstleseverfahren (Verstoß gegen Bescheidungspflicht); </w:t>
      </w:r>
      <w:r w:rsidRPr="005572EE">
        <w:rPr>
          <w:rFonts w:ascii="Times New Roman" w:hAnsi="Times New Roman"/>
          <w:b/>
          <w:spacing w:val="-2"/>
          <w:sz w:val="13"/>
          <w:szCs w:val="13"/>
        </w:rPr>
        <w:t>BGH</w:t>
      </w:r>
      <w:r w:rsidRPr="005572EE">
        <w:rPr>
          <w:rFonts w:ascii="Times New Roman" w:hAnsi="Times New Roman"/>
          <w:spacing w:val="-2"/>
          <w:sz w:val="13"/>
          <w:szCs w:val="13"/>
        </w:rPr>
        <w:t xml:space="preserve"> </w:t>
      </w:r>
      <w:r w:rsidRPr="005572EE">
        <w:rPr>
          <w:rFonts w:ascii="Times New Roman" w:hAnsi="Times New Roman"/>
          <w:b/>
          <w:spacing w:val="-2"/>
          <w:sz w:val="13"/>
          <w:szCs w:val="13"/>
        </w:rPr>
        <w:t>NJW 2003, 74</w:t>
      </w:r>
      <w:r w:rsidRPr="005572EE">
        <w:rPr>
          <w:rFonts w:ascii="Times New Roman" w:hAnsi="Times New Roman"/>
          <w:spacing w:val="-2"/>
          <w:sz w:val="13"/>
          <w:szCs w:val="13"/>
        </w:rPr>
        <w:t xml:space="preserve"> – Videovernehmung (Zulässigkeit optisch-akustische</w:t>
      </w:r>
      <w:r w:rsidR="00362FA9" w:rsidRPr="005572EE">
        <w:rPr>
          <w:rFonts w:ascii="Times New Roman" w:hAnsi="Times New Roman"/>
          <w:spacing w:val="-2"/>
          <w:sz w:val="13"/>
          <w:szCs w:val="13"/>
        </w:rPr>
        <w:t>r</w:t>
      </w:r>
      <w:r w:rsidRPr="005572EE">
        <w:rPr>
          <w:rFonts w:ascii="Times New Roman" w:hAnsi="Times New Roman"/>
          <w:spacing w:val="-2"/>
          <w:sz w:val="13"/>
          <w:szCs w:val="13"/>
        </w:rPr>
        <w:t xml:space="preserve"> Abschirmung);</w:t>
      </w:r>
      <w:r w:rsidR="001F0E8B" w:rsidRPr="005572EE">
        <w:rPr>
          <w:rFonts w:ascii="Arial" w:hAnsi="Arial"/>
          <w:b/>
          <w:bCs/>
          <w:sz w:val="13"/>
          <w:szCs w:val="13"/>
        </w:rPr>
        <w:t xml:space="preserve"> </w:t>
      </w:r>
      <w:r w:rsidR="001F0E8B" w:rsidRPr="005572EE">
        <w:rPr>
          <w:rFonts w:ascii="Times New Roman" w:hAnsi="Times New Roman"/>
          <w:b/>
          <w:bCs/>
          <w:spacing w:val="-2"/>
          <w:sz w:val="13"/>
          <w:szCs w:val="13"/>
        </w:rPr>
        <w:t>BGH NJW 2012, 694</w:t>
      </w:r>
      <w:r w:rsidR="001F0E8B" w:rsidRPr="005572EE">
        <w:rPr>
          <w:rFonts w:ascii="Times New Roman" w:hAnsi="Times New Roman"/>
          <w:bCs/>
          <w:spacing w:val="-2"/>
          <w:sz w:val="13"/>
          <w:szCs w:val="13"/>
        </w:rPr>
        <w:t xml:space="preserve"> – Unmittelbarkeitsgrundsatz (Verlesung ärztlichen Attests); </w:t>
      </w:r>
      <w:r w:rsidR="003D12AC" w:rsidRPr="005572EE">
        <w:rPr>
          <w:rFonts w:ascii="Times New Roman" w:hAnsi="Times New Roman"/>
          <w:b/>
          <w:bCs/>
          <w:spacing w:val="-2"/>
          <w:sz w:val="13"/>
          <w:szCs w:val="13"/>
        </w:rPr>
        <w:t xml:space="preserve">BGH </w:t>
      </w:r>
      <w:r w:rsidR="0094747E">
        <w:rPr>
          <w:rFonts w:ascii="Times New Roman" w:hAnsi="Times New Roman"/>
          <w:b/>
          <w:bCs/>
          <w:spacing w:val="-2"/>
          <w:sz w:val="13"/>
          <w:szCs w:val="13"/>
        </w:rPr>
        <w:t>NStZ</w:t>
      </w:r>
      <w:r w:rsidR="0094747E" w:rsidRPr="005572EE">
        <w:rPr>
          <w:rFonts w:ascii="Times New Roman" w:hAnsi="Times New Roman"/>
          <w:b/>
          <w:bCs/>
          <w:spacing w:val="-2"/>
          <w:sz w:val="13"/>
          <w:szCs w:val="13"/>
        </w:rPr>
        <w:t xml:space="preserve"> </w:t>
      </w:r>
      <w:r w:rsidR="003D12AC" w:rsidRPr="005572EE">
        <w:rPr>
          <w:rFonts w:ascii="Times New Roman" w:hAnsi="Times New Roman"/>
          <w:b/>
          <w:bCs/>
          <w:spacing w:val="-2"/>
          <w:sz w:val="13"/>
          <w:szCs w:val="13"/>
        </w:rPr>
        <w:t xml:space="preserve">2016, </w:t>
      </w:r>
      <w:r w:rsidR="0094747E">
        <w:rPr>
          <w:rFonts w:ascii="Times New Roman" w:hAnsi="Times New Roman"/>
          <w:b/>
          <w:bCs/>
          <w:spacing w:val="-2"/>
          <w:sz w:val="13"/>
          <w:szCs w:val="13"/>
        </w:rPr>
        <w:t>3</w:t>
      </w:r>
      <w:r w:rsidR="003D12AC" w:rsidRPr="005572EE">
        <w:rPr>
          <w:rFonts w:ascii="Times New Roman" w:hAnsi="Times New Roman"/>
          <w:b/>
          <w:bCs/>
          <w:spacing w:val="-2"/>
          <w:sz w:val="13"/>
          <w:szCs w:val="13"/>
        </w:rPr>
        <w:t xml:space="preserve">01 </w:t>
      </w:r>
      <w:r w:rsidR="003D12AC" w:rsidRPr="005572EE">
        <w:rPr>
          <w:rFonts w:ascii="Times New Roman" w:hAnsi="Times New Roman"/>
          <w:bCs/>
          <w:spacing w:val="-2"/>
          <w:sz w:val="13"/>
          <w:szCs w:val="13"/>
        </w:rPr>
        <w:t xml:space="preserve">– Observationsprotokoll (Verlesung), vgl. </w:t>
      </w:r>
      <w:proofErr w:type="spellStart"/>
      <w:r w:rsidR="00E74E94" w:rsidRPr="005572EE">
        <w:rPr>
          <w:rFonts w:ascii="Times New Roman" w:hAnsi="Times New Roman"/>
          <w:bCs/>
          <w:i/>
          <w:iCs/>
          <w:spacing w:val="-2"/>
          <w:sz w:val="13"/>
          <w:szCs w:val="13"/>
        </w:rPr>
        <w:t>Haefke</w:t>
      </w:r>
      <w:proofErr w:type="spellEnd"/>
      <w:r w:rsidR="00E74E94" w:rsidRPr="005572EE">
        <w:rPr>
          <w:rFonts w:ascii="Times New Roman" w:hAnsi="Times New Roman"/>
          <w:bCs/>
          <w:i/>
          <w:iCs/>
          <w:spacing w:val="-2"/>
          <w:sz w:val="13"/>
          <w:szCs w:val="13"/>
        </w:rPr>
        <w:t>/Rabe</w:t>
      </w:r>
      <w:r w:rsidR="00E74E94" w:rsidRPr="005572EE">
        <w:rPr>
          <w:rFonts w:ascii="Times New Roman" w:hAnsi="Times New Roman"/>
          <w:bCs/>
          <w:spacing w:val="-2"/>
          <w:sz w:val="13"/>
          <w:szCs w:val="13"/>
        </w:rPr>
        <w:t xml:space="preserve">, </w:t>
      </w:r>
      <w:r w:rsidR="003D12AC" w:rsidRPr="005572EE">
        <w:rPr>
          <w:rFonts w:ascii="Times New Roman" w:hAnsi="Times New Roman"/>
          <w:bCs/>
          <w:spacing w:val="-2"/>
          <w:sz w:val="13"/>
          <w:szCs w:val="13"/>
        </w:rPr>
        <w:t>famos 07/2016;</w:t>
      </w:r>
      <w:r w:rsidR="003D12AC" w:rsidRPr="005572EE">
        <w:rPr>
          <w:rFonts w:ascii="Times New Roman" w:hAnsi="Times New Roman"/>
          <w:spacing w:val="-2"/>
          <w:sz w:val="13"/>
          <w:szCs w:val="13"/>
        </w:rPr>
        <w:t xml:space="preserve"> </w:t>
      </w:r>
      <w:r w:rsidR="003D12AC" w:rsidRPr="005572EE">
        <w:rPr>
          <w:rFonts w:ascii="Times New Roman" w:hAnsi="Times New Roman"/>
          <w:b/>
          <w:bCs/>
          <w:spacing w:val="-2"/>
          <w:sz w:val="13"/>
          <w:szCs w:val="13"/>
        </w:rPr>
        <w:t>BGH NJW 2019, 3736</w:t>
      </w:r>
      <w:r w:rsidR="003D12AC" w:rsidRPr="005572EE">
        <w:rPr>
          <w:rFonts w:ascii="Times New Roman" w:hAnsi="Times New Roman"/>
          <w:bCs/>
          <w:spacing w:val="-2"/>
          <w:sz w:val="13"/>
          <w:szCs w:val="13"/>
        </w:rPr>
        <w:t xml:space="preserve"> – Unmittelbarkeitsgrundsatz (DNA-Gutachten); </w:t>
      </w:r>
      <w:r w:rsidR="001F0E8B" w:rsidRPr="005572EE">
        <w:rPr>
          <w:rFonts w:ascii="Times New Roman" w:hAnsi="Times New Roman"/>
          <w:b/>
          <w:bCs/>
          <w:spacing w:val="-2"/>
          <w:sz w:val="13"/>
          <w:szCs w:val="13"/>
        </w:rPr>
        <w:t>BGH NStZ 2013, 247</w:t>
      </w:r>
      <w:r w:rsidR="001F0E8B" w:rsidRPr="005572EE">
        <w:rPr>
          <w:rFonts w:ascii="Times New Roman" w:hAnsi="Times New Roman"/>
          <w:bCs/>
          <w:spacing w:val="-2"/>
          <w:sz w:val="13"/>
          <w:szCs w:val="13"/>
        </w:rPr>
        <w:t xml:space="preserve"> –</w:t>
      </w:r>
      <w:r w:rsidR="00395883" w:rsidRPr="005572EE">
        <w:rPr>
          <w:rFonts w:ascii="Times New Roman" w:hAnsi="Times New Roman"/>
          <w:bCs/>
          <w:spacing w:val="-2"/>
          <w:sz w:val="13"/>
          <w:szCs w:val="13"/>
        </w:rPr>
        <w:t xml:space="preserve"> </w:t>
      </w:r>
      <w:r w:rsidR="001F0E8B" w:rsidRPr="005572EE">
        <w:rPr>
          <w:rFonts w:ascii="Times New Roman" w:hAnsi="Times New Roman"/>
          <w:bCs/>
          <w:spacing w:val="-2"/>
          <w:sz w:val="13"/>
          <w:szCs w:val="13"/>
        </w:rPr>
        <w:t xml:space="preserve">Tonbandaufzeichnung (Unverwertbarkeit bei Zeugnisverweigerung), vgl. </w:t>
      </w:r>
      <w:r w:rsidR="00E74E94" w:rsidRPr="005572EE">
        <w:rPr>
          <w:rFonts w:ascii="Times New Roman" w:hAnsi="Times New Roman"/>
          <w:bCs/>
          <w:i/>
          <w:iCs/>
          <w:spacing w:val="-2"/>
          <w:sz w:val="13"/>
          <w:szCs w:val="13"/>
        </w:rPr>
        <w:t>Eckoldt/Gölzer</w:t>
      </w:r>
      <w:r w:rsidR="00E74E94" w:rsidRPr="005572EE">
        <w:rPr>
          <w:rFonts w:ascii="Times New Roman" w:hAnsi="Times New Roman"/>
          <w:bCs/>
          <w:spacing w:val="-2"/>
          <w:sz w:val="13"/>
          <w:szCs w:val="13"/>
        </w:rPr>
        <w:t xml:space="preserve">, </w:t>
      </w:r>
      <w:r w:rsidR="001F0E8B" w:rsidRPr="005572EE">
        <w:rPr>
          <w:rFonts w:ascii="Times New Roman" w:hAnsi="Times New Roman"/>
          <w:bCs/>
          <w:spacing w:val="-2"/>
          <w:sz w:val="13"/>
          <w:szCs w:val="13"/>
        </w:rPr>
        <w:t xml:space="preserve">famos </w:t>
      </w:r>
      <w:r w:rsidR="00265938" w:rsidRPr="005572EE">
        <w:rPr>
          <w:rFonts w:ascii="Times New Roman" w:hAnsi="Times New Roman"/>
          <w:bCs/>
          <w:spacing w:val="-2"/>
          <w:sz w:val="13"/>
          <w:szCs w:val="13"/>
        </w:rPr>
        <w:t>0</w:t>
      </w:r>
      <w:r w:rsidR="001F0E8B" w:rsidRPr="005572EE">
        <w:rPr>
          <w:rFonts w:ascii="Times New Roman" w:hAnsi="Times New Roman"/>
          <w:bCs/>
          <w:spacing w:val="-2"/>
          <w:sz w:val="13"/>
          <w:szCs w:val="13"/>
        </w:rPr>
        <w:t xml:space="preserve">3/2013; </w:t>
      </w:r>
      <w:r w:rsidR="00DA3F43" w:rsidRPr="005572EE">
        <w:rPr>
          <w:rFonts w:ascii="Times New Roman" w:hAnsi="Times New Roman"/>
          <w:b/>
          <w:spacing w:val="-2"/>
          <w:sz w:val="13"/>
          <w:szCs w:val="13"/>
        </w:rPr>
        <w:t>BGH NStZ 2019, 106</w:t>
      </w:r>
      <w:r w:rsidR="00DA3F43" w:rsidRPr="005572EE">
        <w:rPr>
          <w:rFonts w:ascii="Times New Roman" w:hAnsi="Times New Roman"/>
          <w:spacing w:val="-2"/>
          <w:sz w:val="13"/>
          <w:szCs w:val="13"/>
        </w:rPr>
        <w:t xml:space="preserve"> –</w:t>
      </w:r>
      <w:r w:rsidR="00780407" w:rsidRPr="005572EE">
        <w:rPr>
          <w:rFonts w:ascii="Times New Roman" w:hAnsi="Times New Roman"/>
          <w:spacing w:val="-2"/>
          <w:sz w:val="13"/>
          <w:szCs w:val="13"/>
        </w:rPr>
        <w:t xml:space="preserve"> </w:t>
      </w:r>
      <w:r w:rsidR="00A1561E" w:rsidRPr="005572EE">
        <w:rPr>
          <w:rFonts w:ascii="Times New Roman" w:hAnsi="Times New Roman"/>
          <w:spacing w:val="-2"/>
          <w:sz w:val="13"/>
          <w:szCs w:val="13"/>
        </w:rPr>
        <w:t xml:space="preserve">Verlesung von </w:t>
      </w:r>
      <w:r w:rsidR="00DA3F43" w:rsidRPr="005572EE">
        <w:rPr>
          <w:rFonts w:ascii="Times New Roman" w:hAnsi="Times New Roman"/>
          <w:spacing w:val="-2"/>
          <w:sz w:val="13"/>
          <w:szCs w:val="13"/>
        </w:rPr>
        <w:t>Vernehmungsprotoko</w:t>
      </w:r>
      <w:r w:rsidR="00AE0386" w:rsidRPr="005572EE">
        <w:rPr>
          <w:rFonts w:ascii="Times New Roman" w:hAnsi="Times New Roman"/>
          <w:spacing w:val="-2"/>
          <w:sz w:val="13"/>
          <w:szCs w:val="13"/>
        </w:rPr>
        <w:t xml:space="preserve">ll (Verstoß gegen § 250 StPO); </w:t>
      </w:r>
      <w:r w:rsidR="00AE0386" w:rsidRPr="005572EE">
        <w:rPr>
          <w:rFonts w:ascii="Times New Roman" w:hAnsi="Times New Roman"/>
          <w:b/>
          <w:spacing w:val="-2"/>
          <w:sz w:val="13"/>
          <w:szCs w:val="13"/>
        </w:rPr>
        <w:t>BGH NStZ 2020, 181</w:t>
      </w:r>
      <w:r w:rsidR="00AE0386" w:rsidRPr="005572EE">
        <w:rPr>
          <w:rFonts w:ascii="Times New Roman" w:hAnsi="Times New Roman"/>
          <w:spacing w:val="-2"/>
          <w:sz w:val="13"/>
          <w:szCs w:val="13"/>
        </w:rPr>
        <w:t xml:space="preserve"> –</w:t>
      </w:r>
      <w:r w:rsidR="00E865BD" w:rsidRPr="005572EE">
        <w:rPr>
          <w:rFonts w:ascii="Times New Roman" w:hAnsi="Times New Roman"/>
          <w:spacing w:val="-2"/>
          <w:sz w:val="13"/>
          <w:szCs w:val="13"/>
        </w:rPr>
        <w:t xml:space="preserve"> </w:t>
      </w:r>
      <w:r w:rsidR="00AE0386" w:rsidRPr="005572EE">
        <w:rPr>
          <w:rFonts w:ascii="Times New Roman" w:hAnsi="Times New Roman"/>
          <w:spacing w:val="-2"/>
          <w:sz w:val="13"/>
          <w:szCs w:val="13"/>
        </w:rPr>
        <w:t>Videoaufzeichnung (</w:t>
      </w:r>
      <w:proofErr w:type="spellStart"/>
      <w:r w:rsidR="00AE0386" w:rsidRPr="005572EE">
        <w:rPr>
          <w:rFonts w:ascii="Times New Roman" w:hAnsi="Times New Roman"/>
          <w:spacing w:val="-2"/>
          <w:sz w:val="13"/>
          <w:szCs w:val="13"/>
        </w:rPr>
        <w:t>nachträgl</w:t>
      </w:r>
      <w:proofErr w:type="spellEnd"/>
      <w:r w:rsidR="00F15424" w:rsidRPr="005572EE">
        <w:rPr>
          <w:rFonts w:ascii="Times New Roman" w:hAnsi="Times New Roman"/>
          <w:spacing w:val="-2"/>
          <w:sz w:val="13"/>
          <w:szCs w:val="13"/>
        </w:rPr>
        <w:t>.</w:t>
      </w:r>
      <w:r w:rsidR="00AE0386" w:rsidRPr="005572EE">
        <w:rPr>
          <w:rFonts w:ascii="Times New Roman" w:hAnsi="Times New Roman"/>
          <w:spacing w:val="-2"/>
          <w:sz w:val="13"/>
          <w:szCs w:val="13"/>
        </w:rPr>
        <w:t xml:space="preserve"> Ausübung des Zeugnisverweigerungsrechts)</w:t>
      </w:r>
      <w:r w:rsidR="00365E46" w:rsidRPr="005572EE">
        <w:rPr>
          <w:rFonts w:ascii="Times New Roman" w:hAnsi="Times New Roman"/>
          <w:spacing w:val="-2"/>
          <w:sz w:val="13"/>
          <w:szCs w:val="13"/>
        </w:rPr>
        <w:t xml:space="preserve">; </w:t>
      </w:r>
      <w:r w:rsidR="00365E46" w:rsidRPr="005572EE">
        <w:rPr>
          <w:rFonts w:ascii="Times New Roman" w:hAnsi="Times New Roman"/>
          <w:b/>
          <w:spacing w:val="-2"/>
          <w:sz w:val="13"/>
          <w:szCs w:val="13"/>
        </w:rPr>
        <w:t>BGH NStZ 2022, 119</w:t>
      </w:r>
      <w:r w:rsidR="00365E46" w:rsidRPr="005572EE">
        <w:rPr>
          <w:rFonts w:ascii="Times New Roman" w:hAnsi="Times New Roman"/>
          <w:spacing w:val="-2"/>
          <w:sz w:val="13"/>
          <w:szCs w:val="13"/>
        </w:rPr>
        <w:t xml:space="preserve"> – </w:t>
      </w:r>
      <w:r w:rsidR="00C26380">
        <w:rPr>
          <w:rFonts w:ascii="Times New Roman" w:hAnsi="Times New Roman"/>
          <w:spacing w:val="-2"/>
          <w:sz w:val="13"/>
          <w:szCs w:val="13"/>
        </w:rPr>
        <w:t>Vorhalt (</w:t>
      </w:r>
      <w:r w:rsidR="00365E46" w:rsidRPr="005572EE">
        <w:rPr>
          <w:rFonts w:ascii="Times New Roman" w:hAnsi="Times New Roman"/>
          <w:spacing w:val="-2"/>
          <w:sz w:val="13"/>
          <w:szCs w:val="13"/>
        </w:rPr>
        <w:t>Beweiserhebung durch Vorhalt</w:t>
      </w:r>
      <w:r w:rsidR="00C26380">
        <w:rPr>
          <w:rFonts w:ascii="Times New Roman" w:hAnsi="Times New Roman"/>
          <w:spacing w:val="-2"/>
          <w:sz w:val="13"/>
          <w:szCs w:val="13"/>
        </w:rPr>
        <w:t xml:space="preserve"> von Urkunden)</w:t>
      </w:r>
      <w:r w:rsidR="007F092C" w:rsidRPr="005572EE">
        <w:rPr>
          <w:rFonts w:ascii="Times New Roman" w:hAnsi="Times New Roman"/>
          <w:spacing w:val="-2"/>
          <w:sz w:val="13"/>
          <w:szCs w:val="13"/>
        </w:rPr>
        <w:t xml:space="preserve">; </w:t>
      </w:r>
      <w:r w:rsidR="00427784" w:rsidRPr="00427784">
        <w:rPr>
          <w:rFonts w:ascii="Times New Roman" w:hAnsi="Times New Roman"/>
          <w:b/>
          <w:bCs/>
          <w:spacing w:val="-2"/>
          <w:sz w:val="13"/>
          <w:szCs w:val="13"/>
        </w:rPr>
        <w:t>BGH NStZ 2024, 173</w:t>
      </w:r>
      <w:r w:rsidR="00427784" w:rsidRPr="00427784">
        <w:rPr>
          <w:rFonts w:ascii="Times New Roman" w:hAnsi="Times New Roman"/>
          <w:spacing w:val="-2"/>
          <w:sz w:val="13"/>
          <w:szCs w:val="13"/>
        </w:rPr>
        <w:t xml:space="preserve"> – </w:t>
      </w:r>
      <w:r w:rsidR="00742E8F">
        <w:rPr>
          <w:rFonts w:ascii="Times New Roman" w:hAnsi="Times New Roman"/>
          <w:spacing w:val="-2"/>
          <w:sz w:val="13"/>
          <w:szCs w:val="13"/>
        </w:rPr>
        <w:t>Freigabeerklärung (</w:t>
      </w:r>
      <w:r w:rsidR="00427784" w:rsidRPr="00427784">
        <w:rPr>
          <w:rFonts w:ascii="Times New Roman" w:hAnsi="Times New Roman"/>
          <w:spacing w:val="-2"/>
          <w:sz w:val="13"/>
          <w:szCs w:val="13"/>
        </w:rPr>
        <w:t>Unzulässigkeit der selektiven Gestattung der Verwertung früherer Vernehmungen</w:t>
      </w:r>
      <w:r w:rsidR="00742E8F">
        <w:rPr>
          <w:rFonts w:ascii="Times New Roman" w:hAnsi="Times New Roman"/>
          <w:spacing w:val="-2"/>
          <w:sz w:val="13"/>
          <w:szCs w:val="13"/>
        </w:rPr>
        <w:t>)</w:t>
      </w:r>
      <w:r w:rsidR="00427784" w:rsidRPr="00427784">
        <w:rPr>
          <w:rFonts w:ascii="Times New Roman" w:hAnsi="Times New Roman"/>
          <w:spacing w:val="-2"/>
          <w:sz w:val="13"/>
          <w:szCs w:val="13"/>
        </w:rPr>
        <w:t xml:space="preserve">, vgl. </w:t>
      </w:r>
      <w:r w:rsidR="00427784" w:rsidRPr="00427784">
        <w:rPr>
          <w:rFonts w:ascii="Times New Roman" w:hAnsi="Times New Roman"/>
          <w:i/>
          <w:iCs/>
          <w:spacing w:val="-2"/>
          <w:sz w:val="13"/>
          <w:szCs w:val="13"/>
        </w:rPr>
        <w:t>Hack/Salzer</w:t>
      </w:r>
      <w:r w:rsidR="00427784" w:rsidRPr="00427784">
        <w:rPr>
          <w:rFonts w:ascii="Times New Roman" w:hAnsi="Times New Roman"/>
          <w:spacing w:val="-2"/>
          <w:sz w:val="13"/>
          <w:szCs w:val="13"/>
        </w:rPr>
        <w:t>, famos 04/2024;</w:t>
      </w:r>
      <w:r w:rsidR="00427784">
        <w:rPr>
          <w:rFonts w:ascii="Times New Roman" w:hAnsi="Times New Roman"/>
          <w:spacing w:val="-2"/>
          <w:sz w:val="13"/>
          <w:szCs w:val="13"/>
        </w:rPr>
        <w:t xml:space="preserve"> </w:t>
      </w:r>
      <w:r w:rsidR="007F092C" w:rsidRPr="005572EE">
        <w:rPr>
          <w:rFonts w:ascii="Times New Roman" w:hAnsi="Times New Roman"/>
          <w:b/>
          <w:bCs/>
          <w:spacing w:val="-2"/>
          <w:sz w:val="13"/>
          <w:szCs w:val="13"/>
        </w:rPr>
        <w:t>OLG Saarbrücken NJW 2008, 1396</w:t>
      </w:r>
      <w:r w:rsidR="007F092C" w:rsidRPr="005572EE">
        <w:rPr>
          <w:rFonts w:ascii="Times New Roman" w:hAnsi="Times New Roman"/>
          <w:spacing w:val="-2"/>
          <w:sz w:val="13"/>
          <w:szCs w:val="13"/>
        </w:rPr>
        <w:t xml:space="preserve"> – Spontanäußerung</w:t>
      </w:r>
      <w:r w:rsidR="00C26380">
        <w:rPr>
          <w:rFonts w:ascii="Times New Roman" w:hAnsi="Times New Roman"/>
          <w:spacing w:val="-2"/>
          <w:sz w:val="13"/>
          <w:szCs w:val="13"/>
        </w:rPr>
        <w:t xml:space="preserve"> </w:t>
      </w:r>
      <w:r w:rsidR="00DC1273" w:rsidRPr="0023039C">
        <w:rPr>
          <w:rFonts w:ascii="Times New Roman" w:hAnsi="Times New Roman"/>
          <w:spacing w:val="-2"/>
          <w:sz w:val="13"/>
          <w:szCs w:val="13"/>
        </w:rPr>
        <w:t>(Verwertbarkeit der Spontanäußerung einer Zeugin)</w:t>
      </w:r>
      <w:r w:rsidR="007F092C" w:rsidRPr="005572EE">
        <w:rPr>
          <w:rFonts w:ascii="Times New Roman" w:hAnsi="Times New Roman"/>
          <w:spacing w:val="-2"/>
          <w:sz w:val="13"/>
          <w:szCs w:val="13"/>
        </w:rPr>
        <w:t>.</w:t>
      </w:r>
    </w:p>
    <w:sectPr w:rsidR="00680ACE" w:rsidRPr="005572EE" w:rsidSect="001B0FA0">
      <w:pgSz w:w="11906" w:h="16838"/>
      <w:pgMar w:top="567" w:right="624" w:bottom="397"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601F" w14:textId="77777777" w:rsidR="00111E3B" w:rsidRDefault="00111E3B">
      <w:pPr>
        <w:widowControl/>
        <w:spacing w:line="-20" w:lineRule="auto"/>
      </w:pPr>
    </w:p>
  </w:endnote>
  <w:endnote w:type="continuationSeparator" w:id="0">
    <w:p w14:paraId="5E975741" w14:textId="77777777" w:rsidR="00111E3B" w:rsidRDefault="00111E3B">
      <w:r>
        <w:t xml:space="preserve"> </w:t>
      </w:r>
    </w:p>
  </w:endnote>
  <w:endnote w:type="continuationNotice" w:id="1">
    <w:p w14:paraId="38663FCF" w14:textId="77777777" w:rsidR="00111E3B" w:rsidRDefault="00111E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4852" w14:textId="77777777" w:rsidR="00111E3B" w:rsidRDefault="00111E3B">
      <w:r>
        <w:separator/>
      </w:r>
    </w:p>
  </w:footnote>
  <w:footnote w:type="continuationSeparator" w:id="0">
    <w:p w14:paraId="75DC5236" w14:textId="77777777" w:rsidR="00111E3B" w:rsidRDefault="0011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0ACB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432736F"/>
    <w:multiLevelType w:val="hybridMultilevel"/>
    <w:tmpl w:val="D0B691C6"/>
    <w:lvl w:ilvl="0" w:tplc="59F0B172">
      <w:start w:val="1"/>
      <w:numFmt w:val="bullet"/>
      <w:lvlText w:val="–"/>
      <w:lvlJc w:val="left"/>
      <w:pPr>
        <w:ind w:left="1211" w:hanging="360"/>
      </w:pPr>
      <w:rPr>
        <w:rFonts w:ascii="Times New Roman" w:eastAsia="Times New Roman" w:hAnsi="Times New Roman"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196113570">
    <w:abstractNumId w:val="0"/>
  </w:num>
  <w:num w:numId="2" w16cid:durableId="188501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defaultTabStop w:val="720"/>
  <w:autoHyphenation/>
  <w:hyphenationZone w:val="51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DD"/>
    <w:rsid w:val="0000170C"/>
    <w:rsid w:val="00046F9C"/>
    <w:rsid w:val="000628F2"/>
    <w:rsid w:val="000802DF"/>
    <w:rsid w:val="00095E05"/>
    <w:rsid w:val="0009644F"/>
    <w:rsid w:val="000B03A9"/>
    <w:rsid w:val="000B6867"/>
    <w:rsid w:val="000D01ED"/>
    <w:rsid w:val="000D3D75"/>
    <w:rsid w:val="000D5344"/>
    <w:rsid w:val="000F6FCD"/>
    <w:rsid w:val="000F726A"/>
    <w:rsid w:val="001058DC"/>
    <w:rsid w:val="00106504"/>
    <w:rsid w:val="0011010A"/>
    <w:rsid w:val="00111E3B"/>
    <w:rsid w:val="00122467"/>
    <w:rsid w:val="00133CA1"/>
    <w:rsid w:val="00146746"/>
    <w:rsid w:val="001A2A24"/>
    <w:rsid w:val="001A53C1"/>
    <w:rsid w:val="001B0FA0"/>
    <w:rsid w:val="001C4CF4"/>
    <w:rsid w:val="001D78EE"/>
    <w:rsid w:val="001F0E8B"/>
    <w:rsid w:val="00265938"/>
    <w:rsid w:val="00282C53"/>
    <w:rsid w:val="002849E5"/>
    <w:rsid w:val="0029063E"/>
    <w:rsid w:val="002A28B9"/>
    <w:rsid w:val="002A305F"/>
    <w:rsid w:val="002B5A0B"/>
    <w:rsid w:val="002C1596"/>
    <w:rsid w:val="002C1D7B"/>
    <w:rsid w:val="002D3313"/>
    <w:rsid w:val="002D3FCD"/>
    <w:rsid w:val="002E0982"/>
    <w:rsid w:val="002E17C0"/>
    <w:rsid w:val="00303905"/>
    <w:rsid w:val="00305D91"/>
    <w:rsid w:val="0032578D"/>
    <w:rsid w:val="003305A7"/>
    <w:rsid w:val="00362FA9"/>
    <w:rsid w:val="0036563D"/>
    <w:rsid w:val="00365E46"/>
    <w:rsid w:val="00370483"/>
    <w:rsid w:val="00395883"/>
    <w:rsid w:val="003A319E"/>
    <w:rsid w:val="003A7147"/>
    <w:rsid w:val="003B0566"/>
    <w:rsid w:val="003D12AC"/>
    <w:rsid w:val="003F3490"/>
    <w:rsid w:val="0041261B"/>
    <w:rsid w:val="00427784"/>
    <w:rsid w:val="00436573"/>
    <w:rsid w:val="004723B2"/>
    <w:rsid w:val="00484882"/>
    <w:rsid w:val="0048531B"/>
    <w:rsid w:val="004C4A98"/>
    <w:rsid w:val="004E0838"/>
    <w:rsid w:val="004F08C7"/>
    <w:rsid w:val="005421B0"/>
    <w:rsid w:val="00551EA5"/>
    <w:rsid w:val="005572EE"/>
    <w:rsid w:val="0058643A"/>
    <w:rsid w:val="005918C1"/>
    <w:rsid w:val="005A57DC"/>
    <w:rsid w:val="005A77AE"/>
    <w:rsid w:val="005C36C8"/>
    <w:rsid w:val="005D08B5"/>
    <w:rsid w:val="005E108A"/>
    <w:rsid w:val="00601F9B"/>
    <w:rsid w:val="00617AC1"/>
    <w:rsid w:val="00642262"/>
    <w:rsid w:val="00652CB4"/>
    <w:rsid w:val="006607C4"/>
    <w:rsid w:val="0067684C"/>
    <w:rsid w:val="00677B44"/>
    <w:rsid w:val="00680ACE"/>
    <w:rsid w:val="00682582"/>
    <w:rsid w:val="006941FF"/>
    <w:rsid w:val="006C10FA"/>
    <w:rsid w:val="006E3571"/>
    <w:rsid w:val="00701B60"/>
    <w:rsid w:val="00706B4A"/>
    <w:rsid w:val="007076EC"/>
    <w:rsid w:val="0073632B"/>
    <w:rsid w:val="00742E8F"/>
    <w:rsid w:val="00751E8C"/>
    <w:rsid w:val="00780407"/>
    <w:rsid w:val="00784045"/>
    <w:rsid w:val="007A4B68"/>
    <w:rsid w:val="007D0D19"/>
    <w:rsid w:val="007F092C"/>
    <w:rsid w:val="007F624C"/>
    <w:rsid w:val="00800AC3"/>
    <w:rsid w:val="00811569"/>
    <w:rsid w:val="00826CA3"/>
    <w:rsid w:val="00845973"/>
    <w:rsid w:val="00852708"/>
    <w:rsid w:val="0085271A"/>
    <w:rsid w:val="00856029"/>
    <w:rsid w:val="008A7247"/>
    <w:rsid w:val="008C031D"/>
    <w:rsid w:val="008E701E"/>
    <w:rsid w:val="008E71DF"/>
    <w:rsid w:val="008F0EBB"/>
    <w:rsid w:val="00910308"/>
    <w:rsid w:val="009178DC"/>
    <w:rsid w:val="00920AA7"/>
    <w:rsid w:val="0094747E"/>
    <w:rsid w:val="0097037C"/>
    <w:rsid w:val="00973FD4"/>
    <w:rsid w:val="009757D2"/>
    <w:rsid w:val="009B3B17"/>
    <w:rsid w:val="009B4AC6"/>
    <w:rsid w:val="009B5557"/>
    <w:rsid w:val="00A057B7"/>
    <w:rsid w:val="00A1561E"/>
    <w:rsid w:val="00A16996"/>
    <w:rsid w:val="00A369A6"/>
    <w:rsid w:val="00A40CCF"/>
    <w:rsid w:val="00A5451E"/>
    <w:rsid w:val="00A559DA"/>
    <w:rsid w:val="00A84318"/>
    <w:rsid w:val="00AB024E"/>
    <w:rsid w:val="00AC2386"/>
    <w:rsid w:val="00AC47FA"/>
    <w:rsid w:val="00AE0386"/>
    <w:rsid w:val="00AE3E7D"/>
    <w:rsid w:val="00B15DDC"/>
    <w:rsid w:val="00B36ED6"/>
    <w:rsid w:val="00B667B5"/>
    <w:rsid w:val="00B91CED"/>
    <w:rsid w:val="00BB44D1"/>
    <w:rsid w:val="00BE5BEA"/>
    <w:rsid w:val="00C134E7"/>
    <w:rsid w:val="00C26380"/>
    <w:rsid w:val="00C30A9E"/>
    <w:rsid w:val="00C31B23"/>
    <w:rsid w:val="00C5382B"/>
    <w:rsid w:val="00C5383A"/>
    <w:rsid w:val="00C65FFE"/>
    <w:rsid w:val="00C82943"/>
    <w:rsid w:val="00C82DED"/>
    <w:rsid w:val="00C85380"/>
    <w:rsid w:val="00CC384B"/>
    <w:rsid w:val="00D104BE"/>
    <w:rsid w:val="00D36C63"/>
    <w:rsid w:val="00D430E6"/>
    <w:rsid w:val="00D635A3"/>
    <w:rsid w:val="00DA3F43"/>
    <w:rsid w:val="00DB2308"/>
    <w:rsid w:val="00DC1273"/>
    <w:rsid w:val="00DD2A63"/>
    <w:rsid w:val="00E051F4"/>
    <w:rsid w:val="00E160A6"/>
    <w:rsid w:val="00E20560"/>
    <w:rsid w:val="00E3315F"/>
    <w:rsid w:val="00E3635D"/>
    <w:rsid w:val="00E37B10"/>
    <w:rsid w:val="00E57306"/>
    <w:rsid w:val="00E712D2"/>
    <w:rsid w:val="00E74E94"/>
    <w:rsid w:val="00E865BD"/>
    <w:rsid w:val="00E877D8"/>
    <w:rsid w:val="00ED4443"/>
    <w:rsid w:val="00EE1FDD"/>
    <w:rsid w:val="00EF7642"/>
    <w:rsid w:val="00F06FC3"/>
    <w:rsid w:val="00F15424"/>
    <w:rsid w:val="00F24661"/>
    <w:rsid w:val="00F459E4"/>
    <w:rsid w:val="00F56027"/>
    <w:rsid w:val="00F6077E"/>
    <w:rsid w:val="00F63EC9"/>
    <w:rsid w:val="00F708C5"/>
    <w:rsid w:val="00F7366A"/>
    <w:rsid w:val="00F90A80"/>
    <w:rsid w:val="00F9191E"/>
    <w:rsid w:val="00F9257A"/>
    <w:rsid w:val="00FC3883"/>
    <w:rsid w:val="00FF3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D24B31"/>
  <w15:chartTrackingRefBased/>
  <w15:docId w15:val="{D357C5D0-6938-4E74-924D-A53C6278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widowControl/>
      <w:tabs>
        <w:tab w:val="right" w:pos="10206"/>
      </w:tabs>
      <w:jc w:val="both"/>
      <w:outlineLvl w:val="0"/>
    </w:pPr>
    <w:rPr>
      <w:rFonts w:ascii="Times New Roman" w:hAnsi="Times New Roman"/>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FC2E1A"/>
    <w:rPr>
      <w:rFonts w:ascii="Tahoma" w:hAnsi="Tahoma" w:cs="Tahoma"/>
      <w:sz w:val="16"/>
      <w:szCs w:val="16"/>
    </w:rPr>
  </w:style>
  <w:style w:type="character" w:customStyle="1" w:styleId="Betonungfett">
    <w:name w:val="Betonung fett"/>
    <w:rsid w:val="00A16996"/>
    <w:rPr>
      <w:b/>
      <w:color w:val="339966"/>
    </w:rPr>
  </w:style>
  <w:style w:type="character" w:styleId="Kommentarzeichen">
    <w:name w:val="annotation reference"/>
    <w:uiPriority w:val="99"/>
    <w:semiHidden/>
    <w:unhideWhenUsed/>
    <w:rsid w:val="00800AC3"/>
    <w:rPr>
      <w:sz w:val="16"/>
      <w:szCs w:val="16"/>
    </w:rPr>
  </w:style>
  <w:style w:type="paragraph" w:styleId="Kommentartext">
    <w:name w:val="annotation text"/>
    <w:basedOn w:val="Standard"/>
    <w:link w:val="KommentartextZchn"/>
    <w:uiPriority w:val="99"/>
    <w:semiHidden/>
    <w:unhideWhenUsed/>
    <w:rsid w:val="00800AC3"/>
    <w:rPr>
      <w:sz w:val="20"/>
    </w:rPr>
  </w:style>
  <w:style w:type="character" w:customStyle="1" w:styleId="KommentartextZchn">
    <w:name w:val="Kommentartext Zchn"/>
    <w:link w:val="Kommentartext"/>
    <w:uiPriority w:val="99"/>
    <w:semiHidden/>
    <w:rsid w:val="00800AC3"/>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800AC3"/>
    <w:rPr>
      <w:b/>
      <w:bCs/>
    </w:rPr>
  </w:style>
  <w:style w:type="character" w:customStyle="1" w:styleId="KommentarthemaZchn">
    <w:name w:val="Kommentarthema Zchn"/>
    <w:link w:val="Kommentarthema"/>
    <w:uiPriority w:val="99"/>
    <w:semiHidden/>
    <w:rsid w:val="00800AC3"/>
    <w:rPr>
      <w:rFonts w:ascii="Dutch Roman 12pt" w:hAnsi="Dutch Roman 12pt"/>
      <w:b/>
      <w:bCs/>
    </w:rPr>
  </w:style>
  <w:style w:type="paragraph" w:styleId="berarbeitung">
    <w:name w:val="Revision"/>
    <w:hidden/>
    <w:uiPriority w:val="71"/>
    <w:rsid w:val="005A57DC"/>
    <w:rPr>
      <w:rFonts w:ascii="Dutch Roman 12pt" w:hAnsi="Dutch Roma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1450</Words>
  <Characters>9135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Judith Schult</cp:lastModifiedBy>
  <cp:revision>2</cp:revision>
  <cp:lastPrinted>2020-10-28T13:56:00Z</cp:lastPrinted>
  <dcterms:created xsi:type="dcterms:W3CDTF">2024-10-10T14:41:00Z</dcterms:created>
  <dcterms:modified xsi:type="dcterms:W3CDTF">2024-10-10T14:41:00Z</dcterms:modified>
</cp:coreProperties>
</file>