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9A305" w14:textId="35A1D813" w:rsidR="002877F1" w:rsidRDefault="002877F1" w:rsidP="002877F1">
      <w:pPr>
        <w:tabs>
          <w:tab w:val="right" w:pos="10206"/>
        </w:tabs>
        <w:jc w:val="both"/>
        <w:rPr>
          <w:spacing w:val="-3"/>
        </w:rPr>
      </w:pPr>
      <w:r>
        <w:rPr>
          <w:b/>
          <w:spacing w:val="-3"/>
        </w:rPr>
        <w:t xml:space="preserve">Prof. Dr. </w:t>
      </w:r>
      <w:r w:rsidR="00A969A3">
        <w:rPr>
          <w:b/>
          <w:spacing w:val="-3"/>
        </w:rPr>
        <w:t xml:space="preserve">Dr. h.c. </w:t>
      </w:r>
      <w:r>
        <w:rPr>
          <w:b/>
          <w:spacing w:val="-3"/>
        </w:rPr>
        <w:t>Bernd Heinrich/Prof. Dr. Tobias Reinbacher</w:t>
      </w:r>
      <w:r>
        <w:rPr>
          <w:b/>
          <w:spacing w:val="-3"/>
        </w:rPr>
        <w:tab/>
        <w:t xml:space="preserve">Stand: 1. </w:t>
      </w:r>
      <w:r>
        <w:rPr>
          <w:b/>
          <w:color w:val="000000"/>
          <w:spacing w:val="-3"/>
        </w:rPr>
        <w:t xml:space="preserve">Oktober </w:t>
      </w:r>
      <w:r w:rsidRPr="00F92EFB">
        <w:rPr>
          <w:b/>
          <w:color w:val="000000"/>
          <w:spacing w:val="-3"/>
        </w:rPr>
        <w:t>20</w:t>
      </w:r>
      <w:r>
        <w:rPr>
          <w:b/>
          <w:color w:val="000000"/>
          <w:spacing w:val="-3"/>
        </w:rPr>
        <w:t>2</w:t>
      </w:r>
      <w:r w:rsidR="00524E02">
        <w:rPr>
          <w:b/>
          <w:color w:val="000000"/>
          <w:spacing w:val="-3"/>
        </w:rPr>
        <w:t>4</w:t>
      </w:r>
    </w:p>
    <w:p w14:paraId="315FB04A" w14:textId="52D173C9" w:rsidR="002877F1" w:rsidRDefault="002877F1" w:rsidP="002877F1">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524E02">
        <w:rPr>
          <w:b/>
          <w:spacing w:val="-3"/>
        </w:rPr>
        <w:t> </w:t>
      </w:r>
      <w:r>
        <w:rPr>
          <w:b/>
          <w:spacing w:val="-3"/>
        </w:rPr>
        <w:t>45</w:t>
      </w:r>
    </w:p>
    <w:p w14:paraId="3EFAC692" w14:textId="77777777" w:rsidR="002877F1" w:rsidRPr="00874E8C" w:rsidRDefault="002877F1" w:rsidP="002877F1">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874E8C">
        <w:rPr>
          <w:b/>
          <w:spacing w:val="-7"/>
          <w:sz w:val="52"/>
          <w:szCs w:val="52"/>
        </w:rPr>
        <w:t>Die Revision, §§ 333 ff. StPO</w:t>
      </w:r>
    </w:p>
    <w:p w14:paraId="35A0B804" w14:textId="77777777" w:rsidR="002877F1" w:rsidRDefault="002877F1" w:rsidP="002877F1">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Pr>
          <w:rFonts w:ascii="Times New Roman" w:hAnsi="Times New Roman"/>
          <w:vanish/>
          <w:spacing w:val="-7"/>
          <w:sz w:val="60"/>
        </w:rPr>
        <w:instrText>SEQ Text_Box  \* ARABIC</w:instrText>
      </w:r>
      <w:r>
        <w:rPr>
          <w:rFonts w:ascii="Times New Roman" w:hAnsi="Times New Roman"/>
          <w:vanish/>
          <w:spacing w:val="-7"/>
          <w:sz w:val="60"/>
        </w:rPr>
        <w:fldChar w:fldCharType="separate"/>
      </w:r>
      <w:r>
        <w:rPr>
          <w:rFonts w:ascii="Times New Roman" w:hAnsi="Times New Roman"/>
          <w:noProof/>
          <w:vanish/>
          <w:spacing w:val="-7"/>
          <w:sz w:val="60"/>
        </w:rPr>
        <w:t>1</w:t>
      </w:r>
      <w:r>
        <w:rPr>
          <w:rFonts w:ascii="Times New Roman" w:hAnsi="Times New Roman"/>
          <w:vanish/>
          <w:spacing w:val="-7"/>
          <w:sz w:val="60"/>
        </w:rPr>
        <w:fldChar w:fldCharType="end"/>
      </w:r>
    </w:p>
    <w:p w14:paraId="71C03749" w14:textId="4853CF98" w:rsidR="002877F1" w:rsidRPr="000844C9" w:rsidRDefault="002877F1" w:rsidP="002877F1">
      <w:pPr>
        <w:widowControl/>
        <w:tabs>
          <w:tab w:val="left" w:pos="-720"/>
          <w:tab w:val="left" w:pos="0"/>
          <w:tab w:val="left" w:pos="284"/>
          <w:tab w:val="left" w:pos="864"/>
          <w:tab w:val="left" w:pos="1116"/>
          <w:tab w:val="left" w:pos="1404"/>
          <w:tab w:val="left" w:pos="1692"/>
          <w:tab w:val="left" w:pos="1980"/>
          <w:tab w:val="left" w:pos="2268"/>
          <w:tab w:val="left" w:pos="2880"/>
        </w:tabs>
        <w:spacing w:line="238" w:lineRule="auto"/>
        <w:ind w:left="284" w:hanging="284"/>
        <w:jc w:val="both"/>
        <w:rPr>
          <w:rFonts w:ascii="Times New Roman" w:hAnsi="Times New Roman"/>
          <w:spacing w:val="-2"/>
          <w:sz w:val="16"/>
        </w:rPr>
      </w:pPr>
      <w:r w:rsidRPr="000844C9">
        <w:rPr>
          <w:rFonts w:ascii="Times New Roman" w:hAnsi="Times New Roman"/>
          <w:b/>
          <w:spacing w:val="-2"/>
          <w:sz w:val="16"/>
        </w:rPr>
        <w:t xml:space="preserve">I. </w:t>
      </w:r>
      <w:r>
        <w:rPr>
          <w:rFonts w:ascii="Times New Roman" w:hAnsi="Times New Roman"/>
          <w:b/>
          <w:spacing w:val="-2"/>
          <w:sz w:val="16"/>
        </w:rPr>
        <w:tab/>
      </w:r>
      <w:r w:rsidRPr="000844C9">
        <w:rPr>
          <w:rFonts w:ascii="Times New Roman" w:hAnsi="Times New Roman"/>
          <w:b/>
          <w:spacing w:val="-2"/>
          <w:sz w:val="16"/>
        </w:rPr>
        <w:t xml:space="preserve">Gesetzliche Regelung: </w:t>
      </w:r>
      <w:r w:rsidRPr="000844C9">
        <w:rPr>
          <w:rFonts w:ascii="Times New Roman" w:hAnsi="Times New Roman"/>
          <w:spacing w:val="-2"/>
          <w:sz w:val="16"/>
        </w:rPr>
        <w:t>Die Revision ist geregelt in den §§</w:t>
      </w:r>
      <w:r w:rsidR="00524E02">
        <w:rPr>
          <w:rFonts w:ascii="Times New Roman" w:hAnsi="Times New Roman"/>
          <w:spacing w:val="-2"/>
          <w:sz w:val="16"/>
        </w:rPr>
        <w:t> </w:t>
      </w:r>
      <w:r w:rsidRPr="000844C9">
        <w:rPr>
          <w:rFonts w:ascii="Times New Roman" w:hAnsi="Times New Roman"/>
          <w:spacing w:val="-2"/>
          <w:sz w:val="16"/>
        </w:rPr>
        <w:t>333-358 StPO.</w:t>
      </w:r>
    </w:p>
    <w:p w14:paraId="7615D072" w14:textId="524FD16F" w:rsidR="002877F1" w:rsidRPr="000844C9" w:rsidRDefault="002877F1" w:rsidP="002877F1">
      <w:pPr>
        <w:widowControl/>
        <w:tabs>
          <w:tab w:val="left" w:pos="-720"/>
          <w:tab w:val="left" w:pos="0"/>
          <w:tab w:val="left" w:pos="284"/>
          <w:tab w:val="left" w:pos="864"/>
          <w:tab w:val="left" w:pos="1116"/>
          <w:tab w:val="left" w:pos="1404"/>
          <w:tab w:val="left" w:pos="1692"/>
          <w:tab w:val="left" w:pos="1980"/>
          <w:tab w:val="left" w:pos="2268"/>
          <w:tab w:val="left" w:pos="2880"/>
        </w:tabs>
        <w:spacing w:line="238" w:lineRule="auto"/>
        <w:ind w:left="284" w:hanging="284"/>
        <w:jc w:val="both"/>
        <w:rPr>
          <w:rFonts w:ascii="Times New Roman" w:hAnsi="Times New Roman"/>
          <w:spacing w:val="-2"/>
          <w:sz w:val="16"/>
        </w:rPr>
      </w:pPr>
      <w:r w:rsidRPr="000844C9">
        <w:rPr>
          <w:rFonts w:ascii="Times New Roman" w:hAnsi="Times New Roman"/>
          <w:b/>
          <w:spacing w:val="-2"/>
          <w:sz w:val="16"/>
        </w:rPr>
        <w:t>II.</w:t>
      </w:r>
      <w:r w:rsidRPr="000844C9">
        <w:rPr>
          <w:rFonts w:ascii="Times New Roman" w:hAnsi="Times New Roman"/>
          <w:spacing w:val="-2"/>
          <w:sz w:val="16"/>
        </w:rPr>
        <w:t xml:space="preserve"> </w:t>
      </w:r>
      <w:r>
        <w:rPr>
          <w:rFonts w:ascii="Times New Roman" w:hAnsi="Times New Roman"/>
          <w:spacing w:val="-2"/>
          <w:sz w:val="16"/>
        </w:rPr>
        <w:tab/>
      </w:r>
      <w:r>
        <w:rPr>
          <w:rFonts w:ascii="Times New Roman" w:hAnsi="Times New Roman"/>
          <w:b/>
          <w:spacing w:val="-2"/>
          <w:sz w:val="16"/>
        </w:rPr>
        <w:t>Statthaftigkeit des Rechtsmittels</w:t>
      </w:r>
      <w:r w:rsidRPr="000844C9">
        <w:rPr>
          <w:rFonts w:ascii="Times New Roman" w:hAnsi="Times New Roman"/>
          <w:b/>
          <w:spacing w:val="-2"/>
          <w:sz w:val="16"/>
        </w:rPr>
        <w:t xml:space="preserve"> (§§</w:t>
      </w:r>
      <w:r w:rsidR="00524E02">
        <w:rPr>
          <w:rFonts w:ascii="Times New Roman" w:hAnsi="Times New Roman"/>
          <w:b/>
          <w:spacing w:val="-2"/>
          <w:sz w:val="16"/>
        </w:rPr>
        <w:t> </w:t>
      </w:r>
      <w:r w:rsidRPr="000844C9">
        <w:rPr>
          <w:rFonts w:ascii="Times New Roman" w:hAnsi="Times New Roman"/>
          <w:b/>
          <w:spacing w:val="-2"/>
          <w:sz w:val="16"/>
        </w:rPr>
        <w:t>333, 335 StPO) und Zuständigkeit:</w:t>
      </w:r>
      <w:r w:rsidRPr="000844C9">
        <w:rPr>
          <w:rFonts w:ascii="Times New Roman" w:hAnsi="Times New Roman"/>
          <w:spacing w:val="-2"/>
          <w:sz w:val="16"/>
        </w:rPr>
        <w:t xml:space="preserve"> Die Revision ist gerichtet auf die Überprüfung von</w:t>
      </w:r>
    </w:p>
    <w:p w14:paraId="3DEA9907" w14:textId="54A1A57A" w:rsidR="002877F1" w:rsidRPr="000844C9" w:rsidRDefault="00AA434C" w:rsidP="002877F1">
      <w:pPr>
        <w:widowControl/>
        <w:numPr>
          <w:ilvl w:val="0"/>
          <w:numId w:val="1"/>
        </w:numPr>
        <w:tabs>
          <w:tab w:val="clear" w:pos="645"/>
          <w:tab w:val="left" w:pos="-720"/>
          <w:tab w:val="left" w:pos="0"/>
          <w:tab w:val="left" w:pos="284"/>
          <w:tab w:val="num" w:pos="567"/>
          <w:tab w:val="left" w:pos="864"/>
          <w:tab w:val="left" w:pos="1116"/>
          <w:tab w:val="left" w:pos="1404"/>
          <w:tab w:val="left" w:pos="1692"/>
          <w:tab w:val="left" w:pos="1980"/>
          <w:tab w:val="left" w:pos="2268"/>
          <w:tab w:val="left" w:pos="2880"/>
        </w:tabs>
        <w:spacing w:line="238" w:lineRule="auto"/>
        <w:ind w:left="567" w:hanging="282"/>
        <w:jc w:val="both"/>
        <w:rPr>
          <w:rFonts w:ascii="Times New Roman" w:hAnsi="Times New Roman"/>
          <w:spacing w:val="-2"/>
          <w:sz w:val="16"/>
        </w:rPr>
      </w:pPr>
      <w:r>
        <w:rPr>
          <w:rFonts w:ascii="Times New Roman" w:hAnsi="Times New Roman"/>
          <w:b/>
          <w:spacing w:val="-2"/>
          <w:sz w:val="16"/>
        </w:rPr>
        <w:t>e</w:t>
      </w:r>
      <w:r w:rsidR="002877F1" w:rsidRPr="000844C9">
        <w:rPr>
          <w:rFonts w:ascii="Times New Roman" w:hAnsi="Times New Roman"/>
          <w:b/>
          <w:spacing w:val="-2"/>
          <w:sz w:val="16"/>
        </w:rPr>
        <w:t>rstinstanzlichen Urteilen</w:t>
      </w:r>
      <w:r w:rsidR="002877F1" w:rsidRPr="000844C9">
        <w:rPr>
          <w:rFonts w:ascii="Times New Roman" w:hAnsi="Times New Roman"/>
          <w:spacing w:val="-2"/>
          <w:sz w:val="16"/>
        </w:rPr>
        <w:t xml:space="preserve"> des </w:t>
      </w:r>
      <w:r w:rsidR="002877F1" w:rsidRPr="000844C9">
        <w:rPr>
          <w:rFonts w:ascii="Times New Roman" w:hAnsi="Times New Roman"/>
          <w:b/>
          <w:spacing w:val="-2"/>
          <w:sz w:val="16"/>
        </w:rPr>
        <w:t>LG</w:t>
      </w:r>
      <w:r w:rsidR="002877F1" w:rsidRPr="000844C9">
        <w:rPr>
          <w:rFonts w:ascii="Times New Roman" w:hAnsi="Times New Roman"/>
          <w:spacing w:val="-2"/>
          <w:sz w:val="16"/>
        </w:rPr>
        <w:t xml:space="preserve"> und des </w:t>
      </w:r>
      <w:r w:rsidR="002877F1" w:rsidRPr="000844C9">
        <w:rPr>
          <w:rFonts w:ascii="Times New Roman" w:hAnsi="Times New Roman"/>
          <w:b/>
          <w:spacing w:val="-2"/>
          <w:sz w:val="16"/>
        </w:rPr>
        <w:t>OLG</w:t>
      </w:r>
      <w:r w:rsidR="002877F1" w:rsidRPr="000844C9">
        <w:rPr>
          <w:rFonts w:ascii="Times New Roman" w:hAnsi="Times New Roman"/>
          <w:spacing w:val="-2"/>
          <w:sz w:val="16"/>
        </w:rPr>
        <w:t>; zuständig</w:t>
      </w:r>
      <w:r w:rsidR="002877F1">
        <w:rPr>
          <w:rFonts w:ascii="Times New Roman" w:hAnsi="Times New Roman"/>
          <w:spacing w:val="-2"/>
          <w:sz w:val="16"/>
        </w:rPr>
        <w:t xml:space="preserve"> ist</w:t>
      </w:r>
      <w:r w:rsidR="002877F1" w:rsidRPr="000844C9">
        <w:rPr>
          <w:rFonts w:ascii="Times New Roman" w:hAnsi="Times New Roman"/>
          <w:spacing w:val="-2"/>
          <w:sz w:val="16"/>
        </w:rPr>
        <w:t xml:space="preserve"> i.d.R. der BGH (§</w:t>
      </w:r>
      <w:r w:rsidR="00524E02">
        <w:rPr>
          <w:rFonts w:ascii="Times New Roman" w:hAnsi="Times New Roman"/>
          <w:spacing w:val="-2"/>
          <w:sz w:val="16"/>
        </w:rPr>
        <w:t> </w:t>
      </w:r>
      <w:r w:rsidR="002877F1" w:rsidRPr="000844C9">
        <w:rPr>
          <w:rFonts w:ascii="Times New Roman" w:hAnsi="Times New Roman"/>
          <w:spacing w:val="-2"/>
          <w:sz w:val="16"/>
        </w:rPr>
        <w:t>135 I GVG), außer wenn Revision ausschließlich auf Verletzung von Landesrecht gestützt wird (in diesem Fall OLG zuständig; §</w:t>
      </w:r>
      <w:r w:rsidR="00524E02">
        <w:rPr>
          <w:rFonts w:ascii="Times New Roman" w:hAnsi="Times New Roman"/>
          <w:spacing w:val="-2"/>
          <w:sz w:val="16"/>
        </w:rPr>
        <w:t> </w:t>
      </w:r>
      <w:r w:rsidR="002877F1" w:rsidRPr="000844C9">
        <w:rPr>
          <w:rFonts w:ascii="Times New Roman" w:hAnsi="Times New Roman"/>
          <w:spacing w:val="-2"/>
          <w:sz w:val="16"/>
        </w:rPr>
        <w:t>121 I Nr. 1c GVG)</w:t>
      </w:r>
      <w:r w:rsidR="002877F1">
        <w:rPr>
          <w:rFonts w:ascii="Times New Roman" w:hAnsi="Times New Roman"/>
          <w:spacing w:val="-2"/>
          <w:sz w:val="16"/>
        </w:rPr>
        <w:t>.</w:t>
      </w:r>
    </w:p>
    <w:p w14:paraId="6BFD85DF" w14:textId="7B350607" w:rsidR="002877F1" w:rsidRPr="000844C9" w:rsidRDefault="002877F1" w:rsidP="002877F1">
      <w:pPr>
        <w:widowControl/>
        <w:numPr>
          <w:ilvl w:val="0"/>
          <w:numId w:val="1"/>
        </w:numPr>
        <w:tabs>
          <w:tab w:val="clear" w:pos="645"/>
          <w:tab w:val="left" w:pos="-720"/>
          <w:tab w:val="left" w:pos="0"/>
          <w:tab w:val="left" w:pos="284"/>
          <w:tab w:val="num" w:pos="567"/>
          <w:tab w:val="left" w:pos="864"/>
          <w:tab w:val="left" w:pos="1116"/>
          <w:tab w:val="left" w:pos="1404"/>
          <w:tab w:val="left" w:pos="1692"/>
          <w:tab w:val="left" w:pos="1980"/>
          <w:tab w:val="left" w:pos="2268"/>
          <w:tab w:val="left" w:pos="2880"/>
        </w:tabs>
        <w:spacing w:line="238" w:lineRule="auto"/>
        <w:ind w:left="567" w:hanging="282"/>
        <w:jc w:val="both"/>
        <w:rPr>
          <w:rFonts w:ascii="Times New Roman" w:hAnsi="Times New Roman"/>
          <w:spacing w:val="-2"/>
          <w:sz w:val="16"/>
        </w:rPr>
      </w:pPr>
      <w:r w:rsidRPr="000844C9">
        <w:rPr>
          <w:rFonts w:ascii="Times New Roman" w:hAnsi="Times New Roman"/>
          <w:b/>
          <w:spacing w:val="-2"/>
          <w:sz w:val="16"/>
        </w:rPr>
        <w:t>Berufungsurteilen</w:t>
      </w:r>
      <w:r w:rsidRPr="000844C9">
        <w:rPr>
          <w:rFonts w:ascii="Times New Roman" w:hAnsi="Times New Roman"/>
          <w:spacing w:val="-2"/>
          <w:sz w:val="16"/>
        </w:rPr>
        <w:t xml:space="preserve"> (der kleinen Strafkammer des </w:t>
      </w:r>
      <w:r w:rsidRPr="000844C9">
        <w:rPr>
          <w:rFonts w:ascii="Times New Roman" w:hAnsi="Times New Roman"/>
          <w:b/>
          <w:spacing w:val="-2"/>
          <w:sz w:val="16"/>
        </w:rPr>
        <w:t>LG</w:t>
      </w:r>
      <w:r w:rsidRPr="000844C9">
        <w:rPr>
          <w:rFonts w:ascii="Times New Roman" w:hAnsi="Times New Roman"/>
          <w:spacing w:val="-2"/>
          <w:sz w:val="16"/>
        </w:rPr>
        <w:t>); zuständig</w:t>
      </w:r>
      <w:r>
        <w:rPr>
          <w:rFonts w:ascii="Times New Roman" w:hAnsi="Times New Roman"/>
          <w:spacing w:val="-2"/>
          <w:sz w:val="16"/>
        </w:rPr>
        <w:t xml:space="preserve"> ist das</w:t>
      </w:r>
      <w:r w:rsidRPr="000844C9">
        <w:rPr>
          <w:rFonts w:ascii="Times New Roman" w:hAnsi="Times New Roman"/>
          <w:spacing w:val="-2"/>
          <w:sz w:val="16"/>
        </w:rPr>
        <w:t xml:space="preserve"> OLG (§</w:t>
      </w:r>
      <w:r w:rsidR="00524E02">
        <w:rPr>
          <w:rFonts w:ascii="Times New Roman" w:hAnsi="Times New Roman"/>
          <w:spacing w:val="-2"/>
          <w:sz w:val="16"/>
        </w:rPr>
        <w:t> </w:t>
      </w:r>
      <w:r w:rsidRPr="000844C9">
        <w:rPr>
          <w:rFonts w:ascii="Times New Roman" w:hAnsi="Times New Roman"/>
          <w:spacing w:val="-2"/>
          <w:sz w:val="16"/>
        </w:rPr>
        <w:t>121 I Nr. 1b GVG); beachte auch die Vorlagepflicht an den BGH, wenn von der Entscheidung eines anderen OLG abgewichen werden soll, §</w:t>
      </w:r>
      <w:r w:rsidR="00524E02">
        <w:rPr>
          <w:rFonts w:ascii="Times New Roman" w:hAnsi="Times New Roman"/>
          <w:spacing w:val="-2"/>
          <w:sz w:val="16"/>
        </w:rPr>
        <w:t> </w:t>
      </w:r>
      <w:r w:rsidRPr="000844C9">
        <w:rPr>
          <w:rFonts w:ascii="Times New Roman" w:hAnsi="Times New Roman"/>
          <w:spacing w:val="-2"/>
          <w:sz w:val="16"/>
        </w:rPr>
        <w:t>121 II GVG.</w:t>
      </w:r>
    </w:p>
    <w:p w14:paraId="78059E2A" w14:textId="5DDFA861" w:rsidR="002877F1" w:rsidRPr="000844C9" w:rsidRDefault="00AA434C" w:rsidP="002877F1">
      <w:pPr>
        <w:widowControl/>
        <w:numPr>
          <w:ilvl w:val="0"/>
          <w:numId w:val="1"/>
        </w:numPr>
        <w:tabs>
          <w:tab w:val="clear" w:pos="645"/>
          <w:tab w:val="left" w:pos="-720"/>
          <w:tab w:val="left" w:pos="0"/>
          <w:tab w:val="left" w:pos="284"/>
          <w:tab w:val="num" w:pos="567"/>
          <w:tab w:val="left" w:pos="864"/>
          <w:tab w:val="left" w:pos="1116"/>
          <w:tab w:val="left" w:pos="1404"/>
          <w:tab w:val="left" w:pos="1692"/>
          <w:tab w:val="left" w:pos="1980"/>
          <w:tab w:val="left" w:pos="2268"/>
          <w:tab w:val="left" w:pos="2880"/>
        </w:tabs>
        <w:spacing w:line="238" w:lineRule="auto"/>
        <w:ind w:left="567" w:hanging="282"/>
        <w:jc w:val="both"/>
        <w:rPr>
          <w:rFonts w:ascii="Times New Roman" w:hAnsi="Times New Roman"/>
          <w:spacing w:val="-2"/>
          <w:sz w:val="16"/>
        </w:rPr>
      </w:pPr>
      <w:r>
        <w:rPr>
          <w:rFonts w:ascii="Times New Roman" w:hAnsi="Times New Roman"/>
          <w:b/>
          <w:spacing w:val="-2"/>
          <w:sz w:val="16"/>
        </w:rPr>
        <w:t>e</w:t>
      </w:r>
      <w:r w:rsidR="002877F1" w:rsidRPr="000844C9">
        <w:rPr>
          <w:rFonts w:ascii="Times New Roman" w:hAnsi="Times New Roman"/>
          <w:b/>
          <w:spacing w:val="-2"/>
          <w:sz w:val="16"/>
        </w:rPr>
        <w:t>rstinstanzlichen Urteilen</w:t>
      </w:r>
      <w:r w:rsidR="002877F1" w:rsidRPr="000844C9">
        <w:rPr>
          <w:rFonts w:ascii="Times New Roman" w:hAnsi="Times New Roman"/>
          <w:spacing w:val="-2"/>
          <w:sz w:val="16"/>
        </w:rPr>
        <w:t xml:space="preserve"> des </w:t>
      </w:r>
      <w:r w:rsidR="002877F1" w:rsidRPr="000844C9">
        <w:rPr>
          <w:rFonts w:ascii="Times New Roman" w:hAnsi="Times New Roman"/>
          <w:b/>
          <w:spacing w:val="-2"/>
          <w:sz w:val="16"/>
        </w:rPr>
        <w:t>AG</w:t>
      </w:r>
      <w:r w:rsidR="002877F1" w:rsidRPr="000844C9">
        <w:rPr>
          <w:rFonts w:ascii="Times New Roman" w:hAnsi="Times New Roman"/>
          <w:spacing w:val="-2"/>
          <w:sz w:val="16"/>
        </w:rPr>
        <w:t xml:space="preserve"> (sog. Sprungrevision, §</w:t>
      </w:r>
      <w:r w:rsidR="00524E02">
        <w:rPr>
          <w:rFonts w:ascii="Times New Roman" w:hAnsi="Times New Roman"/>
          <w:spacing w:val="-2"/>
          <w:sz w:val="16"/>
        </w:rPr>
        <w:t> </w:t>
      </w:r>
      <w:r w:rsidR="002877F1" w:rsidRPr="000844C9">
        <w:rPr>
          <w:rFonts w:ascii="Times New Roman" w:hAnsi="Times New Roman"/>
          <w:spacing w:val="-2"/>
          <w:sz w:val="16"/>
        </w:rPr>
        <w:t>335 StPO), auch wenn eigentlich ein Fall der Annahmeberufung gegeben wäre; zuständig</w:t>
      </w:r>
      <w:r w:rsidR="002877F1">
        <w:rPr>
          <w:rFonts w:ascii="Times New Roman" w:hAnsi="Times New Roman"/>
          <w:spacing w:val="-2"/>
          <w:sz w:val="16"/>
        </w:rPr>
        <w:t xml:space="preserve"> ist das</w:t>
      </w:r>
      <w:r w:rsidR="002877F1" w:rsidRPr="000844C9">
        <w:rPr>
          <w:rFonts w:ascii="Times New Roman" w:hAnsi="Times New Roman"/>
          <w:spacing w:val="-2"/>
          <w:sz w:val="16"/>
        </w:rPr>
        <w:t xml:space="preserve"> OLG (§</w:t>
      </w:r>
      <w:r w:rsidR="00524E02">
        <w:rPr>
          <w:rFonts w:ascii="Times New Roman" w:hAnsi="Times New Roman"/>
          <w:spacing w:val="-2"/>
          <w:sz w:val="16"/>
        </w:rPr>
        <w:t> </w:t>
      </w:r>
      <w:r w:rsidR="002877F1" w:rsidRPr="000844C9">
        <w:rPr>
          <w:rFonts w:ascii="Times New Roman" w:hAnsi="Times New Roman"/>
          <w:spacing w:val="-2"/>
          <w:sz w:val="16"/>
        </w:rPr>
        <w:t xml:space="preserve">121 I Nr. 1a GVG); beachte wiederum </w:t>
      </w:r>
      <w:r w:rsidR="002877F1">
        <w:rPr>
          <w:rFonts w:ascii="Times New Roman" w:hAnsi="Times New Roman"/>
          <w:spacing w:val="-2"/>
          <w:sz w:val="16"/>
        </w:rPr>
        <w:t xml:space="preserve">die </w:t>
      </w:r>
      <w:r w:rsidR="002877F1" w:rsidRPr="000844C9">
        <w:rPr>
          <w:rFonts w:ascii="Times New Roman" w:hAnsi="Times New Roman"/>
          <w:spacing w:val="-2"/>
          <w:sz w:val="16"/>
        </w:rPr>
        <w:t>Vorlagepflicht, § 121 II GVG.</w:t>
      </w:r>
    </w:p>
    <w:p w14:paraId="0A91AFAA" w14:textId="30F5C8D3" w:rsidR="002877F1" w:rsidRPr="000844C9" w:rsidRDefault="002877F1" w:rsidP="002877F1">
      <w:pPr>
        <w:widowControl/>
        <w:tabs>
          <w:tab w:val="left" w:pos="-720"/>
          <w:tab w:val="left" w:pos="0"/>
          <w:tab w:val="left" w:pos="284"/>
          <w:tab w:val="left" w:pos="576"/>
          <w:tab w:val="left" w:pos="864"/>
          <w:tab w:val="left" w:pos="1116"/>
          <w:tab w:val="left" w:pos="1404"/>
          <w:tab w:val="left" w:pos="1692"/>
          <w:tab w:val="left" w:pos="1980"/>
          <w:tab w:val="left" w:pos="2268"/>
          <w:tab w:val="left" w:pos="2880"/>
        </w:tabs>
        <w:spacing w:line="238" w:lineRule="auto"/>
        <w:ind w:left="285"/>
        <w:jc w:val="both"/>
        <w:rPr>
          <w:rFonts w:ascii="Times New Roman" w:hAnsi="Times New Roman"/>
          <w:spacing w:val="-2"/>
          <w:sz w:val="16"/>
        </w:rPr>
      </w:pPr>
      <w:r w:rsidRPr="000844C9">
        <w:rPr>
          <w:rFonts w:ascii="Times New Roman" w:hAnsi="Times New Roman"/>
          <w:spacing w:val="-2"/>
          <w:sz w:val="16"/>
        </w:rPr>
        <w:t xml:space="preserve">Das </w:t>
      </w:r>
      <w:r w:rsidRPr="000844C9">
        <w:rPr>
          <w:rFonts w:ascii="Times New Roman" w:hAnsi="Times New Roman"/>
          <w:b/>
          <w:spacing w:val="-2"/>
          <w:sz w:val="16"/>
        </w:rPr>
        <w:t>OLG</w:t>
      </w:r>
      <w:r w:rsidRPr="000844C9">
        <w:rPr>
          <w:rFonts w:ascii="Times New Roman" w:hAnsi="Times New Roman"/>
          <w:spacing w:val="-2"/>
          <w:sz w:val="16"/>
        </w:rPr>
        <w:t xml:space="preserve"> entscheidet dabei nach §</w:t>
      </w:r>
      <w:r w:rsidR="00524E02">
        <w:rPr>
          <w:rFonts w:ascii="Times New Roman" w:hAnsi="Times New Roman"/>
          <w:spacing w:val="-2"/>
          <w:sz w:val="16"/>
        </w:rPr>
        <w:t> </w:t>
      </w:r>
      <w:r w:rsidRPr="000844C9">
        <w:rPr>
          <w:rFonts w:ascii="Times New Roman" w:hAnsi="Times New Roman"/>
          <w:spacing w:val="-2"/>
          <w:sz w:val="16"/>
        </w:rPr>
        <w:t>122 I GVG mit drei Berufsrichtern, der BGH nach §</w:t>
      </w:r>
      <w:r w:rsidR="00524E02">
        <w:rPr>
          <w:rFonts w:ascii="Times New Roman" w:hAnsi="Times New Roman"/>
          <w:spacing w:val="-2"/>
          <w:sz w:val="16"/>
        </w:rPr>
        <w:t> </w:t>
      </w:r>
      <w:r w:rsidRPr="000844C9">
        <w:rPr>
          <w:rFonts w:ascii="Times New Roman" w:hAnsi="Times New Roman"/>
          <w:spacing w:val="-2"/>
          <w:sz w:val="16"/>
        </w:rPr>
        <w:t>139</w:t>
      </w:r>
      <w:r w:rsidR="004977A8">
        <w:rPr>
          <w:rFonts w:ascii="Times New Roman" w:hAnsi="Times New Roman"/>
          <w:spacing w:val="-2"/>
          <w:sz w:val="16"/>
        </w:rPr>
        <w:t xml:space="preserve"> I</w:t>
      </w:r>
      <w:r w:rsidRPr="000844C9">
        <w:rPr>
          <w:rFonts w:ascii="Times New Roman" w:hAnsi="Times New Roman"/>
          <w:spacing w:val="-2"/>
          <w:sz w:val="16"/>
        </w:rPr>
        <w:t xml:space="preserve"> GVG mit </w:t>
      </w:r>
      <w:r w:rsidR="004977A8">
        <w:rPr>
          <w:rFonts w:ascii="Times New Roman" w:hAnsi="Times New Roman"/>
          <w:spacing w:val="-2"/>
          <w:sz w:val="16"/>
        </w:rPr>
        <w:t>fünf</w:t>
      </w:r>
      <w:r w:rsidRPr="000844C9">
        <w:rPr>
          <w:rFonts w:ascii="Times New Roman" w:hAnsi="Times New Roman"/>
          <w:spacing w:val="-2"/>
          <w:sz w:val="16"/>
        </w:rPr>
        <w:t xml:space="preserve"> Berufsrichtern.</w:t>
      </w:r>
    </w:p>
    <w:p w14:paraId="120CD0B9" w14:textId="60262390" w:rsidR="002877F1" w:rsidRPr="000844C9" w:rsidRDefault="002877F1" w:rsidP="002877F1">
      <w:pPr>
        <w:widowControl/>
        <w:tabs>
          <w:tab w:val="left" w:pos="-720"/>
          <w:tab w:val="left" w:pos="0"/>
          <w:tab w:val="left" w:pos="284"/>
          <w:tab w:val="left" w:pos="576"/>
          <w:tab w:val="left" w:pos="864"/>
          <w:tab w:val="left" w:pos="1116"/>
          <w:tab w:val="left" w:pos="1404"/>
          <w:tab w:val="left" w:pos="1692"/>
          <w:tab w:val="left" w:pos="1980"/>
          <w:tab w:val="left" w:pos="2268"/>
          <w:tab w:val="left" w:pos="2880"/>
        </w:tabs>
        <w:spacing w:line="238" w:lineRule="auto"/>
        <w:ind w:left="285"/>
        <w:jc w:val="both"/>
        <w:rPr>
          <w:rFonts w:ascii="Times New Roman" w:hAnsi="Times New Roman"/>
          <w:spacing w:val="-2"/>
          <w:sz w:val="16"/>
        </w:rPr>
      </w:pPr>
      <w:r w:rsidRPr="000844C9">
        <w:rPr>
          <w:rFonts w:ascii="Times New Roman" w:hAnsi="Times New Roman"/>
          <w:spacing w:val="-2"/>
          <w:sz w:val="16"/>
        </w:rPr>
        <w:t>Nach §</w:t>
      </w:r>
      <w:r w:rsidR="00524E02">
        <w:rPr>
          <w:rFonts w:ascii="Times New Roman" w:hAnsi="Times New Roman"/>
          <w:spacing w:val="-2"/>
          <w:sz w:val="16"/>
        </w:rPr>
        <w:t> </w:t>
      </w:r>
      <w:r w:rsidRPr="000844C9">
        <w:rPr>
          <w:rFonts w:ascii="Times New Roman" w:hAnsi="Times New Roman"/>
          <w:spacing w:val="-2"/>
          <w:sz w:val="16"/>
        </w:rPr>
        <w:t>9 EGGVG können die Länder Strafsachen, die zur Zuständigkeit des OLG gehören</w:t>
      </w:r>
      <w:r>
        <w:rPr>
          <w:rFonts w:ascii="Times New Roman" w:hAnsi="Times New Roman"/>
          <w:spacing w:val="-2"/>
          <w:sz w:val="16"/>
        </w:rPr>
        <w:t>,</w:t>
      </w:r>
      <w:r w:rsidRPr="000844C9">
        <w:rPr>
          <w:rFonts w:ascii="Times New Roman" w:hAnsi="Times New Roman"/>
          <w:spacing w:val="-2"/>
          <w:sz w:val="16"/>
        </w:rPr>
        <w:t xml:space="preserve"> einem obersten Landesgericht zuweisen</w:t>
      </w:r>
      <w:r>
        <w:rPr>
          <w:rFonts w:ascii="Times New Roman" w:hAnsi="Times New Roman"/>
          <w:spacing w:val="-2"/>
          <w:sz w:val="16"/>
        </w:rPr>
        <w:t xml:space="preserve">. </w:t>
      </w:r>
      <w:r w:rsidRPr="006206FB">
        <w:rPr>
          <w:rFonts w:ascii="Times New Roman" w:hAnsi="Times New Roman"/>
          <w:spacing w:val="-2"/>
          <w:sz w:val="16"/>
        </w:rPr>
        <w:t>Dies ist bisher nur in Bayern durch die Schaffung des BayObLG geschehen.</w:t>
      </w:r>
    </w:p>
    <w:p w14:paraId="10AFF305" w14:textId="09BB5AE3" w:rsidR="002877F1" w:rsidRPr="000844C9" w:rsidRDefault="002877F1" w:rsidP="002877F1">
      <w:pPr>
        <w:widowControl/>
        <w:tabs>
          <w:tab w:val="left" w:pos="-720"/>
          <w:tab w:val="left" w:pos="284"/>
          <w:tab w:val="left" w:pos="576"/>
          <w:tab w:val="left" w:pos="864"/>
          <w:tab w:val="left" w:pos="1116"/>
          <w:tab w:val="left" w:pos="1404"/>
          <w:tab w:val="left" w:pos="1692"/>
          <w:tab w:val="left" w:pos="1980"/>
          <w:tab w:val="left" w:pos="2268"/>
          <w:tab w:val="left" w:pos="2880"/>
        </w:tabs>
        <w:spacing w:line="238" w:lineRule="auto"/>
        <w:ind w:left="284" w:hanging="284"/>
        <w:jc w:val="both"/>
        <w:rPr>
          <w:rFonts w:ascii="Times New Roman" w:hAnsi="Times New Roman"/>
          <w:spacing w:val="-2"/>
          <w:sz w:val="16"/>
        </w:rPr>
      </w:pPr>
      <w:r w:rsidRPr="000844C9">
        <w:rPr>
          <w:rFonts w:ascii="Times New Roman" w:hAnsi="Times New Roman"/>
          <w:b/>
          <w:spacing w:val="-2"/>
          <w:sz w:val="16"/>
        </w:rPr>
        <w:t xml:space="preserve">III. </w:t>
      </w:r>
      <w:r>
        <w:rPr>
          <w:rFonts w:ascii="Times New Roman" w:hAnsi="Times New Roman"/>
          <w:b/>
          <w:spacing w:val="-2"/>
          <w:sz w:val="16"/>
        </w:rPr>
        <w:tab/>
      </w:r>
      <w:r w:rsidRPr="000844C9">
        <w:rPr>
          <w:rFonts w:ascii="Times New Roman" w:hAnsi="Times New Roman"/>
          <w:b/>
          <w:spacing w:val="-2"/>
          <w:sz w:val="16"/>
        </w:rPr>
        <w:t>Rechtsmittelberechtigung</w:t>
      </w:r>
      <w:r>
        <w:rPr>
          <w:rFonts w:ascii="Times New Roman" w:hAnsi="Times New Roman"/>
          <w:b/>
          <w:spacing w:val="-2"/>
          <w:sz w:val="16"/>
        </w:rPr>
        <w:t xml:space="preserve"> und Beschwer</w:t>
      </w:r>
      <w:r w:rsidRPr="000844C9">
        <w:rPr>
          <w:rFonts w:ascii="Times New Roman" w:hAnsi="Times New Roman"/>
          <w:b/>
          <w:spacing w:val="-2"/>
          <w:sz w:val="16"/>
        </w:rPr>
        <w:t xml:space="preserve">: </w:t>
      </w:r>
      <w:r w:rsidRPr="000844C9">
        <w:rPr>
          <w:rFonts w:ascii="Times New Roman" w:hAnsi="Times New Roman"/>
          <w:spacing w:val="-2"/>
          <w:sz w:val="16"/>
        </w:rPr>
        <w:t>§§ 296 ff. StPO:</w:t>
      </w:r>
      <w:r w:rsidRPr="000844C9">
        <w:rPr>
          <w:rFonts w:ascii="Times New Roman" w:hAnsi="Times New Roman"/>
          <w:b/>
          <w:spacing w:val="-2"/>
          <w:sz w:val="16"/>
        </w:rPr>
        <w:t xml:space="preserve"> </w:t>
      </w:r>
      <w:proofErr w:type="spellStart"/>
      <w:r w:rsidRPr="000844C9">
        <w:rPr>
          <w:rFonts w:ascii="Times New Roman" w:hAnsi="Times New Roman"/>
          <w:spacing w:val="-2"/>
          <w:sz w:val="16"/>
        </w:rPr>
        <w:t>grds</w:t>
      </w:r>
      <w:proofErr w:type="spellEnd"/>
      <w:r w:rsidRPr="000844C9">
        <w:rPr>
          <w:rFonts w:ascii="Times New Roman" w:hAnsi="Times New Roman"/>
          <w:spacing w:val="-2"/>
          <w:sz w:val="16"/>
        </w:rPr>
        <w:t xml:space="preserve">. </w:t>
      </w:r>
      <w:proofErr w:type="spellStart"/>
      <w:r w:rsidRPr="000844C9">
        <w:rPr>
          <w:rFonts w:ascii="Times New Roman" w:hAnsi="Times New Roman"/>
          <w:spacing w:val="-2"/>
          <w:sz w:val="16"/>
        </w:rPr>
        <w:t>StA</w:t>
      </w:r>
      <w:proofErr w:type="spellEnd"/>
      <w:r>
        <w:rPr>
          <w:rFonts w:ascii="Times New Roman" w:hAnsi="Times New Roman"/>
          <w:spacing w:val="-2"/>
          <w:sz w:val="16"/>
        </w:rPr>
        <w:t>,</w:t>
      </w:r>
      <w:r w:rsidRPr="000844C9">
        <w:rPr>
          <w:rFonts w:ascii="Times New Roman" w:hAnsi="Times New Roman"/>
          <w:spacing w:val="-2"/>
          <w:sz w:val="16"/>
        </w:rPr>
        <w:t xml:space="preserve"> Beschuldigte</w:t>
      </w:r>
      <w:r>
        <w:rPr>
          <w:rFonts w:ascii="Times New Roman" w:hAnsi="Times New Roman"/>
          <w:spacing w:val="-2"/>
          <w:sz w:val="16"/>
        </w:rPr>
        <w:t xml:space="preserve">r, </w:t>
      </w:r>
      <w:r w:rsidRPr="00602BBC">
        <w:rPr>
          <w:rFonts w:ascii="Times New Roman" w:hAnsi="Times New Roman"/>
          <w:spacing w:val="-2"/>
          <w:sz w:val="16"/>
        </w:rPr>
        <w:t>Verteidiger und gesetzlicher Vertreter</w:t>
      </w:r>
      <w:r w:rsidRPr="000844C9">
        <w:rPr>
          <w:rFonts w:ascii="Times New Roman" w:hAnsi="Times New Roman"/>
          <w:spacing w:val="-2"/>
          <w:sz w:val="16"/>
        </w:rPr>
        <w:t>; ungeschriebene Voraussetzung: Beschwer (siehe Arbeitsblatt Nr. 4</w:t>
      </w:r>
      <w:r w:rsidR="00032BD9">
        <w:rPr>
          <w:rFonts w:ascii="Times New Roman" w:hAnsi="Times New Roman"/>
          <w:spacing w:val="-2"/>
          <w:sz w:val="16"/>
        </w:rPr>
        <w:t>2</w:t>
      </w:r>
      <w:r w:rsidRPr="000844C9">
        <w:rPr>
          <w:rFonts w:ascii="Times New Roman" w:hAnsi="Times New Roman"/>
          <w:spacing w:val="-2"/>
          <w:sz w:val="16"/>
        </w:rPr>
        <w:t>)</w:t>
      </w:r>
      <w:r>
        <w:rPr>
          <w:rFonts w:ascii="Times New Roman" w:hAnsi="Times New Roman"/>
          <w:spacing w:val="-2"/>
          <w:sz w:val="16"/>
        </w:rPr>
        <w:t xml:space="preserve">; </w:t>
      </w:r>
      <w:r w:rsidRPr="00602BBC">
        <w:rPr>
          <w:rFonts w:ascii="Times New Roman" w:hAnsi="Times New Roman"/>
          <w:spacing w:val="-2"/>
          <w:sz w:val="16"/>
        </w:rPr>
        <w:t>auch der Nebenkläger (§§</w:t>
      </w:r>
      <w:r w:rsidR="00524E02">
        <w:rPr>
          <w:rFonts w:ascii="Times New Roman" w:hAnsi="Times New Roman"/>
          <w:spacing w:val="-2"/>
          <w:sz w:val="16"/>
        </w:rPr>
        <w:t> </w:t>
      </w:r>
      <w:r w:rsidRPr="00602BBC">
        <w:rPr>
          <w:rFonts w:ascii="Times New Roman" w:hAnsi="Times New Roman"/>
          <w:spacing w:val="-2"/>
          <w:sz w:val="16"/>
        </w:rPr>
        <w:t xml:space="preserve">395 </w:t>
      </w:r>
      <w:r w:rsidR="00524E02">
        <w:rPr>
          <w:rFonts w:ascii="Times New Roman" w:hAnsi="Times New Roman"/>
          <w:spacing w:val="-2"/>
          <w:sz w:val="16"/>
        </w:rPr>
        <w:t>IV</w:t>
      </w:r>
      <w:r w:rsidRPr="00602BBC">
        <w:rPr>
          <w:rFonts w:ascii="Times New Roman" w:hAnsi="Times New Roman"/>
          <w:spacing w:val="-2"/>
          <w:sz w:val="16"/>
        </w:rPr>
        <w:t xml:space="preserve"> 2, 401 </w:t>
      </w:r>
      <w:r w:rsidR="00524E02">
        <w:rPr>
          <w:rFonts w:ascii="Times New Roman" w:hAnsi="Times New Roman"/>
          <w:spacing w:val="-2"/>
          <w:sz w:val="16"/>
        </w:rPr>
        <w:t>I</w:t>
      </w:r>
      <w:r w:rsidRPr="00602BBC">
        <w:rPr>
          <w:rFonts w:ascii="Times New Roman" w:hAnsi="Times New Roman"/>
          <w:spacing w:val="-2"/>
          <w:sz w:val="16"/>
        </w:rPr>
        <w:t xml:space="preserve"> 1 StPO) und der Privatkläger (§</w:t>
      </w:r>
      <w:r w:rsidR="00524E02">
        <w:rPr>
          <w:rFonts w:ascii="Times New Roman" w:hAnsi="Times New Roman"/>
          <w:spacing w:val="-2"/>
          <w:sz w:val="16"/>
        </w:rPr>
        <w:t> </w:t>
      </w:r>
      <w:r w:rsidRPr="00602BBC">
        <w:rPr>
          <w:rFonts w:ascii="Times New Roman" w:hAnsi="Times New Roman"/>
          <w:spacing w:val="-2"/>
          <w:sz w:val="16"/>
        </w:rPr>
        <w:t>390 StPO) sind berechtigt, Revision einzulegen</w:t>
      </w:r>
      <w:r w:rsidR="00032BD9">
        <w:rPr>
          <w:rFonts w:ascii="Times New Roman" w:hAnsi="Times New Roman"/>
          <w:spacing w:val="-2"/>
          <w:sz w:val="16"/>
        </w:rPr>
        <w:t>.</w:t>
      </w:r>
    </w:p>
    <w:p w14:paraId="490AC7EE" w14:textId="7BFC30DC" w:rsidR="002877F1" w:rsidRPr="000844C9" w:rsidRDefault="002877F1" w:rsidP="002877F1">
      <w:pPr>
        <w:widowControl/>
        <w:tabs>
          <w:tab w:val="left" w:pos="-720"/>
          <w:tab w:val="left" w:pos="284"/>
          <w:tab w:val="left" w:pos="576"/>
          <w:tab w:val="left" w:pos="864"/>
          <w:tab w:val="left" w:pos="1116"/>
          <w:tab w:val="left" w:pos="1404"/>
          <w:tab w:val="left" w:pos="1692"/>
          <w:tab w:val="left" w:pos="1980"/>
          <w:tab w:val="left" w:pos="2268"/>
          <w:tab w:val="left" w:pos="2880"/>
        </w:tabs>
        <w:spacing w:line="238" w:lineRule="auto"/>
        <w:ind w:left="284" w:hanging="284"/>
        <w:jc w:val="both"/>
        <w:rPr>
          <w:rFonts w:ascii="Times New Roman" w:hAnsi="Times New Roman"/>
          <w:spacing w:val="-2"/>
          <w:sz w:val="16"/>
        </w:rPr>
      </w:pPr>
      <w:r w:rsidRPr="000844C9">
        <w:rPr>
          <w:rFonts w:ascii="Times New Roman" w:hAnsi="Times New Roman"/>
          <w:b/>
          <w:spacing w:val="-2"/>
          <w:sz w:val="16"/>
        </w:rPr>
        <w:t xml:space="preserve">IV. </w:t>
      </w:r>
      <w:r>
        <w:rPr>
          <w:rFonts w:ascii="Times New Roman" w:hAnsi="Times New Roman"/>
          <w:b/>
          <w:spacing w:val="-2"/>
          <w:sz w:val="16"/>
        </w:rPr>
        <w:tab/>
      </w:r>
      <w:r w:rsidRPr="000844C9">
        <w:rPr>
          <w:rFonts w:ascii="Times New Roman" w:hAnsi="Times New Roman"/>
          <w:b/>
          <w:spacing w:val="-2"/>
          <w:sz w:val="16"/>
        </w:rPr>
        <w:t xml:space="preserve">Form: </w:t>
      </w:r>
      <w:r w:rsidRPr="000844C9">
        <w:rPr>
          <w:rFonts w:ascii="Times New Roman" w:hAnsi="Times New Roman"/>
          <w:spacing w:val="-2"/>
          <w:sz w:val="16"/>
        </w:rPr>
        <w:t>Die Revision ist (beim Ausgangsgericht) zu Protokoll der Geschäftsstelle oder schriftlich einzulegen (§</w:t>
      </w:r>
      <w:r w:rsidR="00524E02">
        <w:rPr>
          <w:rFonts w:ascii="Times New Roman" w:hAnsi="Times New Roman"/>
          <w:spacing w:val="-2"/>
          <w:sz w:val="16"/>
        </w:rPr>
        <w:t> </w:t>
      </w:r>
      <w:r w:rsidRPr="000844C9">
        <w:rPr>
          <w:rFonts w:ascii="Times New Roman" w:hAnsi="Times New Roman"/>
          <w:spacing w:val="-2"/>
          <w:sz w:val="16"/>
        </w:rPr>
        <w:t xml:space="preserve">341 I StPO). Es muss ein </w:t>
      </w:r>
      <w:r w:rsidRPr="00503946">
        <w:rPr>
          <w:rFonts w:ascii="Times New Roman" w:hAnsi="Times New Roman"/>
          <w:b/>
          <w:spacing w:val="-2"/>
          <w:sz w:val="16"/>
        </w:rPr>
        <w:t>Revisionsantrag</w:t>
      </w:r>
      <w:r w:rsidRPr="000844C9">
        <w:rPr>
          <w:rFonts w:ascii="Times New Roman" w:hAnsi="Times New Roman"/>
          <w:spacing w:val="-2"/>
          <w:sz w:val="16"/>
        </w:rPr>
        <w:t xml:space="preserve"> gestellt und die Revision </w:t>
      </w:r>
      <w:r w:rsidRPr="00503946">
        <w:rPr>
          <w:rFonts w:ascii="Times New Roman" w:hAnsi="Times New Roman"/>
          <w:b/>
          <w:spacing w:val="-2"/>
          <w:sz w:val="16"/>
        </w:rPr>
        <w:t xml:space="preserve">begründet </w:t>
      </w:r>
      <w:r w:rsidRPr="000844C9">
        <w:rPr>
          <w:rFonts w:ascii="Times New Roman" w:hAnsi="Times New Roman"/>
          <w:spacing w:val="-2"/>
          <w:sz w:val="16"/>
        </w:rPr>
        <w:t>werden (§</w:t>
      </w:r>
      <w:r w:rsidR="00524E02">
        <w:rPr>
          <w:rFonts w:ascii="Times New Roman" w:hAnsi="Times New Roman"/>
          <w:spacing w:val="-2"/>
          <w:sz w:val="16"/>
        </w:rPr>
        <w:t> </w:t>
      </w:r>
      <w:r w:rsidRPr="000844C9">
        <w:rPr>
          <w:rFonts w:ascii="Times New Roman" w:hAnsi="Times New Roman"/>
          <w:spacing w:val="-2"/>
          <w:sz w:val="16"/>
        </w:rPr>
        <w:t>344 StPO). Dabei muss deutlich werden, ob die Revision auf Verfahrensfehler (</w:t>
      </w:r>
      <w:r w:rsidRPr="00602BBC">
        <w:rPr>
          <w:rFonts w:ascii="Times New Roman" w:hAnsi="Times New Roman"/>
          <w:spacing w:val="-2"/>
          <w:sz w:val="16"/>
        </w:rPr>
        <w:t xml:space="preserve">sog. Verfahrensrüge; </w:t>
      </w:r>
      <w:r w:rsidRPr="000844C9">
        <w:rPr>
          <w:rFonts w:ascii="Times New Roman" w:hAnsi="Times New Roman"/>
          <w:spacing w:val="-2"/>
          <w:sz w:val="16"/>
        </w:rPr>
        <w:t>dann</w:t>
      </w:r>
      <w:r>
        <w:rPr>
          <w:rFonts w:ascii="Times New Roman" w:hAnsi="Times New Roman"/>
          <w:spacing w:val="-2"/>
          <w:sz w:val="16"/>
        </w:rPr>
        <w:t xml:space="preserve"> sind</w:t>
      </w:r>
      <w:r w:rsidRPr="000844C9">
        <w:rPr>
          <w:rFonts w:ascii="Times New Roman" w:hAnsi="Times New Roman"/>
          <w:spacing w:val="-2"/>
          <w:sz w:val="16"/>
        </w:rPr>
        <w:t xml:space="preserve"> genaue Angaben der den Mangel enthaltenden Tatsachen notwendig, §</w:t>
      </w:r>
      <w:r w:rsidR="00524E02">
        <w:rPr>
          <w:rFonts w:ascii="Times New Roman" w:hAnsi="Times New Roman"/>
          <w:spacing w:val="-2"/>
          <w:sz w:val="16"/>
        </w:rPr>
        <w:t> </w:t>
      </w:r>
      <w:r w:rsidRPr="000844C9">
        <w:rPr>
          <w:rFonts w:ascii="Times New Roman" w:hAnsi="Times New Roman"/>
          <w:spacing w:val="-2"/>
          <w:sz w:val="16"/>
        </w:rPr>
        <w:t>34</w:t>
      </w:r>
      <w:r>
        <w:rPr>
          <w:rFonts w:ascii="Times New Roman" w:hAnsi="Times New Roman"/>
          <w:spacing w:val="-2"/>
          <w:sz w:val="16"/>
        </w:rPr>
        <w:t>4</w:t>
      </w:r>
      <w:r w:rsidRPr="000844C9">
        <w:rPr>
          <w:rFonts w:ascii="Times New Roman" w:hAnsi="Times New Roman"/>
          <w:spacing w:val="-2"/>
          <w:sz w:val="16"/>
        </w:rPr>
        <w:t xml:space="preserve"> I</w:t>
      </w:r>
      <w:r>
        <w:rPr>
          <w:rFonts w:ascii="Times New Roman" w:hAnsi="Times New Roman"/>
          <w:spacing w:val="-2"/>
          <w:sz w:val="16"/>
        </w:rPr>
        <w:t>I</w:t>
      </w:r>
      <w:r w:rsidRPr="000844C9">
        <w:rPr>
          <w:rFonts w:ascii="Times New Roman" w:hAnsi="Times New Roman"/>
          <w:spacing w:val="-2"/>
          <w:sz w:val="16"/>
        </w:rPr>
        <w:t xml:space="preserve"> 2 StPO) oder auf die Verletzung materiellen Rechts gestützt wird (</w:t>
      </w:r>
      <w:r>
        <w:rPr>
          <w:rFonts w:ascii="Times New Roman" w:hAnsi="Times New Roman"/>
          <w:spacing w:val="-2"/>
          <w:sz w:val="16"/>
        </w:rPr>
        <w:t xml:space="preserve">sog. Sachrüge; </w:t>
      </w:r>
      <w:r w:rsidRPr="000844C9">
        <w:rPr>
          <w:rFonts w:ascii="Times New Roman" w:hAnsi="Times New Roman"/>
          <w:spacing w:val="-2"/>
          <w:sz w:val="16"/>
        </w:rPr>
        <w:t>dann genügt der Satz „Ich rüge die Verletzung materiellen Rechts“). Die Begründung kann wiederum zu Protokoll der Geschäftsstelle oder schriftlich eingelegt werden, in letzterem Fall muss allerdings ein Rechtsanwalt unterzeichnen (§</w:t>
      </w:r>
      <w:r w:rsidR="00524E02">
        <w:rPr>
          <w:rFonts w:ascii="Times New Roman" w:hAnsi="Times New Roman"/>
          <w:spacing w:val="-2"/>
          <w:sz w:val="16"/>
        </w:rPr>
        <w:t> </w:t>
      </w:r>
      <w:r w:rsidRPr="000844C9">
        <w:rPr>
          <w:rFonts w:ascii="Times New Roman" w:hAnsi="Times New Roman"/>
          <w:spacing w:val="-2"/>
          <w:sz w:val="16"/>
        </w:rPr>
        <w:t>345 II StPO).</w:t>
      </w:r>
      <w:r w:rsidR="00A969A3">
        <w:rPr>
          <w:rFonts w:ascii="Times New Roman" w:hAnsi="Times New Roman"/>
          <w:spacing w:val="-2"/>
          <w:sz w:val="16"/>
        </w:rPr>
        <w:t xml:space="preserve"> Zu berücksichtigen ist ferner die Pflicht des Verteidige</w:t>
      </w:r>
      <w:r w:rsidR="004C66F6">
        <w:rPr>
          <w:rFonts w:ascii="Times New Roman" w:hAnsi="Times New Roman"/>
          <w:spacing w:val="-2"/>
          <w:sz w:val="16"/>
        </w:rPr>
        <w:t>r</w:t>
      </w:r>
      <w:r w:rsidR="00A969A3">
        <w:rPr>
          <w:rFonts w:ascii="Times New Roman" w:hAnsi="Times New Roman"/>
          <w:spacing w:val="-2"/>
          <w:sz w:val="16"/>
        </w:rPr>
        <w:t>s zur elektronischen Übermittlung, § 32d StPO.</w:t>
      </w:r>
    </w:p>
    <w:p w14:paraId="3DA4C962" w14:textId="4DDAB63F" w:rsidR="002877F1" w:rsidRPr="000844C9" w:rsidRDefault="002877F1" w:rsidP="002877F1">
      <w:pPr>
        <w:widowControl/>
        <w:tabs>
          <w:tab w:val="left" w:pos="-720"/>
          <w:tab w:val="left" w:pos="284"/>
          <w:tab w:val="left" w:pos="576"/>
          <w:tab w:val="left" w:pos="864"/>
          <w:tab w:val="left" w:pos="1116"/>
          <w:tab w:val="left" w:pos="1404"/>
          <w:tab w:val="left" w:pos="1692"/>
          <w:tab w:val="left" w:pos="1980"/>
          <w:tab w:val="left" w:pos="2268"/>
          <w:tab w:val="left" w:pos="2880"/>
        </w:tabs>
        <w:spacing w:line="238" w:lineRule="auto"/>
        <w:ind w:left="284" w:hanging="284"/>
        <w:jc w:val="both"/>
        <w:rPr>
          <w:rFonts w:ascii="Times New Roman" w:hAnsi="Times New Roman"/>
          <w:spacing w:val="-2"/>
          <w:sz w:val="16"/>
        </w:rPr>
      </w:pPr>
      <w:r w:rsidRPr="000844C9">
        <w:rPr>
          <w:rFonts w:ascii="Times New Roman" w:hAnsi="Times New Roman"/>
          <w:b/>
          <w:spacing w:val="-2"/>
          <w:sz w:val="16"/>
        </w:rPr>
        <w:t xml:space="preserve">V. </w:t>
      </w:r>
      <w:r w:rsidRPr="000844C9">
        <w:rPr>
          <w:rFonts w:ascii="Times New Roman" w:hAnsi="Times New Roman"/>
          <w:b/>
          <w:spacing w:val="-2"/>
          <w:sz w:val="16"/>
        </w:rPr>
        <w:tab/>
        <w:t xml:space="preserve">Frist: </w:t>
      </w:r>
      <w:r w:rsidRPr="000844C9">
        <w:rPr>
          <w:rFonts w:ascii="Times New Roman" w:hAnsi="Times New Roman"/>
          <w:spacing w:val="-2"/>
          <w:sz w:val="16"/>
        </w:rPr>
        <w:t xml:space="preserve">Einlegung der Revision binnen </w:t>
      </w:r>
      <w:r w:rsidRPr="00EC1480">
        <w:rPr>
          <w:rFonts w:ascii="Times New Roman" w:hAnsi="Times New Roman"/>
          <w:b/>
          <w:spacing w:val="-2"/>
          <w:sz w:val="16"/>
        </w:rPr>
        <w:t>einer Woche</w:t>
      </w:r>
      <w:r w:rsidRPr="000844C9">
        <w:rPr>
          <w:rFonts w:ascii="Times New Roman" w:hAnsi="Times New Roman"/>
          <w:spacing w:val="-2"/>
          <w:sz w:val="16"/>
        </w:rPr>
        <w:t xml:space="preserve"> nach Verkündung beim </w:t>
      </w:r>
      <w:r w:rsidRPr="00EC1480">
        <w:rPr>
          <w:rFonts w:ascii="Times New Roman" w:hAnsi="Times New Roman"/>
          <w:b/>
          <w:spacing w:val="-2"/>
          <w:sz w:val="16"/>
        </w:rPr>
        <w:t>Ausgangsgericht</w:t>
      </w:r>
      <w:r w:rsidRPr="000844C9">
        <w:rPr>
          <w:rFonts w:ascii="Times New Roman" w:hAnsi="Times New Roman"/>
          <w:spacing w:val="-2"/>
          <w:sz w:val="16"/>
        </w:rPr>
        <w:t>, §</w:t>
      </w:r>
      <w:r w:rsidR="00524E02">
        <w:rPr>
          <w:rFonts w:ascii="Times New Roman" w:hAnsi="Times New Roman"/>
          <w:spacing w:val="-2"/>
          <w:sz w:val="16"/>
        </w:rPr>
        <w:t> </w:t>
      </w:r>
      <w:r w:rsidRPr="000844C9">
        <w:rPr>
          <w:rFonts w:ascii="Times New Roman" w:hAnsi="Times New Roman"/>
          <w:spacing w:val="-2"/>
          <w:sz w:val="16"/>
        </w:rPr>
        <w:t>341 I StPO. War der Angeklagte bei der Verkündung nicht dabei, beginnt die Frist mit der Zustellung, §</w:t>
      </w:r>
      <w:r w:rsidR="00B319DB">
        <w:rPr>
          <w:rFonts w:ascii="Times New Roman" w:hAnsi="Times New Roman"/>
          <w:spacing w:val="-2"/>
          <w:sz w:val="16"/>
        </w:rPr>
        <w:t> </w:t>
      </w:r>
      <w:r w:rsidRPr="000844C9">
        <w:rPr>
          <w:rFonts w:ascii="Times New Roman" w:hAnsi="Times New Roman"/>
          <w:spacing w:val="-2"/>
          <w:sz w:val="16"/>
        </w:rPr>
        <w:t xml:space="preserve">341 II StPO. Die Revisionsanträge samt Revisionsbegründung müssen sodann binnen eines Monats nach Ablauf der </w:t>
      </w:r>
      <w:r w:rsidR="00EB282F">
        <w:rPr>
          <w:rFonts w:ascii="Times New Roman" w:hAnsi="Times New Roman"/>
          <w:spacing w:val="-2"/>
          <w:sz w:val="16"/>
        </w:rPr>
        <w:t>Einlegungs</w:t>
      </w:r>
      <w:r w:rsidR="00EB282F" w:rsidRPr="000844C9">
        <w:rPr>
          <w:rFonts w:ascii="Times New Roman" w:hAnsi="Times New Roman"/>
          <w:spacing w:val="-2"/>
          <w:sz w:val="16"/>
        </w:rPr>
        <w:t xml:space="preserve">frist </w:t>
      </w:r>
      <w:r w:rsidRPr="000844C9">
        <w:rPr>
          <w:rFonts w:ascii="Times New Roman" w:hAnsi="Times New Roman"/>
          <w:spacing w:val="-2"/>
          <w:sz w:val="16"/>
        </w:rPr>
        <w:t>ebenfalls beim Ausgangsgericht angebracht werden, §</w:t>
      </w:r>
      <w:r w:rsidR="00B319DB">
        <w:rPr>
          <w:rFonts w:ascii="Times New Roman" w:hAnsi="Times New Roman"/>
          <w:spacing w:val="-2"/>
          <w:sz w:val="16"/>
        </w:rPr>
        <w:t> </w:t>
      </w:r>
      <w:r w:rsidRPr="000844C9">
        <w:rPr>
          <w:rFonts w:ascii="Times New Roman" w:hAnsi="Times New Roman"/>
          <w:spacing w:val="-2"/>
          <w:sz w:val="16"/>
        </w:rPr>
        <w:t>345 I 1 StPO. Oftmals sind die Fristen zur Absetzung des schriftlichen Urteils</w:t>
      </w:r>
      <w:r>
        <w:rPr>
          <w:rFonts w:ascii="Times New Roman" w:hAnsi="Times New Roman"/>
          <w:spacing w:val="-2"/>
          <w:sz w:val="16"/>
        </w:rPr>
        <w:t xml:space="preserve"> länger (vgl. §</w:t>
      </w:r>
      <w:r w:rsidR="00B319DB">
        <w:rPr>
          <w:rFonts w:ascii="Times New Roman" w:hAnsi="Times New Roman"/>
          <w:spacing w:val="-2"/>
          <w:sz w:val="16"/>
        </w:rPr>
        <w:t> </w:t>
      </w:r>
      <w:r>
        <w:rPr>
          <w:rFonts w:ascii="Times New Roman" w:hAnsi="Times New Roman"/>
          <w:spacing w:val="-2"/>
          <w:sz w:val="16"/>
        </w:rPr>
        <w:t>275 StPO)</w:t>
      </w:r>
      <w:r w:rsidR="00EB282F">
        <w:rPr>
          <w:rFonts w:ascii="Times New Roman" w:hAnsi="Times New Roman"/>
          <w:spacing w:val="-2"/>
          <w:sz w:val="16"/>
        </w:rPr>
        <w:t xml:space="preserve"> als die Begründungsfrist der Revision. Da</w:t>
      </w:r>
      <w:r w:rsidRPr="000844C9">
        <w:rPr>
          <w:rFonts w:ascii="Times New Roman" w:hAnsi="Times New Roman"/>
          <w:spacing w:val="-2"/>
          <w:sz w:val="16"/>
        </w:rPr>
        <w:t xml:space="preserve"> eine sinnvolle Begründung</w:t>
      </w:r>
      <w:r w:rsidR="00EB282F">
        <w:rPr>
          <w:rFonts w:ascii="Times New Roman" w:hAnsi="Times New Roman"/>
          <w:spacing w:val="-2"/>
          <w:sz w:val="16"/>
        </w:rPr>
        <w:t xml:space="preserve"> ohne die Urteilsgründe</w:t>
      </w:r>
      <w:r w:rsidRPr="000844C9">
        <w:rPr>
          <w:rFonts w:ascii="Times New Roman" w:hAnsi="Times New Roman"/>
          <w:spacing w:val="-2"/>
          <w:sz w:val="16"/>
        </w:rPr>
        <w:t xml:space="preserve"> kaum möglich ist</w:t>
      </w:r>
      <w:r w:rsidR="00EB282F">
        <w:rPr>
          <w:rFonts w:ascii="Times New Roman" w:hAnsi="Times New Roman"/>
          <w:spacing w:val="-2"/>
          <w:sz w:val="16"/>
        </w:rPr>
        <w:t>, beginnt in einem solchen Fall gem. §</w:t>
      </w:r>
      <w:r w:rsidR="00B319DB">
        <w:rPr>
          <w:rFonts w:ascii="Times New Roman" w:hAnsi="Times New Roman"/>
          <w:spacing w:val="-2"/>
          <w:sz w:val="16"/>
        </w:rPr>
        <w:t> </w:t>
      </w:r>
      <w:r w:rsidR="00EB282F">
        <w:rPr>
          <w:rFonts w:ascii="Times New Roman" w:hAnsi="Times New Roman"/>
          <w:spacing w:val="-2"/>
          <w:sz w:val="16"/>
        </w:rPr>
        <w:t>345 I 3 StPO die Begründungsfrist erst mit Zustellung des schriftlichen Urteils</w:t>
      </w:r>
      <w:r w:rsidRPr="000844C9">
        <w:rPr>
          <w:rFonts w:ascii="Times New Roman" w:hAnsi="Times New Roman"/>
          <w:spacing w:val="-2"/>
          <w:sz w:val="16"/>
        </w:rPr>
        <w:t>.</w:t>
      </w:r>
      <w:r w:rsidR="00482877">
        <w:rPr>
          <w:rFonts w:ascii="Times New Roman" w:hAnsi="Times New Roman"/>
          <w:spacing w:val="-2"/>
          <w:sz w:val="16"/>
        </w:rPr>
        <w:t xml:space="preserve"> Die Frist berechnet sich nach §</w:t>
      </w:r>
      <w:r w:rsidR="00B319DB">
        <w:rPr>
          <w:rFonts w:ascii="Times New Roman" w:hAnsi="Times New Roman"/>
          <w:spacing w:val="-2"/>
          <w:sz w:val="16"/>
        </w:rPr>
        <w:t> </w:t>
      </w:r>
      <w:r w:rsidR="00482877">
        <w:rPr>
          <w:rFonts w:ascii="Times New Roman" w:hAnsi="Times New Roman"/>
          <w:spacing w:val="-2"/>
          <w:sz w:val="16"/>
        </w:rPr>
        <w:t>43 StPO.</w:t>
      </w:r>
    </w:p>
    <w:p w14:paraId="75CE78DC" w14:textId="5A8E6192" w:rsidR="002877F1" w:rsidRPr="000844C9" w:rsidRDefault="002877F1" w:rsidP="002877F1">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238" w:lineRule="auto"/>
        <w:ind w:left="284" w:hanging="284"/>
        <w:jc w:val="both"/>
        <w:rPr>
          <w:rFonts w:ascii="Times New Roman" w:hAnsi="Times New Roman"/>
          <w:spacing w:val="-2"/>
          <w:sz w:val="16"/>
        </w:rPr>
      </w:pPr>
      <w:r w:rsidRPr="000844C9">
        <w:rPr>
          <w:rFonts w:ascii="Times New Roman" w:hAnsi="Times New Roman"/>
          <w:b/>
          <w:spacing w:val="-2"/>
          <w:sz w:val="16"/>
        </w:rPr>
        <w:t xml:space="preserve">VI. </w:t>
      </w:r>
      <w:r>
        <w:rPr>
          <w:rFonts w:ascii="Times New Roman" w:hAnsi="Times New Roman"/>
          <w:b/>
          <w:spacing w:val="-2"/>
          <w:sz w:val="16"/>
        </w:rPr>
        <w:tab/>
      </w:r>
      <w:r w:rsidRPr="000844C9">
        <w:rPr>
          <w:rFonts w:ascii="Times New Roman" w:hAnsi="Times New Roman"/>
          <w:b/>
          <w:spacing w:val="-2"/>
          <w:sz w:val="16"/>
        </w:rPr>
        <w:t xml:space="preserve">Rechtswirkungen: </w:t>
      </w:r>
      <w:r w:rsidRPr="000844C9">
        <w:rPr>
          <w:rFonts w:ascii="Times New Roman" w:hAnsi="Times New Roman"/>
          <w:spacing w:val="-2"/>
          <w:sz w:val="16"/>
        </w:rPr>
        <w:t>Suspensiveffekt (§</w:t>
      </w:r>
      <w:r w:rsidR="00B319DB">
        <w:rPr>
          <w:rFonts w:ascii="Times New Roman" w:hAnsi="Times New Roman"/>
          <w:spacing w:val="-2"/>
          <w:sz w:val="16"/>
        </w:rPr>
        <w:t> </w:t>
      </w:r>
      <w:r w:rsidRPr="000844C9">
        <w:rPr>
          <w:rFonts w:ascii="Times New Roman" w:hAnsi="Times New Roman"/>
          <w:spacing w:val="-2"/>
          <w:sz w:val="16"/>
        </w:rPr>
        <w:t>343 I StPO), d.h. Hemmung der Rechtskraft, sowie Devolutiveffekt, d.h. die Revision bringt die Sache in die nächsthöhere Instanz.</w:t>
      </w:r>
    </w:p>
    <w:p w14:paraId="0CFF7BF9" w14:textId="2341F5A2" w:rsidR="002877F1" w:rsidRPr="000844C9" w:rsidRDefault="002877F1" w:rsidP="002877F1">
      <w:pPr>
        <w:widowControl/>
        <w:tabs>
          <w:tab w:val="left" w:pos="-720"/>
          <w:tab w:val="left" w:pos="-142"/>
          <w:tab w:val="left" w:pos="288"/>
          <w:tab w:val="left" w:pos="576"/>
          <w:tab w:val="left" w:pos="709"/>
          <w:tab w:val="left" w:pos="851"/>
          <w:tab w:val="left" w:pos="993"/>
          <w:tab w:val="left" w:pos="1134"/>
          <w:tab w:val="left" w:pos="1980"/>
          <w:tab w:val="left" w:pos="2268"/>
          <w:tab w:val="left" w:pos="2880"/>
        </w:tabs>
        <w:spacing w:line="238" w:lineRule="auto"/>
        <w:ind w:left="992" w:hanging="992"/>
        <w:jc w:val="both"/>
        <w:rPr>
          <w:rFonts w:ascii="Times New Roman" w:hAnsi="Times New Roman"/>
          <w:spacing w:val="-2"/>
          <w:sz w:val="16"/>
        </w:rPr>
      </w:pPr>
      <w:r w:rsidRPr="000844C9">
        <w:rPr>
          <w:rFonts w:ascii="Times New Roman" w:hAnsi="Times New Roman"/>
          <w:b/>
          <w:spacing w:val="-2"/>
          <w:sz w:val="16"/>
        </w:rPr>
        <w:t xml:space="preserve">VII. Revisionsgründe: </w:t>
      </w:r>
      <w:r w:rsidRPr="000844C9">
        <w:rPr>
          <w:rFonts w:ascii="Times New Roman" w:hAnsi="Times New Roman"/>
          <w:spacing w:val="-2"/>
          <w:sz w:val="16"/>
        </w:rPr>
        <w:t>§§</w:t>
      </w:r>
      <w:r w:rsidR="00B319DB">
        <w:rPr>
          <w:rFonts w:ascii="Times New Roman" w:hAnsi="Times New Roman"/>
          <w:spacing w:val="-2"/>
          <w:sz w:val="16"/>
        </w:rPr>
        <w:t> </w:t>
      </w:r>
      <w:r w:rsidRPr="000844C9">
        <w:rPr>
          <w:rFonts w:ascii="Times New Roman" w:hAnsi="Times New Roman"/>
          <w:spacing w:val="-2"/>
          <w:sz w:val="16"/>
        </w:rPr>
        <w:t>337, 338 StPO (vgl. hierzu besonderes Arbeitsblatt Nr. 46).</w:t>
      </w:r>
    </w:p>
    <w:p w14:paraId="4043B03C" w14:textId="77777777" w:rsidR="002877F1" w:rsidRPr="000844C9" w:rsidRDefault="002877F1" w:rsidP="002877F1">
      <w:pPr>
        <w:widowControl/>
        <w:tabs>
          <w:tab w:val="left" w:pos="-720"/>
          <w:tab w:val="left" w:pos="288"/>
          <w:tab w:val="left" w:pos="851"/>
          <w:tab w:val="left" w:pos="1134"/>
          <w:tab w:val="left" w:pos="1404"/>
          <w:tab w:val="left" w:pos="1692"/>
          <w:tab w:val="left" w:pos="1980"/>
          <w:tab w:val="left" w:pos="2268"/>
          <w:tab w:val="left" w:pos="2880"/>
        </w:tabs>
        <w:spacing w:line="238" w:lineRule="auto"/>
        <w:ind w:left="284" w:hanging="284"/>
        <w:jc w:val="both"/>
        <w:rPr>
          <w:rFonts w:ascii="Times New Roman" w:hAnsi="Times New Roman"/>
          <w:b/>
          <w:spacing w:val="-2"/>
          <w:sz w:val="16"/>
        </w:rPr>
      </w:pPr>
      <w:r w:rsidRPr="000844C9">
        <w:rPr>
          <w:rFonts w:ascii="Times New Roman" w:hAnsi="Times New Roman"/>
          <w:b/>
          <w:spacing w:val="-2"/>
          <w:sz w:val="16"/>
        </w:rPr>
        <w:t xml:space="preserve">VIII. Regelungsumfang: </w:t>
      </w:r>
      <w:r w:rsidRPr="000844C9">
        <w:rPr>
          <w:rFonts w:ascii="Times New Roman" w:hAnsi="Times New Roman"/>
          <w:spacing w:val="-2"/>
          <w:sz w:val="16"/>
        </w:rPr>
        <w:t xml:space="preserve">Es findet (nur) eine Überprüfung in rechtlicher Hinsicht statt (= keine zweite Tatsacheninstanz; keine erneute Beweisaufnahme bzw. Zeugenvernehmung). Das Revisionsgericht prüft nur, ob das Urteil verfahrensrechtlich ordnungsgemäß zustande gekommen und ob das materielle Recht auf Grund des festgestellten Sachverhalts richtig angewandt worden ist. Zweck ist </w:t>
      </w:r>
      <w:r>
        <w:rPr>
          <w:rFonts w:ascii="Times New Roman" w:hAnsi="Times New Roman"/>
          <w:spacing w:val="-2"/>
          <w:sz w:val="16"/>
        </w:rPr>
        <w:t>zum einen</w:t>
      </w:r>
      <w:r w:rsidRPr="000844C9">
        <w:rPr>
          <w:rFonts w:ascii="Times New Roman" w:hAnsi="Times New Roman"/>
          <w:spacing w:val="-2"/>
          <w:sz w:val="16"/>
        </w:rPr>
        <w:t xml:space="preserve"> die Wahrung der Rechtseinheit und </w:t>
      </w:r>
      <w:r>
        <w:rPr>
          <w:rFonts w:ascii="Times New Roman" w:hAnsi="Times New Roman"/>
          <w:spacing w:val="-2"/>
          <w:sz w:val="16"/>
        </w:rPr>
        <w:t>zum anderen</w:t>
      </w:r>
      <w:r w:rsidRPr="000844C9">
        <w:rPr>
          <w:rFonts w:ascii="Times New Roman" w:hAnsi="Times New Roman"/>
          <w:spacing w:val="-2"/>
          <w:sz w:val="16"/>
        </w:rPr>
        <w:t xml:space="preserve"> die Verwirklichung von Einzelfallgerechtigkeit.</w:t>
      </w:r>
    </w:p>
    <w:p w14:paraId="7FCCD126" w14:textId="77777777" w:rsidR="002877F1" w:rsidRPr="000844C9" w:rsidRDefault="002877F1" w:rsidP="002877F1">
      <w:pPr>
        <w:widowControl/>
        <w:tabs>
          <w:tab w:val="left" w:pos="-720"/>
          <w:tab w:val="left" w:pos="-142"/>
          <w:tab w:val="left" w:pos="288"/>
          <w:tab w:val="left" w:pos="576"/>
          <w:tab w:val="left" w:pos="709"/>
          <w:tab w:val="left" w:pos="851"/>
          <w:tab w:val="left" w:pos="993"/>
          <w:tab w:val="left" w:pos="1134"/>
          <w:tab w:val="left" w:pos="1980"/>
          <w:tab w:val="left" w:pos="2268"/>
          <w:tab w:val="left" w:pos="2880"/>
        </w:tabs>
        <w:spacing w:line="238" w:lineRule="auto"/>
        <w:ind w:left="992" w:hanging="992"/>
        <w:jc w:val="both"/>
        <w:rPr>
          <w:rFonts w:ascii="Times New Roman" w:hAnsi="Times New Roman"/>
          <w:b/>
          <w:spacing w:val="-2"/>
          <w:sz w:val="16"/>
        </w:rPr>
      </w:pPr>
      <w:r w:rsidRPr="000844C9">
        <w:rPr>
          <w:rFonts w:ascii="Times New Roman" w:hAnsi="Times New Roman"/>
          <w:b/>
          <w:spacing w:val="-2"/>
          <w:sz w:val="16"/>
        </w:rPr>
        <w:t xml:space="preserve">IX. Verfahren: </w:t>
      </w:r>
    </w:p>
    <w:p w14:paraId="6F809976" w14:textId="3479084A" w:rsidR="002877F1" w:rsidRPr="000844C9" w:rsidRDefault="002877F1" w:rsidP="002877F1">
      <w:pPr>
        <w:widowControl/>
        <w:tabs>
          <w:tab w:val="left" w:pos="-720"/>
          <w:tab w:val="left" w:pos="-142"/>
          <w:tab w:val="left" w:pos="288"/>
          <w:tab w:val="left" w:pos="567"/>
          <w:tab w:val="left" w:pos="709"/>
          <w:tab w:val="left" w:pos="851"/>
          <w:tab w:val="left" w:pos="1980"/>
          <w:tab w:val="left" w:pos="2268"/>
          <w:tab w:val="left" w:pos="2880"/>
        </w:tabs>
        <w:spacing w:line="238" w:lineRule="auto"/>
        <w:ind w:left="567" w:hanging="567"/>
        <w:jc w:val="both"/>
        <w:rPr>
          <w:rFonts w:ascii="Times New Roman" w:hAnsi="Times New Roman"/>
          <w:b/>
          <w:spacing w:val="-2"/>
          <w:sz w:val="16"/>
        </w:rPr>
      </w:pPr>
      <w:r w:rsidRPr="000844C9">
        <w:rPr>
          <w:rFonts w:ascii="Times New Roman" w:hAnsi="Times New Roman"/>
          <w:b/>
          <w:spacing w:val="-2"/>
          <w:sz w:val="16"/>
        </w:rPr>
        <w:tab/>
      </w:r>
      <w:r w:rsidRPr="000844C9">
        <w:rPr>
          <w:rFonts w:ascii="Times New Roman" w:hAnsi="Times New Roman"/>
          <w:spacing w:val="-2"/>
          <w:sz w:val="16"/>
          <w:u w:val="single"/>
        </w:rPr>
        <w:t xml:space="preserve">1. </w:t>
      </w:r>
      <w:r w:rsidRPr="000844C9">
        <w:rPr>
          <w:rFonts w:ascii="Times New Roman" w:hAnsi="Times New Roman"/>
          <w:spacing w:val="-2"/>
          <w:sz w:val="16"/>
          <w:u w:val="single"/>
        </w:rPr>
        <w:tab/>
        <w:t>Vorprüfung:</w:t>
      </w:r>
      <w:r w:rsidRPr="000844C9">
        <w:rPr>
          <w:rFonts w:ascii="Times New Roman" w:hAnsi="Times New Roman"/>
          <w:spacing w:val="-2"/>
          <w:sz w:val="16"/>
        </w:rPr>
        <w:t xml:space="preserve"> Das Ausgangsgericht, bei dem die Revision eingelegt wurde, prüft Form und Frist. Sind diese nicht eingehalten: Verwerfung als unzulässig durch Beschluss (§</w:t>
      </w:r>
      <w:r w:rsidR="00B319DB">
        <w:rPr>
          <w:rFonts w:ascii="Times New Roman" w:hAnsi="Times New Roman"/>
          <w:spacing w:val="-2"/>
          <w:sz w:val="16"/>
        </w:rPr>
        <w:t> </w:t>
      </w:r>
      <w:r w:rsidRPr="000844C9">
        <w:rPr>
          <w:rFonts w:ascii="Times New Roman" w:hAnsi="Times New Roman"/>
          <w:spacing w:val="-2"/>
          <w:sz w:val="16"/>
        </w:rPr>
        <w:t>346 I StPO). Sonst: Weiterleitung an das Revisionsgericht.</w:t>
      </w:r>
    </w:p>
    <w:p w14:paraId="338C2B0B" w14:textId="07A074EA" w:rsidR="002877F1" w:rsidRPr="000844C9" w:rsidRDefault="002877F1" w:rsidP="002877F1">
      <w:pPr>
        <w:widowControl/>
        <w:tabs>
          <w:tab w:val="left" w:pos="-720"/>
          <w:tab w:val="left" w:pos="-142"/>
          <w:tab w:val="left" w:pos="288"/>
          <w:tab w:val="left" w:pos="567"/>
          <w:tab w:val="left" w:pos="709"/>
          <w:tab w:val="left" w:pos="851"/>
          <w:tab w:val="left" w:pos="1980"/>
          <w:tab w:val="left" w:pos="2268"/>
          <w:tab w:val="left" w:pos="2880"/>
        </w:tabs>
        <w:spacing w:line="238" w:lineRule="auto"/>
        <w:ind w:left="567" w:hanging="567"/>
        <w:jc w:val="both"/>
        <w:rPr>
          <w:rFonts w:ascii="Times New Roman" w:hAnsi="Times New Roman"/>
          <w:spacing w:val="-2"/>
          <w:sz w:val="16"/>
        </w:rPr>
      </w:pPr>
      <w:r w:rsidRPr="000844C9">
        <w:rPr>
          <w:rFonts w:ascii="Times New Roman" w:hAnsi="Times New Roman"/>
          <w:b/>
          <w:spacing w:val="-2"/>
          <w:sz w:val="16"/>
        </w:rPr>
        <w:tab/>
      </w:r>
      <w:r w:rsidRPr="000844C9">
        <w:rPr>
          <w:rFonts w:ascii="Times New Roman" w:hAnsi="Times New Roman"/>
          <w:spacing w:val="-2"/>
          <w:sz w:val="16"/>
          <w:u w:val="single"/>
        </w:rPr>
        <w:t xml:space="preserve">2. </w:t>
      </w:r>
      <w:r w:rsidRPr="000844C9">
        <w:rPr>
          <w:rFonts w:ascii="Times New Roman" w:hAnsi="Times New Roman"/>
          <w:spacing w:val="-2"/>
          <w:sz w:val="16"/>
          <w:u w:val="single"/>
        </w:rPr>
        <w:tab/>
        <w:t>Zulässigkeitsprüfung:</w:t>
      </w:r>
      <w:r w:rsidRPr="000844C9">
        <w:rPr>
          <w:rFonts w:ascii="Times New Roman" w:hAnsi="Times New Roman"/>
          <w:spacing w:val="-2"/>
          <w:sz w:val="16"/>
        </w:rPr>
        <w:t xml:space="preserve"> Das Revisionsgericht kann (vgl. §</w:t>
      </w:r>
      <w:r w:rsidR="00B319DB">
        <w:rPr>
          <w:rFonts w:ascii="Times New Roman" w:hAnsi="Times New Roman"/>
          <w:spacing w:val="-2"/>
          <w:sz w:val="16"/>
        </w:rPr>
        <w:t> </w:t>
      </w:r>
      <w:r w:rsidRPr="000844C9">
        <w:rPr>
          <w:rFonts w:ascii="Times New Roman" w:hAnsi="Times New Roman"/>
          <w:spacing w:val="-2"/>
          <w:sz w:val="16"/>
        </w:rPr>
        <w:t>349 V StPO) nochmals die Zulässigkeit prüfen, §</w:t>
      </w:r>
      <w:r w:rsidR="00B319DB">
        <w:rPr>
          <w:rFonts w:ascii="Times New Roman" w:hAnsi="Times New Roman"/>
          <w:spacing w:val="-2"/>
          <w:sz w:val="16"/>
        </w:rPr>
        <w:t> </w:t>
      </w:r>
      <w:r w:rsidRPr="000844C9">
        <w:rPr>
          <w:rFonts w:ascii="Times New Roman" w:hAnsi="Times New Roman"/>
          <w:spacing w:val="-2"/>
          <w:sz w:val="16"/>
        </w:rPr>
        <w:t>349 I StPO. Wird Unzulässigkeit festgestellt: Verwerfung als unzulässig durch Beschluss (ohne mündliche Verhandlung).</w:t>
      </w:r>
    </w:p>
    <w:p w14:paraId="235C237C" w14:textId="31B1F752" w:rsidR="002877F1" w:rsidRPr="000844C9" w:rsidRDefault="002877F1" w:rsidP="002877F1">
      <w:pPr>
        <w:widowControl/>
        <w:tabs>
          <w:tab w:val="left" w:pos="-720"/>
          <w:tab w:val="left" w:pos="-142"/>
          <w:tab w:val="left" w:pos="288"/>
          <w:tab w:val="left" w:pos="567"/>
          <w:tab w:val="left" w:pos="709"/>
          <w:tab w:val="left" w:pos="851"/>
          <w:tab w:val="left" w:pos="1980"/>
          <w:tab w:val="left" w:pos="2268"/>
          <w:tab w:val="left" w:pos="2880"/>
        </w:tabs>
        <w:spacing w:line="238" w:lineRule="auto"/>
        <w:ind w:left="567" w:hanging="567"/>
        <w:jc w:val="both"/>
        <w:rPr>
          <w:rFonts w:ascii="Times New Roman" w:hAnsi="Times New Roman"/>
          <w:spacing w:val="-2"/>
          <w:sz w:val="16"/>
        </w:rPr>
      </w:pPr>
      <w:r w:rsidRPr="000844C9">
        <w:rPr>
          <w:rFonts w:ascii="Times New Roman" w:hAnsi="Times New Roman"/>
          <w:b/>
          <w:spacing w:val="-2"/>
          <w:sz w:val="16"/>
        </w:rPr>
        <w:tab/>
      </w:r>
      <w:r w:rsidRPr="000844C9">
        <w:rPr>
          <w:rFonts w:ascii="Times New Roman" w:hAnsi="Times New Roman"/>
          <w:spacing w:val="-2"/>
          <w:sz w:val="16"/>
          <w:u w:val="single"/>
        </w:rPr>
        <w:t xml:space="preserve">3. </w:t>
      </w:r>
      <w:r w:rsidRPr="000844C9">
        <w:rPr>
          <w:rFonts w:ascii="Times New Roman" w:hAnsi="Times New Roman"/>
          <w:spacing w:val="-2"/>
          <w:sz w:val="16"/>
          <w:u w:val="single"/>
        </w:rPr>
        <w:tab/>
        <w:t>Offensichtliche Unbegründetheit:</w:t>
      </w:r>
      <w:r w:rsidRPr="000844C9">
        <w:rPr>
          <w:rFonts w:ascii="Times New Roman" w:hAnsi="Times New Roman"/>
          <w:spacing w:val="-2"/>
          <w:sz w:val="16"/>
        </w:rPr>
        <w:t xml:space="preserve"> Das Revisionsgericht kann auf Antrag der Staatsanwaltschaft (vgl. §</w:t>
      </w:r>
      <w:r w:rsidR="00B319DB">
        <w:rPr>
          <w:rFonts w:ascii="Times New Roman" w:hAnsi="Times New Roman"/>
          <w:spacing w:val="-2"/>
          <w:sz w:val="16"/>
        </w:rPr>
        <w:t> </w:t>
      </w:r>
      <w:r w:rsidRPr="000844C9">
        <w:rPr>
          <w:rFonts w:ascii="Times New Roman" w:hAnsi="Times New Roman"/>
          <w:spacing w:val="-2"/>
          <w:sz w:val="16"/>
        </w:rPr>
        <w:t>349 II StPO) einstimmig (!) die Revision durch Beschluss (ohne mündliche Verhandlung) für offensichtlich unbegründet verwerfen, insbesondere wenn die Rechtsfragen bereits hinreichend geklärt sind und keine neuen Gesichtspunkte mehr zu erwarten sind. Problematisch ist die Praxis mancher Gerichte, den Antrag der Staatsanwaltschaft selbst anzuregen.</w:t>
      </w:r>
    </w:p>
    <w:p w14:paraId="20CA0166" w14:textId="1369D51E" w:rsidR="002877F1" w:rsidRPr="000844C9" w:rsidRDefault="002877F1" w:rsidP="002877F1">
      <w:pPr>
        <w:widowControl/>
        <w:tabs>
          <w:tab w:val="left" w:pos="-720"/>
          <w:tab w:val="left" w:pos="-142"/>
          <w:tab w:val="left" w:pos="288"/>
          <w:tab w:val="left" w:pos="567"/>
          <w:tab w:val="left" w:pos="709"/>
          <w:tab w:val="left" w:pos="851"/>
          <w:tab w:val="left" w:pos="1980"/>
          <w:tab w:val="left" w:pos="2268"/>
          <w:tab w:val="left" w:pos="2880"/>
        </w:tabs>
        <w:spacing w:line="238" w:lineRule="auto"/>
        <w:ind w:left="567" w:hanging="567"/>
        <w:jc w:val="both"/>
        <w:rPr>
          <w:rFonts w:ascii="Times New Roman" w:hAnsi="Times New Roman"/>
          <w:spacing w:val="-2"/>
          <w:sz w:val="16"/>
        </w:rPr>
      </w:pPr>
      <w:r w:rsidRPr="000844C9">
        <w:rPr>
          <w:rFonts w:ascii="Times New Roman" w:hAnsi="Times New Roman"/>
          <w:b/>
          <w:spacing w:val="-2"/>
          <w:sz w:val="16"/>
        </w:rPr>
        <w:tab/>
      </w:r>
      <w:r w:rsidRPr="000844C9">
        <w:rPr>
          <w:rFonts w:ascii="Times New Roman" w:hAnsi="Times New Roman"/>
          <w:spacing w:val="-2"/>
          <w:sz w:val="16"/>
          <w:u w:val="single"/>
        </w:rPr>
        <w:t xml:space="preserve">4. </w:t>
      </w:r>
      <w:r w:rsidRPr="000844C9">
        <w:rPr>
          <w:rFonts w:ascii="Times New Roman" w:hAnsi="Times New Roman"/>
          <w:spacing w:val="-2"/>
          <w:sz w:val="16"/>
          <w:u w:val="single"/>
        </w:rPr>
        <w:tab/>
        <w:t>Offensichtliche Begründetheit:</w:t>
      </w:r>
      <w:r w:rsidRPr="000844C9">
        <w:rPr>
          <w:rFonts w:ascii="Times New Roman" w:hAnsi="Times New Roman"/>
          <w:spacing w:val="-2"/>
          <w:sz w:val="16"/>
        </w:rPr>
        <w:t xml:space="preserve"> Das Revisionsgericht kann aber auch (vgl. §</w:t>
      </w:r>
      <w:r w:rsidR="00B319DB">
        <w:rPr>
          <w:rFonts w:ascii="Times New Roman" w:hAnsi="Times New Roman"/>
          <w:spacing w:val="-2"/>
          <w:sz w:val="16"/>
        </w:rPr>
        <w:t> </w:t>
      </w:r>
      <w:r w:rsidRPr="000844C9">
        <w:rPr>
          <w:rFonts w:ascii="Times New Roman" w:hAnsi="Times New Roman"/>
          <w:spacing w:val="-2"/>
          <w:sz w:val="16"/>
        </w:rPr>
        <w:t>349 IV StPO) einstimmig die Revision durch Beschluss (ohne mündliche Verhandlung) für offensichtlich begründet erachten. Dann wird das Urteil aufgehoben.</w:t>
      </w:r>
    </w:p>
    <w:p w14:paraId="00A4661F" w14:textId="052AFF48" w:rsidR="002877F1" w:rsidRPr="00602BBC" w:rsidRDefault="002877F1" w:rsidP="002877F1">
      <w:pPr>
        <w:widowControl/>
        <w:tabs>
          <w:tab w:val="left" w:pos="-720"/>
          <w:tab w:val="left" w:pos="-142"/>
          <w:tab w:val="left" w:pos="288"/>
          <w:tab w:val="left" w:pos="567"/>
          <w:tab w:val="left" w:pos="709"/>
          <w:tab w:val="left" w:pos="851"/>
          <w:tab w:val="left" w:pos="1980"/>
          <w:tab w:val="left" w:pos="2268"/>
          <w:tab w:val="left" w:pos="2880"/>
        </w:tabs>
        <w:spacing w:line="238" w:lineRule="auto"/>
        <w:ind w:left="567" w:hanging="567"/>
        <w:jc w:val="both"/>
        <w:rPr>
          <w:rFonts w:ascii="Times New Roman" w:hAnsi="Times New Roman"/>
          <w:spacing w:val="-2"/>
          <w:sz w:val="16"/>
          <w:u w:val="single"/>
        </w:rPr>
      </w:pPr>
      <w:r w:rsidRPr="000844C9">
        <w:rPr>
          <w:rFonts w:ascii="Times New Roman" w:hAnsi="Times New Roman"/>
          <w:b/>
          <w:spacing w:val="-2"/>
          <w:sz w:val="16"/>
        </w:rPr>
        <w:tab/>
      </w:r>
      <w:r w:rsidRPr="000844C9">
        <w:rPr>
          <w:rFonts w:ascii="Times New Roman" w:hAnsi="Times New Roman"/>
          <w:spacing w:val="-2"/>
          <w:sz w:val="16"/>
          <w:u w:val="single"/>
        </w:rPr>
        <w:t xml:space="preserve">5. </w:t>
      </w:r>
      <w:r w:rsidRPr="000844C9">
        <w:rPr>
          <w:rFonts w:ascii="Times New Roman" w:hAnsi="Times New Roman"/>
          <w:spacing w:val="-2"/>
          <w:sz w:val="16"/>
          <w:u w:val="single"/>
        </w:rPr>
        <w:tab/>
        <w:t>Einstellung:</w:t>
      </w:r>
      <w:r w:rsidRPr="00DB0C9B">
        <w:rPr>
          <w:rFonts w:ascii="Times New Roman" w:hAnsi="Times New Roman"/>
          <w:spacing w:val="-2"/>
          <w:sz w:val="16"/>
        </w:rPr>
        <w:t xml:space="preserve"> Nach den §§</w:t>
      </w:r>
      <w:r w:rsidR="00B319DB">
        <w:rPr>
          <w:rFonts w:ascii="Times New Roman" w:hAnsi="Times New Roman"/>
          <w:spacing w:val="-2"/>
          <w:sz w:val="16"/>
        </w:rPr>
        <w:t> </w:t>
      </w:r>
      <w:r w:rsidRPr="00DB0C9B">
        <w:rPr>
          <w:rFonts w:ascii="Times New Roman" w:hAnsi="Times New Roman"/>
          <w:spacing w:val="-2"/>
          <w:sz w:val="16"/>
        </w:rPr>
        <w:t>153 Abs. 2, 154 Abs. 2 StPO (nicht jedoch nach §</w:t>
      </w:r>
      <w:r w:rsidR="00B319DB">
        <w:rPr>
          <w:rFonts w:ascii="Times New Roman" w:hAnsi="Times New Roman"/>
          <w:spacing w:val="-2"/>
          <w:sz w:val="16"/>
        </w:rPr>
        <w:t> </w:t>
      </w:r>
      <w:r w:rsidRPr="00DB0C9B">
        <w:rPr>
          <w:rFonts w:ascii="Times New Roman" w:hAnsi="Times New Roman"/>
          <w:spacing w:val="-2"/>
          <w:sz w:val="16"/>
        </w:rPr>
        <w:t>153a StPO!) kann das Gericht das Verfahren außerhalb der Hauptverhandlung jederzeit einstellen bzw. nach §</w:t>
      </w:r>
      <w:r w:rsidR="00B319DB">
        <w:rPr>
          <w:rFonts w:ascii="Times New Roman" w:hAnsi="Times New Roman"/>
          <w:spacing w:val="-2"/>
          <w:sz w:val="16"/>
        </w:rPr>
        <w:t> </w:t>
      </w:r>
      <w:r w:rsidRPr="00DB0C9B">
        <w:rPr>
          <w:rFonts w:ascii="Times New Roman" w:hAnsi="Times New Roman"/>
          <w:spacing w:val="-2"/>
          <w:sz w:val="16"/>
        </w:rPr>
        <w:t>154a Abs. 2 StPO die Verfolgung beschränken. Auch bei einem Verfahrenshindernis ist nach §</w:t>
      </w:r>
      <w:r w:rsidR="00B319DB">
        <w:rPr>
          <w:rFonts w:ascii="Times New Roman" w:hAnsi="Times New Roman"/>
          <w:spacing w:val="-2"/>
          <w:sz w:val="16"/>
        </w:rPr>
        <w:t> </w:t>
      </w:r>
      <w:r w:rsidRPr="00DB0C9B">
        <w:rPr>
          <w:rFonts w:ascii="Times New Roman" w:hAnsi="Times New Roman"/>
          <w:spacing w:val="-2"/>
          <w:sz w:val="16"/>
        </w:rPr>
        <w:t>206a StPO eine Einstellung möglich.</w:t>
      </w:r>
    </w:p>
    <w:p w14:paraId="3DEE725A" w14:textId="465A9F6E" w:rsidR="002877F1" w:rsidRPr="000844C9" w:rsidRDefault="002877F1" w:rsidP="002877F1">
      <w:pPr>
        <w:widowControl/>
        <w:tabs>
          <w:tab w:val="left" w:pos="-720"/>
          <w:tab w:val="left" w:pos="-142"/>
          <w:tab w:val="left" w:pos="288"/>
          <w:tab w:val="left" w:pos="567"/>
          <w:tab w:val="left" w:pos="709"/>
          <w:tab w:val="left" w:pos="851"/>
          <w:tab w:val="left" w:pos="1980"/>
          <w:tab w:val="left" w:pos="2268"/>
          <w:tab w:val="left" w:pos="2880"/>
        </w:tabs>
        <w:spacing w:line="238" w:lineRule="auto"/>
        <w:ind w:left="567" w:hanging="567"/>
        <w:jc w:val="both"/>
        <w:rPr>
          <w:rFonts w:ascii="Times New Roman" w:hAnsi="Times New Roman"/>
          <w:spacing w:val="-2"/>
          <w:sz w:val="16"/>
        </w:rPr>
      </w:pPr>
      <w:r w:rsidRPr="000844C9">
        <w:rPr>
          <w:rFonts w:ascii="Times New Roman" w:hAnsi="Times New Roman"/>
          <w:spacing w:val="-2"/>
          <w:sz w:val="16"/>
        </w:rPr>
        <w:tab/>
      </w:r>
      <w:r w:rsidRPr="000844C9">
        <w:rPr>
          <w:rFonts w:ascii="Times New Roman" w:hAnsi="Times New Roman"/>
          <w:spacing w:val="-2"/>
          <w:sz w:val="16"/>
          <w:u w:val="single"/>
        </w:rPr>
        <w:t xml:space="preserve">6. </w:t>
      </w:r>
      <w:r w:rsidRPr="000844C9">
        <w:rPr>
          <w:rFonts w:ascii="Times New Roman" w:hAnsi="Times New Roman"/>
          <w:spacing w:val="-2"/>
          <w:sz w:val="16"/>
          <w:u w:val="single"/>
        </w:rPr>
        <w:tab/>
        <w:t>Durchführung der Hauptverhandlung (§§</w:t>
      </w:r>
      <w:r w:rsidR="00AF45D4">
        <w:rPr>
          <w:rFonts w:ascii="Times New Roman" w:hAnsi="Times New Roman"/>
          <w:spacing w:val="-2"/>
          <w:sz w:val="16"/>
          <w:u w:val="single"/>
        </w:rPr>
        <w:t> </w:t>
      </w:r>
      <w:r w:rsidRPr="000844C9">
        <w:rPr>
          <w:rFonts w:ascii="Times New Roman" w:hAnsi="Times New Roman"/>
          <w:spacing w:val="-2"/>
          <w:sz w:val="16"/>
          <w:u w:val="single"/>
        </w:rPr>
        <w:t>350, 351 StPO):</w:t>
      </w:r>
      <w:r w:rsidRPr="000844C9">
        <w:rPr>
          <w:rFonts w:ascii="Times New Roman" w:hAnsi="Times New Roman"/>
          <w:spacing w:val="-2"/>
          <w:sz w:val="16"/>
        </w:rPr>
        <w:t xml:space="preserve"> Folgende Entscheidungen sind möglich: a) „Verwerfung als unzulässig“ durch Urteil; b)</w:t>
      </w:r>
      <w:r>
        <w:rPr>
          <w:rFonts w:ascii="Times New Roman" w:hAnsi="Times New Roman"/>
          <w:spacing w:val="-2"/>
          <w:sz w:val="16"/>
        </w:rPr>
        <w:t> </w:t>
      </w:r>
      <w:r w:rsidRPr="000844C9">
        <w:rPr>
          <w:rFonts w:ascii="Times New Roman" w:hAnsi="Times New Roman"/>
          <w:spacing w:val="-2"/>
          <w:sz w:val="16"/>
        </w:rPr>
        <w:t>Einstellung nach §</w:t>
      </w:r>
      <w:r w:rsidR="00B319DB">
        <w:rPr>
          <w:rFonts w:ascii="Times New Roman" w:hAnsi="Times New Roman"/>
          <w:spacing w:val="-2"/>
          <w:sz w:val="16"/>
        </w:rPr>
        <w:t> </w:t>
      </w:r>
      <w:r w:rsidRPr="000844C9">
        <w:rPr>
          <w:rFonts w:ascii="Times New Roman" w:hAnsi="Times New Roman"/>
          <w:spacing w:val="-2"/>
          <w:sz w:val="16"/>
        </w:rPr>
        <w:t>260 III StPO, wenn Prozessvoraussetzung fehlt (</w:t>
      </w:r>
      <w:proofErr w:type="spellStart"/>
      <w:r w:rsidRPr="000844C9">
        <w:rPr>
          <w:rFonts w:ascii="Times New Roman" w:hAnsi="Times New Roman"/>
          <w:spacing w:val="-2"/>
          <w:sz w:val="16"/>
        </w:rPr>
        <w:t>str.</w:t>
      </w:r>
      <w:proofErr w:type="spellEnd"/>
      <w:r w:rsidRPr="000844C9">
        <w:rPr>
          <w:rFonts w:ascii="Times New Roman" w:hAnsi="Times New Roman"/>
          <w:spacing w:val="-2"/>
          <w:sz w:val="16"/>
        </w:rPr>
        <w:t xml:space="preserve"> ob dies auch bei Unzulässigkeit der Revision möglich ist); c) „Verwerfung als unbegründet“ wenn das angefochtene Urteil fehlerfrei ist; d) Aufhebung des angefochtenen Urteils </w:t>
      </w:r>
      <w:r>
        <w:rPr>
          <w:rFonts w:ascii="Times New Roman" w:hAnsi="Times New Roman"/>
          <w:spacing w:val="-2"/>
          <w:sz w:val="16"/>
        </w:rPr>
        <w:t>(bei erfolgreicher Verfahrensrüge mit</w:t>
      </w:r>
      <w:r w:rsidRPr="000844C9">
        <w:rPr>
          <w:rFonts w:ascii="Times New Roman" w:hAnsi="Times New Roman"/>
          <w:spacing w:val="-2"/>
          <w:sz w:val="16"/>
        </w:rPr>
        <w:t>samt der vom Fehler betroffenen tatsächlichen Feststellungen nach §</w:t>
      </w:r>
      <w:r w:rsidR="00B319DB">
        <w:rPr>
          <w:rFonts w:ascii="Times New Roman" w:hAnsi="Times New Roman"/>
          <w:spacing w:val="-2"/>
          <w:sz w:val="16"/>
        </w:rPr>
        <w:t> </w:t>
      </w:r>
      <w:r w:rsidRPr="000844C9">
        <w:rPr>
          <w:rFonts w:ascii="Times New Roman" w:hAnsi="Times New Roman"/>
          <w:spacing w:val="-2"/>
          <w:sz w:val="16"/>
        </w:rPr>
        <w:t>353 I, II StPO</w:t>
      </w:r>
      <w:r>
        <w:rPr>
          <w:rFonts w:ascii="Times New Roman" w:hAnsi="Times New Roman"/>
          <w:spacing w:val="-2"/>
          <w:sz w:val="16"/>
        </w:rPr>
        <w:t>)</w:t>
      </w:r>
      <w:r w:rsidRPr="000844C9">
        <w:rPr>
          <w:rFonts w:ascii="Times New Roman" w:hAnsi="Times New Roman"/>
          <w:spacing w:val="-2"/>
          <w:sz w:val="16"/>
        </w:rPr>
        <w:t xml:space="preserve">, wenn Revision begründet ist. </w:t>
      </w:r>
      <w:r w:rsidRPr="00A707B7">
        <w:rPr>
          <w:rFonts w:ascii="Times New Roman" w:hAnsi="Times New Roman"/>
          <w:spacing w:val="-2"/>
          <w:sz w:val="16"/>
        </w:rPr>
        <w:t>Gleichzeitig</w:t>
      </w:r>
      <w:r w:rsidRPr="000844C9">
        <w:rPr>
          <w:rFonts w:ascii="Times New Roman" w:hAnsi="Times New Roman"/>
          <w:spacing w:val="-2"/>
          <w:sz w:val="16"/>
        </w:rPr>
        <w:t xml:space="preserve"> entweder Zurückverweisung an die Vorinstanz, §</w:t>
      </w:r>
      <w:r w:rsidR="006C026E">
        <w:rPr>
          <w:rFonts w:ascii="Times New Roman" w:hAnsi="Times New Roman"/>
          <w:spacing w:val="-2"/>
          <w:sz w:val="16"/>
        </w:rPr>
        <w:t> </w:t>
      </w:r>
      <w:r w:rsidRPr="000844C9">
        <w:rPr>
          <w:rFonts w:ascii="Times New Roman" w:hAnsi="Times New Roman"/>
          <w:spacing w:val="-2"/>
          <w:sz w:val="16"/>
        </w:rPr>
        <w:t>354 II StPO, oder (ausnahmsweise) nach §</w:t>
      </w:r>
      <w:r w:rsidR="00B319DB">
        <w:rPr>
          <w:rFonts w:ascii="Times New Roman" w:hAnsi="Times New Roman"/>
          <w:spacing w:val="-2"/>
          <w:sz w:val="16"/>
        </w:rPr>
        <w:t> </w:t>
      </w:r>
      <w:r w:rsidRPr="000844C9">
        <w:rPr>
          <w:rFonts w:ascii="Times New Roman" w:hAnsi="Times New Roman"/>
          <w:spacing w:val="-2"/>
          <w:sz w:val="16"/>
        </w:rPr>
        <w:t>354 I StPO eigene Sachentscheidung; e) Schuldspruchberichtigung, §</w:t>
      </w:r>
      <w:r w:rsidR="00B319DB">
        <w:rPr>
          <w:rFonts w:ascii="Times New Roman" w:hAnsi="Times New Roman"/>
          <w:spacing w:val="-2"/>
          <w:sz w:val="16"/>
        </w:rPr>
        <w:t> </w:t>
      </w:r>
      <w:r w:rsidRPr="000844C9">
        <w:rPr>
          <w:rFonts w:ascii="Times New Roman" w:hAnsi="Times New Roman"/>
          <w:spacing w:val="-2"/>
          <w:sz w:val="16"/>
        </w:rPr>
        <w:t>354 I StPO analog.</w:t>
      </w:r>
    </w:p>
    <w:p w14:paraId="7FA5BE49" w14:textId="1DA310DC" w:rsidR="002877F1" w:rsidRPr="000844C9" w:rsidRDefault="002877F1" w:rsidP="002877F1">
      <w:pPr>
        <w:widowControl/>
        <w:tabs>
          <w:tab w:val="left" w:pos="-720"/>
          <w:tab w:val="left" w:pos="-142"/>
          <w:tab w:val="left" w:pos="288"/>
          <w:tab w:val="left" w:pos="567"/>
          <w:tab w:val="left" w:pos="709"/>
          <w:tab w:val="left" w:pos="851"/>
          <w:tab w:val="left" w:pos="1980"/>
          <w:tab w:val="left" w:pos="2268"/>
          <w:tab w:val="left" w:pos="2880"/>
        </w:tabs>
        <w:spacing w:line="238" w:lineRule="auto"/>
        <w:ind w:left="567" w:hanging="567"/>
        <w:jc w:val="both"/>
        <w:rPr>
          <w:rFonts w:ascii="Times New Roman" w:hAnsi="Times New Roman"/>
          <w:spacing w:val="-2"/>
          <w:sz w:val="16"/>
        </w:rPr>
      </w:pPr>
      <w:r w:rsidRPr="000844C9">
        <w:rPr>
          <w:rFonts w:ascii="Times New Roman" w:hAnsi="Times New Roman"/>
          <w:b/>
          <w:spacing w:val="-2"/>
          <w:sz w:val="16"/>
        </w:rPr>
        <w:tab/>
      </w:r>
      <w:r w:rsidRPr="000844C9">
        <w:rPr>
          <w:rFonts w:ascii="Times New Roman" w:hAnsi="Times New Roman"/>
          <w:spacing w:val="-2"/>
          <w:sz w:val="16"/>
          <w:u w:val="single"/>
        </w:rPr>
        <w:t xml:space="preserve">7. </w:t>
      </w:r>
      <w:r w:rsidRPr="000844C9">
        <w:rPr>
          <w:rFonts w:ascii="Times New Roman" w:hAnsi="Times New Roman"/>
          <w:spacing w:val="-2"/>
          <w:sz w:val="16"/>
          <w:u w:val="single"/>
        </w:rPr>
        <w:tab/>
        <w:t>Revisionserstreckung auf Mitangeklagte:</w:t>
      </w:r>
      <w:r w:rsidRPr="000844C9">
        <w:rPr>
          <w:rFonts w:ascii="Times New Roman" w:hAnsi="Times New Roman"/>
          <w:spacing w:val="-2"/>
          <w:sz w:val="16"/>
        </w:rPr>
        <w:t xml:space="preserve"> </w:t>
      </w:r>
      <w:r w:rsidR="00AF45D4">
        <w:rPr>
          <w:rFonts w:ascii="Times New Roman" w:hAnsi="Times New Roman"/>
          <w:spacing w:val="-2"/>
          <w:sz w:val="16"/>
        </w:rPr>
        <w:t>S</w:t>
      </w:r>
      <w:r w:rsidRPr="000844C9">
        <w:rPr>
          <w:rFonts w:ascii="Times New Roman" w:hAnsi="Times New Roman"/>
          <w:spacing w:val="-2"/>
          <w:sz w:val="16"/>
        </w:rPr>
        <w:t>oweit die Voraussetzungen des §</w:t>
      </w:r>
      <w:r w:rsidR="00B319DB">
        <w:rPr>
          <w:rFonts w:ascii="Times New Roman" w:hAnsi="Times New Roman"/>
          <w:spacing w:val="-2"/>
          <w:sz w:val="16"/>
        </w:rPr>
        <w:t> </w:t>
      </w:r>
      <w:r w:rsidRPr="000844C9">
        <w:rPr>
          <w:rFonts w:ascii="Times New Roman" w:hAnsi="Times New Roman"/>
          <w:spacing w:val="-2"/>
          <w:sz w:val="16"/>
        </w:rPr>
        <w:t>357 StPO vorliegen.</w:t>
      </w:r>
    </w:p>
    <w:p w14:paraId="1481E8CA" w14:textId="77777777" w:rsidR="002877F1" w:rsidRDefault="002877F1" w:rsidP="002877F1">
      <w:pPr>
        <w:widowControl/>
        <w:tabs>
          <w:tab w:val="left" w:pos="-720"/>
          <w:tab w:val="left" w:pos="0"/>
          <w:tab w:val="left" w:pos="288"/>
          <w:tab w:val="left" w:pos="576"/>
          <w:tab w:val="left" w:pos="864"/>
          <w:tab w:val="left" w:pos="1116"/>
          <w:tab w:val="left" w:pos="1404"/>
          <w:tab w:val="left" w:pos="1692"/>
          <w:tab w:val="left" w:pos="1980"/>
          <w:tab w:val="left" w:pos="2268"/>
          <w:tab w:val="left" w:pos="2880"/>
        </w:tabs>
        <w:jc w:val="both"/>
        <w:rPr>
          <w:rFonts w:ascii="Times New Roman" w:hAnsi="Times New Roman"/>
          <w:b/>
          <w:spacing w:val="-2"/>
          <w:sz w:val="14"/>
          <w:szCs w:val="14"/>
        </w:rPr>
      </w:pPr>
    </w:p>
    <w:p w14:paraId="56CC4102" w14:textId="233ED655" w:rsidR="002877F1" w:rsidRPr="00C72D1D" w:rsidRDefault="002877F1" w:rsidP="002877F1">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233" w:lineRule="auto"/>
        <w:ind w:left="1980" w:hanging="1980"/>
        <w:jc w:val="both"/>
        <w:rPr>
          <w:rFonts w:ascii="Times New Roman" w:hAnsi="Times New Roman"/>
          <w:spacing w:val="-2"/>
          <w:sz w:val="13"/>
          <w:szCs w:val="13"/>
        </w:rPr>
      </w:pPr>
      <w:r w:rsidRPr="00C72D1D">
        <w:rPr>
          <w:rFonts w:ascii="Times New Roman" w:hAnsi="Times New Roman"/>
          <w:b/>
          <w:spacing w:val="-2"/>
          <w:sz w:val="13"/>
          <w:szCs w:val="13"/>
        </w:rPr>
        <w:t xml:space="preserve">Literatur/Lehrbücher: </w:t>
      </w:r>
      <w:r w:rsidRPr="00C72D1D">
        <w:rPr>
          <w:rFonts w:ascii="Times New Roman" w:hAnsi="Times New Roman"/>
          <w:b/>
          <w:spacing w:val="-2"/>
          <w:sz w:val="13"/>
          <w:szCs w:val="13"/>
        </w:rPr>
        <w:tab/>
      </w:r>
      <w:r w:rsidRPr="00C72D1D">
        <w:rPr>
          <w:rFonts w:ascii="Times New Roman" w:hAnsi="Times New Roman"/>
          <w:i/>
          <w:spacing w:val="-2"/>
          <w:sz w:val="13"/>
          <w:szCs w:val="13"/>
        </w:rPr>
        <w:t>Heinrich/Reinbacher</w:t>
      </w:r>
      <w:r w:rsidRPr="00C72D1D">
        <w:rPr>
          <w:rFonts w:ascii="Times New Roman" w:hAnsi="Times New Roman"/>
          <w:spacing w:val="-2"/>
          <w:sz w:val="13"/>
          <w:szCs w:val="13"/>
        </w:rPr>
        <w:t xml:space="preserve">, Examinatorium Strafprozessrecht, </w:t>
      </w:r>
      <w:r w:rsidR="00F7184C" w:rsidRPr="00C72D1D">
        <w:rPr>
          <w:rFonts w:ascii="Times New Roman" w:hAnsi="Times New Roman"/>
          <w:spacing w:val="-2"/>
          <w:sz w:val="13"/>
          <w:szCs w:val="13"/>
        </w:rPr>
        <w:t>4</w:t>
      </w:r>
      <w:r w:rsidRPr="00C72D1D">
        <w:rPr>
          <w:rFonts w:ascii="Times New Roman" w:hAnsi="Times New Roman"/>
          <w:spacing w:val="-2"/>
          <w:sz w:val="13"/>
          <w:szCs w:val="13"/>
        </w:rPr>
        <w:t>. Auflage 202</w:t>
      </w:r>
      <w:r w:rsidR="00F7184C" w:rsidRPr="00C72D1D">
        <w:rPr>
          <w:rFonts w:ascii="Times New Roman" w:hAnsi="Times New Roman"/>
          <w:spacing w:val="-2"/>
          <w:sz w:val="13"/>
          <w:szCs w:val="13"/>
        </w:rPr>
        <w:t>3</w:t>
      </w:r>
      <w:r w:rsidRPr="00C72D1D">
        <w:rPr>
          <w:rFonts w:ascii="Times New Roman" w:hAnsi="Times New Roman"/>
          <w:spacing w:val="-2"/>
          <w:sz w:val="13"/>
          <w:szCs w:val="13"/>
        </w:rPr>
        <w:t>, Problem 45.</w:t>
      </w:r>
    </w:p>
    <w:p w14:paraId="74E6C955" w14:textId="77777777" w:rsidR="002877F1" w:rsidRPr="00C72D1D" w:rsidRDefault="002877F1" w:rsidP="002877F1">
      <w:pPr>
        <w:widowControl/>
        <w:tabs>
          <w:tab w:val="left" w:pos="-720"/>
          <w:tab w:val="left" w:pos="0"/>
          <w:tab w:val="left" w:pos="288"/>
          <w:tab w:val="left" w:pos="576"/>
          <w:tab w:val="left" w:pos="864"/>
          <w:tab w:val="left" w:pos="1116"/>
          <w:tab w:val="left" w:pos="1404"/>
          <w:tab w:val="left" w:pos="2268"/>
          <w:tab w:val="left" w:pos="2880"/>
        </w:tabs>
        <w:spacing w:line="233" w:lineRule="auto"/>
        <w:ind w:left="1418" w:hanging="1418"/>
        <w:jc w:val="both"/>
        <w:rPr>
          <w:rFonts w:ascii="Times New Roman" w:hAnsi="Times New Roman"/>
          <w:spacing w:val="-2"/>
          <w:sz w:val="13"/>
          <w:szCs w:val="13"/>
        </w:rPr>
      </w:pPr>
      <w:r w:rsidRPr="00C72D1D">
        <w:rPr>
          <w:rFonts w:ascii="Times New Roman" w:hAnsi="Times New Roman"/>
          <w:b/>
          <w:spacing w:val="-2"/>
          <w:sz w:val="13"/>
          <w:szCs w:val="13"/>
        </w:rPr>
        <w:t>Literatur/Aufsätze:</w:t>
      </w:r>
      <w:r w:rsidRPr="00C72D1D">
        <w:rPr>
          <w:rFonts w:ascii="Times New Roman" w:hAnsi="Times New Roman"/>
          <w:b/>
          <w:spacing w:val="-2"/>
          <w:sz w:val="13"/>
          <w:szCs w:val="13"/>
        </w:rPr>
        <w:tab/>
      </w:r>
      <w:r w:rsidRPr="00C72D1D">
        <w:rPr>
          <w:rFonts w:ascii="Times New Roman" w:hAnsi="Times New Roman"/>
          <w:b/>
          <w:spacing w:val="-2"/>
          <w:sz w:val="13"/>
          <w:szCs w:val="13"/>
        </w:rPr>
        <w:tab/>
      </w:r>
      <w:r w:rsidRPr="00C72D1D">
        <w:rPr>
          <w:rFonts w:ascii="Times New Roman" w:hAnsi="Times New Roman"/>
          <w:i/>
          <w:spacing w:val="-2"/>
          <w:sz w:val="13"/>
          <w:szCs w:val="13"/>
        </w:rPr>
        <w:t>Barton</w:t>
      </w:r>
      <w:r w:rsidRPr="00C72D1D">
        <w:rPr>
          <w:rFonts w:ascii="Times New Roman" w:hAnsi="Times New Roman"/>
          <w:spacing w:val="-2"/>
          <w:sz w:val="13"/>
          <w:szCs w:val="13"/>
        </w:rPr>
        <w:t xml:space="preserve">, Die Abgrenzung der Sach- von der Verfahrensrüge bei der klassischen und der erweiterten Revision in Strafsachen, </w:t>
      </w:r>
      <w:proofErr w:type="spellStart"/>
      <w:r w:rsidRPr="00C72D1D">
        <w:rPr>
          <w:rFonts w:ascii="Times New Roman" w:hAnsi="Times New Roman"/>
          <w:spacing w:val="-2"/>
          <w:sz w:val="13"/>
          <w:szCs w:val="13"/>
        </w:rPr>
        <w:t>JuS</w:t>
      </w:r>
      <w:proofErr w:type="spellEnd"/>
      <w:r w:rsidRPr="00C72D1D">
        <w:rPr>
          <w:rFonts w:ascii="Times New Roman" w:hAnsi="Times New Roman"/>
          <w:spacing w:val="-2"/>
          <w:sz w:val="13"/>
          <w:szCs w:val="13"/>
        </w:rPr>
        <w:t xml:space="preserve"> 2007, 977; </w:t>
      </w:r>
      <w:proofErr w:type="spellStart"/>
      <w:r w:rsidRPr="00C72D1D">
        <w:rPr>
          <w:rFonts w:ascii="Times New Roman" w:hAnsi="Times New Roman"/>
          <w:i/>
          <w:spacing w:val="-2"/>
          <w:sz w:val="13"/>
          <w:szCs w:val="13"/>
        </w:rPr>
        <w:t>Bertheau</w:t>
      </w:r>
      <w:proofErr w:type="spellEnd"/>
      <w:r w:rsidRPr="00C72D1D">
        <w:rPr>
          <w:rFonts w:ascii="Times New Roman" w:hAnsi="Times New Roman"/>
          <w:spacing w:val="-2"/>
          <w:sz w:val="13"/>
          <w:szCs w:val="13"/>
        </w:rPr>
        <w:t xml:space="preserve">, Rügeverkümmerung – Verkümmerung der Revision in Strafsachen, NJW 2010, 973; </w:t>
      </w:r>
      <w:r w:rsidRPr="00C72D1D">
        <w:rPr>
          <w:rFonts w:ascii="Times New Roman" w:hAnsi="Times New Roman"/>
          <w:i/>
          <w:spacing w:val="-2"/>
          <w:sz w:val="13"/>
          <w:szCs w:val="13"/>
        </w:rPr>
        <w:t>Bick</w:t>
      </w:r>
      <w:r w:rsidRPr="00C72D1D">
        <w:rPr>
          <w:rFonts w:ascii="Times New Roman" w:hAnsi="Times New Roman"/>
          <w:spacing w:val="-2"/>
          <w:sz w:val="13"/>
          <w:szCs w:val="13"/>
        </w:rPr>
        <w:t xml:space="preserve">, Die Verfahrensrüge in der Revision in Strafsachen, JA 2001, 691; </w:t>
      </w:r>
      <w:proofErr w:type="spellStart"/>
      <w:r w:rsidRPr="00C72D1D">
        <w:rPr>
          <w:rFonts w:ascii="Times New Roman" w:hAnsi="Times New Roman"/>
          <w:i/>
          <w:spacing w:val="-2"/>
          <w:sz w:val="13"/>
          <w:szCs w:val="13"/>
        </w:rPr>
        <w:t>Bloy</w:t>
      </w:r>
      <w:proofErr w:type="spellEnd"/>
      <w:r w:rsidRPr="00C72D1D">
        <w:rPr>
          <w:rFonts w:ascii="Times New Roman" w:hAnsi="Times New Roman"/>
          <w:spacing w:val="-2"/>
          <w:sz w:val="13"/>
          <w:szCs w:val="13"/>
        </w:rPr>
        <w:t xml:space="preserve">, Die Ausgestaltung der Rechtsmittel im deutschen </w:t>
      </w:r>
      <w:proofErr w:type="spellStart"/>
      <w:r w:rsidRPr="00C72D1D">
        <w:rPr>
          <w:rFonts w:ascii="Times New Roman" w:hAnsi="Times New Roman"/>
          <w:spacing w:val="-2"/>
          <w:sz w:val="13"/>
          <w:szCs w:val="13"/>
        </w:rPr>
        <w:t>Strafprozeßrecht</w:t>
      </w:r>
      <w:proofErr w:type="spellEnd"/>
      <w:r w:rsidRPr="00C72D1D">
        <w:rPr>
          <w:rFonts w:ascii="Times New Roman" w:hAnsi="Times New Roman"/>
          <w:spacing w:val="-2"/>
          <w:sz w:val="13"/>
          <w:szCs w:val="13"/>
        </w:rPr>
        <w:t xml:space="preserve">, </w:t>
      </w:r>
      <w:proofErr w:type="spellStart"/>
      <w:r w:rsidRPr="00C72D1D">
        <w:rPr>
          <w:rFonts w:ascii="Times New Roman" w:hAnsi="Times New Roman"/>
          <w:spacing w:val="-2"/>
          <w:sz w:val="13"/>
          <w:szCs w:val="13"/>
        </w:rPr>
        <w:t>JuS</w:t>
      </w:r>
      <w:proofErr w:type="spellEnd"/>
      <w:r w:rsidRPr="00C72D1D">
        <w:rPr>
          <w:rFonts w:ascii="Times New Roman" w:hAnsi="Times New Roman"/>
          <w:spacing w:val="-2"/>
          <w:sz w:val="13"/>
          <w:szCs w:val="13"/>
        </w:rPr>
        <w:t xml:space="preserve"> 1986, 585 (593); </w:t>
      </w:r>
      <w:r w:rsidRPr="00C72D1D">
        <w:rPr>
          <w:rFonts w:ascii="Times New Roman" w:hAnsi="Times New Roman"/>
          <w:i/>
          <w:spacing w:val="-2"/>
          <w:sz w:val="13"/>
          <w:szCs w:val="13"/>
        </w:rPr>
        <w:t>Bock</w:t>
      </w:r>
      <w:r w:rsidRPr="00C72D1D">
        <w:rPr>
          <w:rFonts w:ascii="Times New Roman" w:hAnsi="Times New Roman"/>
          <w:spacing w:val="-2"/>
          <w:sz w:val="13"/>
          <w:szCs w:val="13"/>
        </w:rPr>
        <w:t xml:space="preserve">, Die Entscheidungen des Revisionsgerichts in Strafsachen, JA 2011, 134; </w:t>
      </w:r>
      <w:r w:rsidRPr="00C72D1D">
        <w:rPr>
          <w:rFonts w:ascii="Times New Roman" w:hAnsi="Times New Roman"/>
          <w:i/>
          <w:spacing w:val="-2"/>
          <w:sz w:val="13"/>
          <w:szCs w:val="13"/>
        </w:rPr>
        <w:t>Bosch</w:t>
      </w:r>
      <w:r w:rsidRPr="00C72D1D">
        <w:rPr>
          <w:rFonts w:ascii="Times New Roman" w:hAnsi="Times New Roman"/>
          <w:spacing w:val="-2"/>
          <w:sz w:val="13"/>
          <w:szCs w:val="13"/>
        </w:rPr>
        <w:t xml:space="preserve">, Beweiskraft des Protokolls bei Protokollberichtigung, JA 2006, 578; </w:t>
      </w:r>
      <w:r w:rsidRPr="00C72D1D">
        <w:rPr>
          <w:rFonts w:ascii="Times New Roman" w:hAnsi="Times New Roman"/>
          <w:i/>
          <w:spacing w:val="-2"/>
          <w:sz w:val="13"/>
          <w:szCs w:val="13"/>
        </w:rPr>
        <w:t>Dallmeyer</w:t>
      </w:r>
      <w:r w:rsidRPr="00C72D1D">
        <w:rPr>
          <w:rFonts w:ascii="Times New Roman" w:hAnsi="Times New Roman"/>
          <w:spacing w:val="-2"/>
          <w:sz w:val="13"/>
          <w:szCs w:val="13"/>
        </w:rPr>
        <w:t xml:space="preserve">, Substantiierungsanforderungen bei Verfahrensrüge, JA 2005, 768; </w:t>
      </w:r>
      <w:r w:rsidR="00673197" w:rsidRPr="00C72D1D">
        <w:rPr>
          <w:rFonts w:ascii="Times New Roman" w:hAnsi="Times New Roman"/>
          <w:i/>
          <w:spacing w:val="-2"/>
          <w:sz w:val="13"/>
          <w:szCs w:val="13"/>
        </w:rPr>
        <w:t>Fuhrmann</w:t>
      </w:r>
      <w:r w:rsidR="00673197" w:rsidRPr="00C72D1D">
        <w:rPr>
          <w:rFonts w:ascii="Times New Roman" w:hAnsi="Times New Roman"/>
          <w:spacing w:val="-2"/>
          <w:sz w:val="13"/>
          <w:szCs w:val="13"/>
        </w:rPr>
        <w:t xml:space="preserve">, Zahlen in der strafrechtlichen Revisionsklausur, JA 2022, 321; </w:t>
      </w:r>
      <w:r w:rsidRPr="00C72D1D">
        <w:rPr>
          <w:rFonts w:ascii="Times New Roman" w:hAnsi="Times New Roman"/>
          <w:i/>
          <w:spacing w:val="-2"/>
          <w:sz w:val="13"/>
          <w:szCs w:val="13"/>
        </w:rPr>
        <w:t>v. </w:t>
      </w:r>
      <w:proofErr w:type="spellStart"/>
      <w:r w:rsidRPr="00C72D1D">
        <w:rPr>
          <w:rFonts w:ascii="Times New Roman" w:hAnsi="Times New Roman"/>
          <w:i/>
          <w:spacing w:val="-2"/>
          <w:sz w:val="13"/>
          <w:szCs w:val="13"/>
        </w:rPr>
        <w:t>Heintschel-Heinegg</w:t>
      </w:r>
      <w:proofErr w:type="spellEnd"/>
      <w:r w:rsidRPr="00C72D1D">
        <w:rPr>
          <w:rFonts w:ascii="Times New Roman" w:hAnsi="Times New Roman"/>
          <w:spacing w:val="-2"/>
          <w:sz w:val="13"/>
          <w:szCs w:val="13"/>
        </w:rPr>
        <w:t xml:space="preserve">, Rügepräklusion bei fehlerhafter Gewährung eines Auskunftsverweigerungsrechts, JA 2007, 312; </w:t>
      </w:r>
      <w:r w:rsidRPr="00C72D1D">
        <w:rPr>
          <w:rFonts w:ascii="Times New Roman" w:hAnsi="Times New Roman"/>
          <w:bCs/>
          <w:i/>
          <w:spacing w:val="-2"/>
          <w:sz w:val="13"/>
          <w:szCs w:val="13"/>
        </w:rPr>
        <w:t>Knauer</w:t>
      </w:r>
      <w:r w:rsidRPr="00C72D1D">
        <w:rPr>
          <w:rFonts w:ascii="Times New Roman" w:hAnsi="Times New Roman"/>
          <w:bCs/>
          <w:spacing w:val="-2"/>
          <w:sz w:val="13"/>
          <w:szCs w:val="13"/>
        </w:rPr>
        <w:t xml:space="preserve">, Vom Wesen und Zweck der Revision, NStZ 2016, 1; </w:t>
      </w:r>
      <w:r w:rsidRPr="00C72D1D">
        <w:rPr>
          <w:rFonts w:ascii="Times New Roman" w:hAnsi="Times New Roman"/>
          <w:i/>
          <w:spacing w:val="-2"/>
          <w:sz w:val="13"/>
          <w:szCs w:val="13"/>
        </w:rPr>
        <w:t>Kudlich</w:t>
      </w:r>
      <w:r w:rsidRPr="00C72D1D">
        <w:rPr>
          <w:rFonts w:ascii="Times New Roman" w:hAnsi="Times New Roman"/>
          <w:spacing w:val="-2"/>
          <w:sz w:val="13"/>
          <w:szCs w:val="13"/>
        </w:rPr>
        <w:t xml:space="preserve">, Verwerfung einer Richterablehnung nach Vorbefassung, JA 2006, 253;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xml:space="preserve">, Rügeverkümmerung – Beweiskraft des Protokolls bei Protokollberichtigung, JA 2007, 822; </w:t>
      </w:r>
      <w:r w:rsidR="000B76E9" w:rsidRPr="00C72D1D">
        <w:rPr>
          <w:rFonts w:ascii="Times New Roman" w:hAnsi="Times New Roman"/>
          <w:i/>
          <w:spacing w:val="-2"/>
          <w:sz w:val="13"/>
          <w:szCs w:val="13"/>
        </w:rPr>
        <w:t>Linke</w:t>
      </w:r>
      <w:r w:rsidR="000B76E9" w:rsidRPr="00C72D1D">
        <w:rPr>
          <w:rFonts w:ascii="Times New Roman" w:hAnsi="Times New Roman"/>
          <w:spacing w:val="-2"/>
          <w:sz w:val="13"/>
          <w:szCs w:val="13"/>
        </w:rPr>
        <w:t xml:space="preserve">, Die strafprozessuale Revision – Ein Klausurleitfaden, JA 2022, 948, 1027; </w:t>
      </w:r>
      <w:r w:rsidRPr="00C72D1D">
        <w:rPr>
          <w:rFonts w:ascii="Times New Roman" w:hAnsi="Times New Roman"/>
          <w:i/>
          <w:spacing w:val="-2"/>
          <w:sz w:val="13"/>
          <w:szCs w:val="13"/>
        </w:rPr>
        <w:t>Lips</w:t>
      </w:r>
      <w:r w:rsidRPr="00C72D1D">
        <w:rPr>
          <w:rFonts w:ascii="Times New Roman" w:hAnsi="Times New Roman"/>
          <w:spacing w:val="-2"/>
          <w:sz w:val="13"/>
          <w:szCs w:val="13"/>
        </w:rPr>
        <w:t xml:space="preserve">, Die strafprozessuale Verfahrensrüge, JA 2006, 719; </w:t>
      </w:r>
      <w:r w:rsidRPr="00C72D1D">
        <w:rPr>
          <w:rFonts w:ascii="Times New Roman" w:hAnsi="Times New Roman"/>
          <w:i/>
          <w:spacing w:val="-2"/>
          <w:sz w:val="13"/>
          <w:szCs w:val="13"/>
        </w:rPr>
        <w:t>Momsen/Moldenhauer</w:t>
      </w:r>
      <w:r w:rsidRPr="00C72D1D">
        <w:rPr>
          <w:rFonts w:ascii="Times New Roman" w:hAnsi="Times New Roman"/>
          <w:spacing w:val="-2"/>
          <w:sz w:val="13"/>
          <w:szCs w:val="13"/>
        </w:rPr>
        <w:t xml:space="preserve">, Absprachen im Strafprozess aus revisionsrechtlicher Sicht, JA 2002, 415; </w:t>
      </w:r>
      <w:r w:rsidRPr="00C72D1D">
        <w:rPr>
          <w:rFonts w:ascii="Times New Roman" w:hAnsi="Times New Roman"/>
          <w:i/>
          <w:spacing w:val="-2"/>
          <w:sz w:val="13"/>
          <w:szCs w:val="13"/>
        </w:rPr>
        <w:t>Niemöller</w:t>
      </w:r>
      <w:r w:rsidRPr="00C72D1D">
        <w:rPr>
          <w:rFonts w:ascii="Times New Roman" w:hAnsi="Times New Roman"/>
          <w:spacing w:val="-2"/>
          <w:sz w:val="13"/>
          <w:szCs w:val="13"/>
        </w:rPr>
        <w:t xml:space="preserve">, </w:t>
      </w:r>
      <w:proofErr w:type="spellStart"/>
      <w:r w:rsidRPr="00C72D1D">
        <w:rPr>
          <w:rFonts w:ascii="Times New Roman" w:hAnsi="Times New Roman"/>
          <w:spacing w:val="-2"/>
          <w:sz w:val="13"/>
          <w:szCs w:val="13"/>
        </w:rPr>
        <w:t>Beruhensprüfung</w:t>
      </w:r>
      <w:proofErr w:type="spellEnd"/>
      <w:r w:rsidRPr="00C72D1D">
        <w:rPr>
          <w:rFonts w:ascii="Times New Roman" w:hAnsi="Times New Roman"/>
          <w:spacing w:val="-2"/>
          <w:sz w:val="13"/>
          <w:szCs w:val="13"/>
        </w:rPr>
        <w:t xml:space="preserve"> bei Verfahrensfehlern, NStZ 2015, 489; </w:t>
      </w:r>
      <w:r w:rsidRPr="00C72D1D">
        <w:rPr>
          <w:rFonts w:ascii="Times New Roman" w:hAnsi="Times New Roman"/>
          <w:i/>
          <w:spacing w:val="-2"/>
          <w:sz w:val="13"/>
          <w:szCs w:val="13"/>
        </w:rPr>
        <w:t>Knauer</w:t>
      </w:r>
      <w:r w:rsidRPr="00C72D1D">
        <w:rPr>
          <w:rFonts w:ascii="Times New Roman" w:hAnsi="Times New Roman"/>
          <w:spacing w:val="-2"/>
          <w:sz w:val="13"/>
          <w:szCs w:val="13"/>
        </w:rPr>
        <w:t xml:space="preserve">, Vom Wesen und Zweck der Revision, NStZ 2016, 1; </w:t>
      </w:r>
      <w:r w:rsidRPr="00C72D1D">
        <w:rPr>
          <w:rFonts w:ascii="Times New Roman" w:hAnsi="Times New Roman"/>
          <w:i/>
          <w:spacing w:val="-2"/>
          <w:sz w:val="13"/>
          <w:szCs w:val="13"/>
        </w:rPr>
        <w:t>Ranft</w:t>
      </w:r>
      <w:r w:rsidRPr="00C72D1D">
        <w:rPr>
          <w:rFonts w:ascii="Times New Roman" w:hAnsi="Times New Roman"/>
          <w:spacing w:val="-2"/>
          <w:sz w:val="13"/>
          <w:szCs w:val="13"/>
        </w:rPr>
        <w:t xml:space="preserve">, Die auf Verletzung des § 252 StPO gestützte Revisionsrüge bei Verzicht des Zeugen auf das Verwertungsverbot, JURA 2000, 628; </w:t>
      </w:r>
      <w:r w:rsidRPr="00C72D1D">
        <w:rPr>
          <w:rFonts w:ascii="Times New Roman" w:hAnsi="Times New Roman"/>
          <w:i/>
          <w:spacing w:val="-2"/>
          <w:sz w:val="13"/>
          <w:szCs w:val="13"/>
        </w:rPr>
        <w:t>Schneider</w:t>
      </w:r>
      <w:r w:rsidRPr="00C72D1D">
        <w:rPr>
          <w:rFonts w:ascii="Times New Roman" w:hAnsi="Times New Roman"/>
          <w:spacing w:val="-2"/>
          <w:sz w:val="13"/>
          <w:szCs w:val="13"/>
        </w:rPr>
        <w:t xml:space="preserve">, Thesen zur Revision in Strafsachen mit Blick auf das Verhältnis der Sachrüge zur Verfahrensrüge, NStZ 2019, 324; </w:t>
      </w:r>
      <w:r w:rsidRPr="00C72D1D">
        <w:rPr>
          <w:rFonts w:ascii="Times New Roman" w:hAnsi="Times New Roman"/>
          <w:i/>
          <w:spacing w:val="-2"/>
          <w:sz w:val="13"/>
          <w:szCs w:val="13"/>
        </w:rPr>
        <w:t>Stolz</w:t>
      </w:r>
      <w:r w:rsidRPr="00C72D1D">
        <w:rPr>
          <w:rFonts w:ascii="Times New Roman" w:hAnsi="Times New Roman"/>
          <w:spacing w:val="-2"/>
          <w:sz w:val="13"/>
          <w:szCs w:val="13"/>
        </w:rPr>
        <w:t xml:space="preserve">, Die Abgrenzung zwischen Sach- und Verfahrensrüge bei Revisionsangriffen gegen die Beweiswürdigung, </w:t>
      </w:r>
      <w:proofErr w:type="spellStart"/>
      <w:r w:rsidRPr="00C72D1D">
        <w:rPr>
          <w:rFonts w:ascii="Times New Roman" w:hAnsi="Times New Roman"/>
          <w:spacing w:val="-2"/>
          <w:sz w:val="13"/>
          <w:szCs w:val="13"/>
        </w:rPr>
        <w:t>JuS</w:t>
      </w:r>
      <w:proofErr w:type="spellEnd"/>
      <w:r w:rsidRPr="00C72D1D">
        <w:rPr>
          <w:rFonts w:ascii="Times New Roman" w:hAnsi="Times New Roman"/>
          <w:spacing w:val="-2"/>
          <w:sz w:val="13"/>
          <w:szCs w:val="13"/>
        </w:rPr>
        <w:t xml:space="preserve"> 2003, 71; </w:t>
      </w:r>
      <w:r w:rsidRPr="00C72D1D">
        <w:rPr>
          <w:rFonts w:ascii="Times New Roman" w:hAnsi="Times New Roman"/>
          <w:i/>
          <w:iCs/>
          <w:spacing w:val="-2"/>
          <w:sz w:val="13"/>
          <w:szCs w:val="13"/>
        </w:rPr>
        <w:t>v.</w:t>
      </w:r>
      <w:r w:rsidRPr="00C72D1D">
        <w:rPr>
          <w:rFonts w:ascii="Times New Roman" w:hAnsi="Times New Roman"/>
          <w:b/>
          <w:spacing w:val="-2"/>
          <w:sz w:val="13"/>
          <w:szCs w:val="13"/>
        </w:rPr>
        <w:t xml:space="preserve"> </w:t>
      </w:r>
      <w:r w:rsidRPr="00C72D1D">
        <w:rPr>
          <w:rFonts w:ascii="Times New Roman" w:hAnsi="Times New Roman"/>
          <w:i/>
          <w:spacing w:val="-2"/>
          <w:sz w:val="13"/>
          <w:szCs w:val="13"/>
        </w:rPr>
        <w:t>Stülpnagel</w:t>
      </w:r>
      <w:r w:rsidRPr="00C72D1D">
        <w:rPr>
          <w:rFonts w:ascii="Times New Roman" w:hAnsi="Times New Roman"/>
          <w:spacing w:val="-2"/>
          <w:sz w:val="13"/>
          <w:szCs w:val="13"/>
        </w:rPr>
        <w:t xml:space="preserve">, Die wesentlichen Voraussetzungen des Einlegens und der Begründung der strafprozessualen Revision, JA 2004, 231; </w:t>
      </w:r>
      <w:r w:rsidRPr="00C72D1D">
        <w:rPr>
          <w:rFonts w:ascii="Times New Roman" w:hAnsi="Times New Roman"/>
          <w:i/>
          <w:spacing w:val="-2"/>
          <w:sz w:val="13"/>
          <w:szCs w:val="13"/>
        </w:rPr>
        <w:t>Titz</w:t>
      </w:r>
      <w:r w:rsidRPr="00C72D1D">
        <w:rPr>
          <w:rFonts w:ascii="Times New Roman" w:hAnsi="Times New Roman"/>
          <w:spacing w:val="-2"/>
          <w:sz w:val="13"/>
          <w:szCs w:val="13"/>
        </w:rPr>
        <w:t>, Die Revisionsklausur im Strafrecht, JA 2002, 65.</w:t>
      </w:r>
    </w:p>
    <w:p w14:paraId="54C6B963" w14:textId="5BEA4F00" w:rsidR="002877F1" w:rsidRPr="00C72D1D" w:rsidRDefault="002877F1" w:rsidP="002877F1">
      <w:pPr>
        <w:widowControl/>
        <w:tabs>
          <w:tab w:val="left" w:pos="-720"/>
          <w:tab w:val="left" w:pos="0"/>
          <w:tab w:val="left" w:pos="288"/>
          <w:tab w:val="left" w:pos="576"/>
          <w:tab w:val="left" w:pos="864"/>
          <w:tab w:val="left" w:pos="1116"/>
          <w:tab w:val="left" w:pos="1404"/>
          <w:tab w:val="left" w:pos="2268"/>
          <w:tab w:val="left" w:pos="2880"/>
        </w:tabs>
        <w:spacing w:line="233" w:lineRule="auto"/>
        <w:ind w:left="1418" w:hanging="1418"/>
        <w:jc w:val="both"/>
        <w:rPr>
          <w:rFonts w:ascii="Times New Roman" w:hAnsi="Times New Roman"/>
          <w:spacing w:val="-2"/>
          <w:sz w:val="13"/>
          <w:szCs w:val="13"/>
        </w:rPr>
      </w:pPr>
      <w:r w:rsidRPr="00C72D1D">
        <w:rPr>
          <w:rFonts w:ascii="Times New Roman" w:hAnsi="Times New Roman"/>
          <w:b/>
          <w:spacing w:val="-2"/>
          <w:sz w:val="13"/>
          <w:szCs w:val="13"/>
        </w:rPr>
        <w:t>Literatur/Fälle:</w:t>
      </w:r>
      <w:r w:rsidRPr="00C72D1D">
        <w:rPr>
          <w:rFonts w:ascii="Times New Roman" w:hAnsi="Times New Roman"/>
          <w:b/>
          <w:spacing w:val="-2"/>
          <w:sz w:val="13"/>
          <w:szCs w:val="13"/>
        </w:rPr>
        <w:tab/>
      </w:r>
      <w:r w:rsidRPr="00C72D1D">
        <w:rPr>
          <w:rFonts w:ascii="Times New Roman" w:hAnsi="Times New Roman"/>
          <w:b/>
          <w:spacing w:val="-2"/>
          <w:sz w:val="13"/>
          <w:szCs w:val="13"/>
        </w:rPr>
        <w:tab/>
      </w:r>
      <w:r w:rsidR="00482877">
        <w:rPr>
          <w:rFonts w:ascii="Times New Roman" w:hAnsi="Times New Roman"/>
          <w:b/>
          <w:spacing w:val="-2"/>
          <w:sz w:val="13"/>
          <w:szCs w:val="13"/>
        </w:rPr>
        <w:tab/>
      </w:r>
      <w:r w:rsidRPr="00C72D1D">
        <w:rPr>
          <w:rFonts w:ascii="Times New Roman" w:hAnsi="Times New Roman"/>
          <w:i/>
          <w:spacing w:val="-2"/>
          <w:sz w:val="13"/>
          <w:szCs w:val="13"/>
        </w:rPr>
        <w:t>Eger</w:t>
      </w:r>
      <w:r w:rsidRPr="00C72D1D">
        <w:rPr>
          <w:rFonts w:ascii="Times New Roman" w:hAnsi="Times New Roman"/>
          <w:spacing w:val="-2"/>
          <w:sz w:val="13"/>
          <w:szCs w:val="13"/>
        </w:rPr>
        <w:t xml:space="preserve">, Eine Nebenklägerin aus der Ukraine, JURA 2005, 64; </w:t>
      </w:r>
      <w:r w:rsidRPr="00C72D1D">
        <w:rPr>
          <w:rFonts w:ascii="Times New Roman" w:hAnsi="Times New Roman"/>
          <w:i/>
          <w:spacing w:val="-2"/>
          <w:sz w:val="13"/>
          <w:szCs w:val="13"/>
        </w:rPr>
        <w:t>Kroiß</w:t>
      </w:r>
      <w:r w:rsidRPr="00C72D1D">
        <w:rPr>
          <w:rFonts w:ascii="Times New Roman" w:hAnsi="Times New Roman"/>
          <w:spacing w:val="-2"/>
          <w:sz w:val="13"/>
          <w:szCs w:val="13"/>
        </w:rPr>
        <w:t xml:space="preserve">, Rüge von Verfahrensfehlern und Verstößen gegen materielles Recht, </w:t>
      </w:r>
      <w:proofErr w:type="spellStart"/>
      <w:r w:rsidRPr="00C72D1D">
        <w:rPr>
          <w:rFonts w:ascii="Times New Roman" w:hAnsi="Times New Roman"/>
          <w:spacing w:val="-2"/>
          <w:sz w:val="13"/>
          <w:szCs w:val="13"/>
        </w:rPr>
        <w:t>JuS</w:t>
      </w:r>
      <w:proofErr w:type="spellEnd"/>
      <w:r w:rsidRPr="00C72D1D">
        <w:rPr>
          <w:rFonts w:ascii="Times New Roman" w:hAnsi="Times New Roman"/>
          <w:spacing w:val="-2"/>
          <w:sz w:val="13"/>
          <w:szCs w:val="13"/>
        </w:rPr>
        <w:t xml:space="preserve"> 2003, 1204; </w:t>
      </w:r>
      <w:proofErr w:type="spellStart"/>
      <w:r w:rsidR="00673197" w:rsidRPr="00C72D1D">
        <w:rPr>
          <w:rFonts w:ascii="Times New Roman" w:hAnsi="Times New Roman"/>
          <w:i/>
          <w:spacing w:val="-2"/>
          <w:sz w:val="13"/>
          <w:szCs w:val="13"/>
        </w:rPr>
        <w:t>Semmelmayer</w:t>
      </w:r>
      <w:proofErr w:type="spellEnd"/>
      <w:r w:rsidR="00673197" w:rsidRPr="00C72D1D">
        <w:rPr>
          <w:rFonts w:ascii="Times New Roman" w:hAnsi="Times New Roman"/>
          <w:i/>
          <w:spacing w:val="-2"/>
          <w:sz w:val="13"/>
          <w:szCs w:val="13"/>
        </w:rPr>
        <w:t>/</w:t>
      </w:r>
      <w:proofErr w:type="spellStart"/>
      <w:r w:rsidR="00673197" w:rsidRPr="00C72D1D">
        <w:rPr>
          <w:rFonts w:ascii="Times New Roman" w:hAnsi="Times New Roman"/>
          <w:i/>
          <w:spacing w:val="-2"/>
          <w:sz w:val="13"/>
          <w:szCs w:val="13"/>
        </w:rPr>
        <w:t>Semmelmayer</w:t>
      </w:r>
      <w:proofErr w:type="spellEnd"/>
      <w:r w:rsidR="00673197" w:rsidRPr="00C72D1D">
        <w:rPr>
          <w:rFonts w:ascii="Times New Roman" w:hAnsi="Times New Roman"/>
          <w:spacing w:val="-2"/>
          <w:sz w:val="13"/>
          <w:szCs w:val="13"/>
        </w:rPr>
        <w:t xml:space="preserve">, Die missglückte Hauptverhandlung, JA 2022, 585; </w:t>
      </w:r>
      <w:r w:rsidRPr="00C72D1D">
        <w:rPr>
          <w:rFonts w:ascii="Times New Roman" w:hAnsi="Times New Roman"/>
          <w:i/>
          <w:spacing w:val="-2"/>
          <w:sz w:val="13"/>
          <w:szCs w:val="13"/>
        </w:rPr>
        <w:t>Weidemann</w:t>
      </w:r>
      <w:r w:rsidRPr="00C72D1D">
        <w:rPr>
          <w:rFonts w:ascii="Times New Roman" w:hAnsi="Times New Roman"/>
          <w:spacing w:val="-2"/>
          <w:sz w:val="13"/>
          <w:szCs w:val="13"/>
        </w:rPr>
        <w:t xml:space="preserve">, Fälle mit Lösungen zur strafprozessualen Revision – </w:t>
      </w:r>
      <w:r w:rsidR="0068571C" w:rsidRPr="00C72D1D">
        <w:rPr>
          <w:rFonts w:ascii="Times New Roman" w:hAnsi="Times New Roman"/>
          <w:spacing w:val="-2"/>
          <w:sz w:val="13"/>
          <w:szCs w:val="13"/>
        </w:rPr>
        <w:t>Von</w:t>
      </w:r>
      <w:r w:rsidRPr="00C72D1D">
        <w:rPr>
          <w:rFonts w:ascii="Times New Roman" w:hAnsi="Times New Roman"/>
          <w:spacing w:val="-2"/>
          <w:sz w:val="13"/>
          <w:szCs w:val="13"/>
        </w:rPr>
        <w:t xml:space="preserve"> Amts wegen zu prüfende Verfahrensvoraussetzungen, JA </w:t>
      </w:r>
      <w:r w:rsidR="0068571C" w:rsidRPr="00C72D1D">
        <w:rPr>
          <w:rFonts w:ascii="Times New Roman" w:hAnsi="Times New Roman"/>
          <w:spacing w:val="-2"/>
          <w:sz w:val="13"/>
          <w:szCs w:val="13"/>
        </w:rPr>
        <w:t>2020, 56;</w:t>
      </w:r>
      <w:r w:rsidRPr="00C72D1D">
        <w:rPr>
          <w:rFonts w:ascii="Times New Roman" w:hAnsi="Times New Roman"/>
          <w:spacing w:val="-2"/>
          <w:sz w:val="13"/>
          <w:szCs w:val="13"/>
        </w:rPr>
        <w:t xml:space="preserve">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xml:space="preserve">, Fälle mit Lösungen zur strafprozessualen Revision – Absolute Revisionsgründe, JA 2003, 62;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Fälle mit Lösungen zur strafprozessualen Revision – Verfahrens- und Verwertungsfragen, JA 2003, 328; 400;</w:t>
      </w:r>
      <w:r w:rsidRPr="00C72D1D">
        <w:rPr>
          <w:rFonts w:ascii="Times New Roman" w:hAnsi="Times New Roman"/>
          <w:i/>
          <w:spacing w:val="-2"/>
          <w:sz w:val="13"/>
          <w:szCs w:val="13"/>
        </w:rPr>
        <w:t xml:space="preserve">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xml:space="preserve">, Fälle mit Lösungen zur strafprozessualen Revision – Von Amts wegen zu berücksichtigende Verfahrensvoraussetzungen und absolute Revisionsgründe, JA 2005, 637;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xml:space="preserve">, Fälle mit Lösungen zur strafprozessualen Revision – Verfahrens- und Verwertungsfragen, JA 2008, 129;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xml:space="preserve">, Fälle mit Lösungen zur strafprozessualen Revision – Zulässigkeit und von Amts wegen zu prüfende Verfahrensvoraussetzungen, JA, 2010, 52;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xml:space="preserve">, Fälle mit Lösungen zur strafprozessualen Revision – Absolute Revisionsgründe, JA 2017, 380;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xml:space="preserve">, Fälle mit Lösungen zur strafprozessualen Revision – Verfahrens- und Verwertungsfragen, JA 2018, 460;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xml:space="preserve">, Fälle mit Lösungen zur strafprozessualen Revision – Sachlich-rechtliche und Strafzumessungsfragen, JA 2018, 702; </w:t>
      </w:r>
      <w:proofErr w:type="spellStart"/>
      <w:r w:rsidRPr="00C72D1D">
        <w:rPr>
          <w:rFonts w:ascii="Times New Roman" w:hAnsi="Times New Roman"/>
          <w:i/>
          <w:spacing w:val="-2"/>
          <w:sz w:val="13"/>
          <w:szCs w:val="13"/>
        </w:rPr>
        <w:t>ders</w:t>
      </w:r>
      <w:proofErr w:type="spellEnd"/>
      <w:r w:rsidRPr="00C72D1D">
        <w:rPr>
          <w:rFonts w:ascii="Times New Roman" w:hAnsi="Times New Roman"/>
          <w:i/>
          <w:spacing w:val="-2"/>
          <w:sz w:val="13"/>
          <w:szCs w:val="13"/>
        </w:rPr>
        <w:t>.</w:t>
      </w:r>
      <w:r w:rsidRPr="00C72D1D">
        <w:rPr>
          <w:rFonts w:ascii="Times New Roman" w:hAnsi="Times New Roman"/>
          <w:spacing w:val="-2"/>
          <w:sz w:val="13"/>
          <w:szCs w:val="13"/>
        </w:rPr>
        <w:t>, Fälle mit Lösungen zur strafprozessualen Revision – Zulässigkeitsfragen, JA 2019, 222.</w:t>
      </w:r>
      <w:r w:rsidR="00673197" w:rsidRPr="00C72D1D">
        <w:rPr>
          <w:rFonts w:ascii="Times New Roman" w:hAnsi="Times New Roman"/>
          <w:spacing w:val="-2"/>
          <w:sz w:val="13"/>
          <w:szCs w:val="13"/>
        </w:rPr>
        <w:t xml:space="preserve"> </w:t>
      </w:r>
    </w:p>
    <w:p w14:paraId="66C30060" w14:textId="77777777" w:rsidR="0042350B" w:rsidRPr="00C72D1D" w:rsidRDefault="002877F1" w:rsidP="00A707B7">
      <w:pPr>
        <w:widowControl/>
        <w:tabs>
          <w:tab w:val="left" w:pos="-720"/>
          <w:tab w:val="left" w:pos="0"/>
          <w:tab w:val="left" w:pos="288"/>
          <w:tab w:val="left" w:pos="576"/>
          <w:tab w:val="left" w:pos="864"/>
          <w:tab w:val="left" w:pos="1116"/>
          <w:tab w:val="left" w:pos="1404"/>
          <w:tab w:val="left" w:pos="2268"/>
          <w:tab w:val="left" w:pos="2880"/>
        </w:tabs>
        <w:spacing w:line="233" w:lineRule="auto"/>
        <w:ind w:left="1418" w:hanging="1418"/>
        <w:jc w:val="both"/>
        <w:rPr>
          <w:sz w:val="13"/>
          <w:szCs w:val="13"/>
        </w:rPr>
      </w:pPr>
      <w:r w:rsidRPr="00C72D1D">
        <w:rPr>
          <w:rFonts w:ascii="Times New Roman" w:hAnsi="Times New Roman"/>
          <w:b/>
          <w:spacing w:val="-2"/>
          <w:sz w:val="13"/>
          <w:szCs w:val="13"/>
        </w:rPr>
        <w:t>Rechtsprechung:</w:t>
      </w:r>
      <w:r w:rsidRPr="00C72D1D">
        <w:rPr>
          <w:rFonts w:ascii="Times New Roman" w:hAnsi="Times New Roman"/>
          <w:b/>
          <w:spacing w:val="-2"/>
          <w:sz w:val="13"/>
          <w:szCs w:val="13"/>
        </w:rPr>
        <w:tab/>
      </w:r>
      <w:r w:rsidRPr="00C72D1D">
        <w:rPr>
          <w:rFonts w:ascii="Times New Roman" w:hAnsi="Times New Roman"/>
          <w:b/>
          <w:spacing w:val="-2"/>
          <w:sz w:val="13"/>
          <w:szCs w:val="13"/>
        </w:rPr>
        <w:tab/>
        <w:t xml:space="preserve">BVerfG StV 2001, 151 </w:t>
      </w:r>
      <w:r w:rsidRPr="00C72D1D">
        <w:rPr>
          <w:rFonts w:ascii="Times New Roman" w:hAnsi="Times New Roman"/>
          <w:spacing w:val="-2"/>
          <w:sz w:val="13"/>
          <w:szCs w:val="13"/>
        </w:rPr>
        <w:t xml:space="preserve">– Revision (Selbst angeregte offensichtliche Unbegründetheit); </w:t>
      </w:r>
      <w:r w:rsidRPr="00C72D1D">
        <w:rPr>
          <w:rFonts w:ascii="Times New Roman" w:hAnsi="Times New Roman"/>
          <w:b/>
          <w:spacing w:val="-2"/>
          <w:sz w:val="13"/>
          <w:szCs w:val="13"/>
        </w:rPr>
        <w:t>BGHSt 25, 272</w:t>
      </w:r>
      <w:r w:rsidRPr="00C72D1D">
        <w:rPr>
          <w:rFonts w:ascii="Times New Roman" w:hAnsi="Times New Roman"/>
          <w:spacing w:val="-2"/>
          <w:sz w:val="13"/>
          <w:szCs w:val="13"/>
        </w:rPr>
        <w:t xml:space="preserve"> – Revisionseinlegung (Revisionsbegründung durch Rechtsanwalt);</w:t>
      </w:r>
      <w:r w:rsidRPr="00C72D1D">
        <w:rPr>
          <w:rFonts w:ascii="Arial" w:hAnsi="Arial"/>
          <w:b/>
          <w:bCs/>
          <w:color w:val="339966"/>
          <w:sz w:val="13"/>
          <w:szCs w:val="13"/>
        </w:rPr>
        <w:t xml:space="preserve"> </w:t>
      </w:r>
      <w:r w:rsidRPr="00C72D1D">
        <w:rPr>
          <w:rFonts w:ascii="Times New Roman" w:hAnsi="Times New Roman"/>
          <w:b/>
          <w:bCs/>
          <w:spacing w:val="-2"/>
          <w:sz w:val="13"/>
          <w:szCs w:val="13"/>
        </w:rPr>
        <w:t>BGHSt 49, 371</w:t>
      </w:r>
      <w:r w:rsidRPr="00C72D1D">
        <w:rPr>
          <w:rFonts w:ascii="Times New Roman" w:hAnsi="Times New Roman"/>
          <w:bCs/>
          <w:spacing w:val="-2"/>
          <w:sz w:val="13"/>
          <w:szCs w:val="13"/>
        </w:rPr>
        <w:t xml:space="preserve"> – Sachentscheidung des Revisionsgerichts (zur Auslegung des § 354 Abs. 1a StPO), vgl. </w:t>
      </w:r>
      <w:r w:rsidR="003A7CC0" w:rsidRPr="00C72D1D">
        <w:rPr>
          <w:rFonts w:ascii="Times New Roman" w:hAnsi="Times New Roman"/>
          <w:bCs/>
          <w:i/>
          <w:spacing w:val="-2"/>
          <w:sz w:val="13"/>
          <w:szCs w:val="13"/>
        </w:rPr>
        <w:t>Marxen/</w:t>
      </w:r>
      <w:proofErr w:type="spellStart"/>
      <w:r w:rsidR="003A7CC0" w:rsidRPr="00C72D1D">
        <w:rPr>
          <w:rFonts w:ascii="Times New Roman" w:hAnsi="Times New Roman"/>
          <w:bCs/>
          <w:i/>
          <w:spacing w:val="-2"/>
          <w:sz w:val="13"/>
          <w:szCs w:val="13"/>
        </w:rPr>
        <w:t>Bressem</w:t>
      </w:r>
      <w:proofErr w:type="spellEnd"/>
      <w:r w:rsidR="003A7CC0" w:rsidRPr="00C72D1D">
        <w:rPr>
          <w:rFonts w:ascii="Times New Roman" w:hAnsi="Times New Roman"/>
          <w:bCs/>
          <w:spacing w:val="-2"/>
          <w:sz w:val="13"/>
          <w:szCs w:val="13"/>
        </w:rPr>
        <w:t xml:space="preserve">, </w:t>
      </w:r>
      <w:r w:rsidRPr="00C72D1D">
        <w:rPr>
          <w:rFonts w:ascii="Times New Roman" w:hAnsi="Times New Roman"/>
          <w:bCs/>
          <w:spacing w:val="-2"/>
          <w:sz w:val="13"/>
          <w:szCs w:val="13"/>
        </w:rPr>
        <w:t>famos 03/2005;</w:t>
      </w:r>
      <w:r w:rsidRPr="00C72D1D">
        <w:rPr>
          <w:rFonts w:ascii="Times New Roman" w:hAnsi="Times New Roman"/>
          <w:spacing w:val="-2"/>
          <w:sz w:val="13"/>
          <w:szCs w:val="13"/>
        </w:rPr>
        <w:t xml:space="preserve"> </w:t>
      </w:r>
      <w:r w:rsidRPr="00C72D1D">
        <w:rPr>
          <w:rFonts w:ascii="Times New Roman" w:hAnsi="Times New Roman"/>
          <w:b/>
          <w:spacing w:val="-2"/>
          <w:sz w:val="13"/>
          <w:szCs w:val="13"/>
        </w:rPr>
        <w:t>BGHSt 50, 272</w:t>
      </w:r>
      <w:r w:rsidRPr="00C72D1D">
        <w:rPr>
          <w:rFonts w:ascii="Times New Roman" w:hAnsi="Times New Roman"/>
          <w:spacing w:val="-2"/>
          <w:sz w:val="13"/>
          <w:szCs w:val="13"/>
        </w:rPr>
        <w:t xml:space="preserve"> – Rügepräklusion (Geltendmachung von Fehlern der Beschuldigtenvernehmung im Ermittlungsverfahren nach Zurückverweisung der Sache durch das Revisionsgericht); </w:t>
      </w:r>
      <w:r w:rsidRPr="00C72D1D">
        <w:rPr>
          <w:rFonts w:ascii="Times New Roman" w:hAnsi="Times New Roman"/>
          <w:b/>
          <w:spacing w:val="-2"/>
          <w:sz w:val="13"/>
          <w:szCs w:val="13"/>
        </w:rPr>
        <w:t>BGHSt 55, 65</w:t>
      </w:r>
      <w:r w:rsidRPr="00C72D1D">
        <w:rPr>
          <w:rFonts w:ascii="Times New Roman" w:hAnsi="Times New Roman"/>
          <w:spacing w:val="-2"/>
          <w:sz w:val="13"/>
          <w:szCs w:val="13"/>
        </w:rPr>
        <w:t xml:space="preserve"> – Zwischenrüge (Zeugnisverweigerungsrecht); </w:t>
      </w:r>
      <w:r w:rsidRPr="00C72D1D">
        <w:rPr>
          <w:rFonts w:ascii="Times New Roman" w:hAnsi="Times New Roman"/>
          <w:b/>
          <w:spacing w:val="-2"/>
          <w:sz w:val="13"/>
          <w:szCs w:val="13"/>
        </w:rPr>
        <w:t>BGHSt 59, 130</w:t>
      </w:r>
      <w:r w:rsidRPr="00C72D1D">
        <w:rPr>
          <w:rFonts w:ascii="Times New Roman" w:hAnsi="Times New Roman"/>
          <w:spacing w:val="-2"/>
          <w:sz w:val="13"/>
          <w:szCs w:val="13"/>
        </w:rPr>
        <w:t xml:space="preserve"> – Revision (Rüge zur Belehrungsprotokollierung bei Verfahrensverständigung); </w:t>
      </w:r>
      <w:r w:rsidRPr="00C72D1D">
        <w:rPr>
          <w:rFonts w:ascii="Times New Roman" w:hAnsi="Times New Roman"/>
          <w:b/>
          <w:spacing w:val="-2"/>
          <w:sz w:val="13"/>
          <w:szCs w:val="13"/>
        </w:rPr>
        <w:t>BGHSt 59, 187</w:t>
      </w:r>
      <w:r w:rsidRPr="00C72D1D">
        <w:rPr>
          <w:rFonts w:ascii="Times New Roman" w:hAnsi="Times New Roman"/>
          <w:spacing w:val="-2"/>
          <w:sz w:val="13"/>
          <w:szCs w:val="13"/>
        </w:rPr>
        <w:t xml:space="preserve"> – Abwesenheitsverhandlung gegen einen inhaftierten Angeklagten (Pflicht zur zwangsweisen Vorführung besteht grundsätzlich, aber nicht ausnahmslos); </w:t>
      </w:r>
      <w:r w:rsidRPr="00C72D1D">
        <w:rPr>
          <w:rFonts w:ascii="Times New Roman" w:hAnsi="Times New Roman"/>
          <w:b/>
          <w:spacing w:val="-2"/>
          <w:sz w:val="13"/>
          <w:szCs w:val="13"/>
        </w:rPr>
        <w:t>BGH NJW 2006, 3579</w:t>
      </w:r>
      <w:r w:rsidRPr="00C72D1D">
        <w:rPr>
          <w:rFonts w:ascii="Times New Roman" w:hAnsi="Times New Roman"/>
          <w:spacing w:val="-2"/>
          <w:sz w:val="13"/>
          <w:szCs w:val="13"/>
        </w:rPr>
        <w:t xml:space="preserve"> – Protokollrüge (Beschwerdeführer, der bewusst wahrheitswidrig einen Verfahrensverstoß behauptet).</w:t>
      </w:r>
    </w:p>
    <w:sectPr w:rsidR="0042350B" w:rsidRPr="00C72D1D" w:rsidSect="0042350B">
      <w:pgSz w:w="11906" w:h="16838"/>
      <w:pgMar w:top="454" w:right="652" w:bottom="244" w:left="1021"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E5059" w14:textId="77777777" w:rsidR="00EE77B4" w:rsidRDefault="00EE77B4">
      <w:r>
        <w:separator/>
      </w:r>
    </w:p>
  </w:endnote>
  <w:endnote w:type="continuationSeparator" w:id="0">
    <w:p w14:paraId="2DEC179C" w14:textId="77777777" w:rsidR="00EE77B4" w:rsidRDefault="00EE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utch Roman 12pt">
    <w:altName w:val="Times New Roman"/>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56A99" w14:textId="77777777" w:rsidR="00EE77B4" w:rsidRDefault="00EE77B4">
      <w:r>
        <w:separator/>
      </w:r>
    </w:p>
  </w:footnote>
  <w:footnote w:type="continuationSeparator" w:id="0">
    <w:p w14:paraId="6FF67F95" w14:textId="77777777" w:rsidR="00EE77B4" w:rsidRDefault="00EE7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E2D9D"/>
    <w:multiLevelType w:val="hybridMultilevel"/>
    <w:tmpl w:val="2ED030A2"/>
    <w:lvl w:ilvl="0" w:tplc="FFFFFFFF">
      <w:start w:val="2"/>
      <w:numFmt w:val="bullet"/>
      <w:lvlText w:val="–"/>
      <w:lvlJc w:val="left"/>
      <w:pPr>
        <w:tabs>
          <w:tab w:val="num" w:pos="645"/>
        </w:tabs>
        <w:ind w:left="645" w:hanging="360"/>
      </w:pPr>
      <w:rPr>
        <w:rFonts w:ascii="Times New Roman" w:eastAsia="Times New Roman" w:hAnsi="Times New Roman" w:cs="Times New Roman" w:hint="default"/>
        <w:b/>
      </w:rPr>
    </w:lvl>
    <w:lvl w:ilvl="1" w:tplc="FFFFFFFF">
      <w:start w:val="1"/>
      <w:numFmt w:val="bullet"/>
      <w:lvlText w:val="o"/>
      <w:lvlJc w:val="left"/>
      <w:pPr>
        <w:tabs>
          <w:tab w:val="num" w:pos="1365"/>
        </w:tabs>
        <w:ind w:left="1365" w:hanging="360"/>
      </w:pPr>
      <w:rPr>
        <w:rFonts w:ascii="Courier New" w:hAnsi="Courier New" w:cs="Wingdings" w:hint="default"/>
      </w:rPr>
    </w:lvl>
    <w:lvl w:ilvl="2" w:tplc="FFFFFFFF" w:tentative="1">
      <w:start w:val="1"/>
      <w:numFmt w:val="bullet"/>
      <w:lvlText w:val=""/>
      <w:lvlJc w:val="left"/>
      <w:pPr>
        <w:tabs>
          <w:tab w:val="num" w:pos="2085"/>
        </w:tabs>
        <w:ind w:left="2085" w:hanging="360"/>
      </w:pPr>
      <w:rPr>
        <w:rFonts w:ascii="Wingdings" w:hAnsi="Wingdings" w:hint="default"/>
      </w:rPr>
    </w:lvl>
    <w:lvl w:ilvl="3" w:tplc="FFFFFFFF" w:tentative="1">
      <w:start w:val="1"/>
      <w:numFmt w:val="bullet"/>
      <w:lvlText w:val=""/>
      <w:lvlJc w:val="left"/>
      <w:pPr>
        <w:tabs>
          <w:tab w:val="num" w:pos="2805"/>
        </w:tabs>
        <w:ind w:left="2805" w:hanging="360"/>
      </w:pPr>
      <w:rPr>
        <w:rFonts w:ascii="Symbol" w:hAnsi="Symbol" w:hint="default"/>
      </w:rPr>
    </w:lvl>
    <w:lvl w:ilvl="4" w:tplc="FFFFFFFF" w:tentative="1">
      <w:start w:val="1"/>
      <w:numFmt w:val="bullet"/>
      <w:lvlText w:val="o"/>
      <w:lvlJc w:val="left"/>
      <w:pPr>
        <w:tabs>
          <w:tab w:val="num" w:pos="3525"/>
        </w:tabs>
        <w:ind w:left="3525" w:hanging="360"/>
      </w:pPr>
      <w:rPr>
        <w:rFonts w:ascii="Courier New" w:hAnsi="Courier New" w:cs="Wingdings" w:hint="default"/>
      </w:rPr>
    </w:lvl>
    <w:lvl w:ilvl="5" w:tplc="FFFFFFFF" w:tentative="1">
      <w:start w:val="1"/>
      <w:numFmt w:val="bullet"/>
      <w:lvlText w:val=""/>
      <w:lvlJc w:val="left"/>
      <w:pPr>
        <w:tabs>
          <w:tab w:val="num" w:pos="4245"/>
        </w:tabs>
        <w:ind w:left="4245" w:hanging="360"/>
      </w:pPr>
      <w:rPr>
        <w:rFonts w:ascii="Wingdings" w:hAnsi="Wingdings" w:hint="default"/>
      </w:rPr>
    </w:lvl>
    <w:lvl w:ilvl="6" w:tplc="FFFFFFFF" w:tentative="1">
      <w:start w:val="1"/>
      <w:numFmt w:val="bullet"/>
      <w:lvlText w:val=""/>
      <w:lvlJc w:val="left"/>
      <w:pPr>
        <w:tabs>
          <w:tab w:val="num" w:pos="4965"/>
        </w:tabs>
        <w:ind w:left="4965" w:hanging="360"/>
      </w:pPr>
      <w:rPr>
        <w:rFonts w:ascii="Symbol" w:hAnsi="Symbol" w:hint="default"/>
      </w:rPr>
    </w:lvl>
    <w:lvl w:ilvl="7" w:tplc="FFFFFFFF" w:tentative="1">
      <w:start w:val="1"/>
      <w:numFmt w:val="bullet"/>
      <w:lvlText w:val="o"/>
      <w:lvlJc w:val="left"/>
      <w:pPr>
        <w:tabs>
          <w:tab w:val="num" w:pos="5685"/>
        </w:tabs>
        <w:ind w:left="5685" w:hanging="360"/>
      </w:pPr>
      <w:rPr>
        <w:rFonts w:ascii="Courier New" w:hAnsi="Courier New" w:cs="Wingdings" w:hint="default"/>
      </w:rPr>
    </w:lvl>
    <w:lvl w:ilvl="8" w:tplc="FFFFFFFF" w:tentative="1">
      <w:start w:val="1"/>
      <w:numFmt w:val="bullet"/>
      <w:lvlText w:val=""/>
      <w:lvlJc w:val="left"/>
      <w:pPr>
        <w:tabs>
          <w:tab w:val="num" w:pos="6405"/>
        </w:tabs>
        <w:ind w:left="6405" w:hanging="360"/>
      </w:pPr>
      <w:rPr>
        <w:rFonts w:ascii="Wingdings" w:hAnsi="Wingdings" w:hint="default"/>
      </w:rPr>
    </w:lvl>
  </w:abstractNum>
  <w:num w:numId="1" w16cid:durableId="17271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F1"/>
    <w:rsid w:val="00032BD9"/>
    <w:rsid w:val="000934DA"/>
    <w:rsid w:val="000B76E9"/>
    <w:rsid w:val="0010436B"/>
    <w:rsid w:val="00133CA1"/>
    <w:rsid w:val="001B4271"/>
    <w:rsid w:val="001C327C"/>
    <w:rsid w:val="002806D0"/>
    <w:rsid w:val="002877F1"/>
    <w:rsid w:val="002A305F"/>
    <w:rsid w:val="003771BA"/>
    <w:rsid w:val="003A7CC0"/>
    <w:rsid w:val="0042173E"/>
    <w:rsid w:val="0042350B"/>
    <w:rsid w:val="004464DE"/>
    <w:rsid w:val="00482877"/>
    <w:rsid w:val="004977A8"/>
    <w:rsid w:val="004C04BE"/>
    <w:rsid w:val="004C66F6"/>
    <w:rsid w:val="004D3A15"/>
    <w:rsid w:val="004E53D4"/>
    <w:rsid w:val="00524E02"/>
    <w:rsid w:val="00673197"/>
    <w:rsid w:val="0068571C"/>
    <w:rsid w:val="006C026E"/>
    <w:rsid w:val="00701B60"/>
    <w:rsid w:val="00736D1B"/>
    <w:rsid w:val="007469C9"/>
    <w:rsid w:val="00760282"/>
    <w:rsid w:val="007A1C9B"/>
    <w:rsid w:val="00802E9D"/>
    <w:rsid w:val="00813749"/>
    <w:rsid w:val="008B0F1B"/>
    <w:rsid w:val="008C51FF"/>
    <w:rsid w:val="00A707B7"/>
    <w:rsid w:val="00A92723"/>
    <w:rsid w:val="00A969A3"/>
    <w:rsid w:val="00AA2AC7"/>
    <w:rsid w:val="00AA434C"/>
    <w:rsid w:val="00AF45D4"/>
    <w:rsid w:val="00B319DB"/>
    <w:rsid w:val="00BB25E4"/>
    <w:rsid w:val="00C17509"/>
    <w:rsid w:val="00C72D1D"/>
    <w:rsid w:val="00CC4736"/>
    <w:rsid w:val="00D7080B"/>
    <w:rsid w:val="00D83B31"/>
    <w:rsid w:val="00EB282F"/>
    <w:rsid w:val="00EE77B4"/>
    <w:rsid w:val="00F227E6"/>
    <w:rsid w:val="00F7184C"/>
    <w:rsid w:val="00FA0A58"/>
    <w:rsid w:val="00FB3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4AE2"/>
  <w15:chartTrackingRefBased/>
  <w15:docId w15:val="{8036DD6E-E66F-4DAC-A806-08AD6D12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7F1"/>
    <w:pPr>
      <w:widowControl w:val="0"/>
      <w:overflowPunct w:val="0"/>
      <w:autoSpaceDE w:val="0"/>
      <w:autoSpaceDN w:val="0"/>
      <w:adjustRightInd w:val="0"/>
      <w:textAlignment w:val="baseline"/>
    </w:pPr>
    <w:rPr>
      <w:rFonts w:ascii="Dutch Roman 12pt" w:eastAsia="Times New Roman"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2877F1"/>
  </w:style>
  <w:style w:type="paragraph" w:styleId="Sprechblasentext">
    <w:name w:val="Balloon Text"/>
    <w:basedOn w:val="Standard"/>
    <w:link w:val="SprechblasentextZchn"/>
    <w:uiPriority w:val="99"/>
    <w:semiHidden/>
    <w:unhideWhenUsed/>
    <w:rsid w:val="00673197"/>
    <w:rPr>
      <w:rFonts w:ascii="Segoe UI" w:hAnsi="Segoe UI" w:cs="Segoe UI"/>
      <w:sz w:val="18"/>
      <w:szCs w:val="18"/>
    </w:rPr>
  </w:style>
  <w:style w:type="character" w:customStyle="1" w:styleId="SprechblasentextZchn">
    <w:name w:val="Sprechblasentext Zchn"/>
    <w:link w:val="Sprechblasentext"/>
    <w:uiPriority w:val="99"/>
    <w:semiHidden/>
    <w:rsid w:val="00673197"/>
    <w:rPr>
      <w:rFonts w:ascii="Segoe UI" w:eastAsia="Times New Roman" w:hAnsi="Segoe UI" w:cs="Segoe UI"/>
      <w:sz w:val="18"/>
      <w:szCs w:val="18"/>
    </w:rPr>
  </w:style>
  <w:style w:type="character" w:styleId="Kommentarzeichen">
    <w:name w:val="annotation reference"/>
    <w:uiPriority w:val="99"/>
    <w:semiHidden/>
    <w:unhideWhenUsed/>
    <w:rsid w:val="00673197"/>
    <w:rPr>
      <w:sz w:val="16"/>
      <w:szCs w:val="16"/>
    </w:rPr>
  </w:style>
  <w:style w:type="paragraph" w:styleId="Kommentartext">
    <w:name w:val="annotation text"/>
    <w:basedOn w:val="Standard"/>
    <w:link w:val="KommentartextZchn"/>
    <w:uiPriority w:val="99"/>
    <w:semiHidden/>
    <w:unhideWhenUsed/>
    <w:rsid w:val="00673197"/>
    <w:rPr>
      <w:sz w:val="20"/>
    </w:rPr>
  </w:style>
  <w:style w:type="character" w:customStyle="1" w:styleId="KommentartextZchn">
    <w:name w:val="Kommentartext Zchn"/>
    <w:link w:val="Kommentartext"/>
    <w:uiPriority w:val="99"/>
    <w:semiHidden/>
    <w:rsid w:val="00673197"/>
    <w:rPr>
      <w:rFonts w:ascii="Dutch Roman 12pt" w:eastAsia="Times New Roman" w:hAnsi="Dutch Roman 12pt"/>
    </w:rPr>
  </w:style>
  <w:style w:type="paragraph" w:styleId="Kommentarthema">
    <w:name w:val="annotation subject"/>
    <w:basedOn w:val="Kommentartext"/>
    <w:next w:val="Kommentartext"/>
    <w:link w:val="KommentarthemaZchn"/>
    <w:uiPriority w:val="99"/>
    <w:semiHidden/>
    <w:unhideWhenUsed/>
    <w:rsid w:val="00673197"/>
    <w:rPr>
      <w:b/>
      <w:bCs/>
    </w:rPr>
  </w:style>
  <w:style w:type="character" w:customStyle="1" w:styleId="KommentarthemaZchn">
    <w:name w:val="Kommentarthema Zchn"/>
    <w:link w:val="Kommentarthema"/>
    <w:uiPriority w:val="99"/>
    <w:semiHidden/>
    <w:rsid w:val="00673197"/>
    <w:rPr>
      <w:rFonts w:ascii="Dutch Roman 12pt" w:eastAsia="Times New Roman" w:hAnsi="Dutch Roman 12pt"/>
      <w:b/>
      <w:bCs/>
    </w:rPr>
  </w:style>
  <w:style w:type="paragraph" w:styleId="berarbeitung">
    <w:name w:val="Revision"/>
    <w:hidden/>
    <w:uiPriority w:val="99"/>
    <w:semiHidden/>
    <w:rsid w:val="00F7184C"/>
    <w:rPr>
      <w:rFonts w:ascii="Dutch Roman 12pt" w:eastAsia="Times New Roman"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Words>
  <Characters>9238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Heinrich</dc:creator>
  <cp:keywords/>
  <dc:description/>
  <cp:lastModifiedBy>Tobias Reinbacher</cp:lastModifiedBy>
  <cp:revision>4</cp:revision>
  <dcterms:created xsi:type="dcterms:W3CDTF">2024-10-10T15:41:00Z</dcterms:created>
  <dcterms:modified xsi:type="dcterms:W3CDTF">2024-10-14T10:31:00Z</dcterms:modified>
</cp:coreProperties>
</file>