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748" w14:textId="791F11EA" w:rsidR="00D41FFE" w:rsidRPr="008C0BA2" w:rsidRDefault="00D41FFE" w:rsidP="00D975A7">
      <w:pPr>
        <w:tabs>
          <w:tab w:val="right" w:pos="10206"/>
        </w:tabs>
        <w:jc w:val="both"/>
        <w:rPr>
          <w:spacing w:val="-3"/>
          <w:sz w:val="16"/>
          <w:szCs w:val="16"/>
        </w:rPr>
      </w:pPr>
      <w:r>
        <w:rPr>
          <w:b/>
          <w:spacing w:val="-3"/>
        </w:rPr>
        <w:t xml:space="preserve">Prof. Dr. </w:t>
      </w:r>
      <w:r w:rsidR="008E460A">
        <w:rPr>
          <w:b/>
          <w:spacing w:val="-3"/>
        </w:rPr>
        <w:t xml:space="preserve">Dr. h.c. </w:t>
      </w:r>
      <w:r>
        <w:rPr>
          <w:b/>
          <w:spacing w:val="-3"/>
        </w:rPr>
        <w:t>Bernd Heinrich/</w:t>
      </w:r>
      <w:r w:rsidR="007F0F32">
        <w:rPr>
          <w:b/>
          <w:spacing w:val="-3"/>
        </w:rPr>
        <w:t>Pr</w:t>
      </w:r>
      <w:r w:rsidR="00F0487C">
        <w:rPr>
          <w:b/>
          <w:spacing w:val="-3"/>
        </w:rPr>
        <w:t>of</w:t>
      </w:r>
      <w:r w:rsidR="007F0F32">
        <w:rPr>
          <w:b/>
          <w:spacing w:val="-3"/>
        </w:rPr>
        <w:t xml:space="preserve">. </w:t>
      </w:r>
      <w:r>
        <w:rPr>
          <w:b/>
          <w:spacing w:val="-3"/>
        </w:rPr>
        <w:t>Dr. Tobias Reinbacher</w:t>
      </w:r>
      <w:r>
        <w:rPr>
          <w:b/>
          <w:spacing w:val="-3"/>
        </w:rPr>
        <w:tab/>
        <w:t xml:space="preserve">Stand: 1. </w:t>
      </w:r>
      <w:r w:rsidR="0002059F">
        <w:rPr>
          <w:b/>
          <w:spacing w:val="-3"/>
        </w:rPr>
        <w:t>Oktober</w:t>
      </w:r>
      <w:r w:rsidR="00E14572">
        <w:rPr>
          <w:b/>
          <w:spacing w:val="-3"/>
        </w:rPr>
        <w:t xml:space="preserve"> </w:t>
      </w:r>
      <w:r w:rsidR="00D975A7">
        <w:rPr>
          <w:b/>
          <w:spacing w:val="-3"/>
        </w:rPr>
        <w:t>20</w:t>
      </w:r>
      <w:r w:rsidR="007343E4">
        <w:rPr>
          <w:b/>
          <w:spacing w:val="-3"/>
        </w:rPr>
        <w:t>2</w:t>
      </w:r>
      <w:r w:rsidR="000E21E9">
        <w:rPr>
          <w:b/>
          <w:spacing w:val="-3"/>
        </w:rPr>
        <w:t>4</w:t>
      </w:r>
    </w:p>
    <w:p w14:paraId="412FFD15" w14:textId="3DC247C8" w:rsidR="00D41FFE" w:rsidRDefault="00D41FFE" w:rsidP="00D41FF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0E21E9">
        <w:rPr>
          <w:b/>
          <w:spacing w:val="-3"/>
        </w:rPr>
        <w:t> </w:t>
      </w:r>
      <w:r>
        <w:rPr>
          <w:b/>
          <w:spacing w:val="-3"/>
        </w:rPr>
        <w:t>46</w:t>
      </w:r>
    </w:p>
    <w:p w14:paraId="690CE5FE" w14:textId="77777777" w:rsidR="00D41FFE" w:rsidRPr="00D975A7" w:rsidRDefault="00D41FFE" w:rsidP="00D41FF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D975A7">
        <w:rPr>
          <w:b/>
          <w:spacing w:val="-7"/>
          <w:sz w:val="52"/>
          <w:szCs w:val="52"/>
        </w:rPr>
        <w:t>Die Revisionsgründe</w:t>
      </w:r>
    </w:p>
    <w:p w14:paraId="2EE03989" w14:textId="77777777" w:rsidR="00D41FFE" w:rsidRDefault="00D41FFE">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573D2B">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E04B91">
        <w:rPr>
          <w:rFonts w:ascii="Times New Roman" w:hAnsi="Times New Roman"/>
          <w:noProof/>
          <w:vanish/>
          <w:spacing w:val="-7"/>
          <w:sz w:val="60"/>
        </w:rPr>
        <w:t>1</w:t>
      </w:r>
      <w:r>
        <w:rPr>
          <w:rFonts w:ascii="Times New Roman" w:hAnsi="Times New Roman"/>
          <w:vanish/>
          <w:spacing w:val="-7"/>
          <w:sz w:val="60"/>
        </w:rPr>
        <w:fldChar w:fldCharType="end"/>
      </w:r>
    </w:p>
    <w:p w14:paraId="6B0C04B3" w14:textId="28157780" w:rsidR="00AD302A" w:rsidRPr="000605D5" w:rsidRDefault="00D41FFE" w:rsidP="00B41908">
      <w:pPr>
        <w:widowControl/>
        <w:tabs>
          <w:tab w:val="left" w:pos="-720"/>
          <w:tab w:val="left" w:pos="0"/>
          <w:tab w:val="left" w:pos="284"/>
          <w:tab w:val="left" w:pos="864"/>
          <w:tab w:val="left" w:pos="1116"/>
          <w:tab w:val="left" w:pos="1404"/>
          <w:tab w:val="left" w:pos="1692"/>
          <w:tab w:val="left" w:pos="1980"/>
          <w:tab w:val="left" w:pos="2268"/>
          <w:tab w:val="left" w:pos="2880"/>
        </w:tabs>
        <w:spacing w:line="210" w:lineRule="exact"/>
        <w:ind w:left="284" w:hanging="284"/>
        <w:jc w:val="both"/>
        <w:rPr>
          <w:rFonts w:ascii="Times New Roman" w:hAnsi="Times New Roman"/>
          <w:spacing w:val="-2"/>
          <w:sz w:val="19"/>
          <w:szCs w:val="19"/>
        </w:rPr>
      </w:pPr>
      <w:r w:rsidRPr="000605D5">
        <w:rPr>
          <w:rFonts w:ascii="Times New Roman" w:hAnsi="Times New Roman"/>
          <w:b/>
          <w:spacing w:val="-2"/>
          <w:sz w:val="19"/>
          <w:szCs w:val="19"/>
        </w:rPr>
        <w:t xml:space="preserve">I. </w:t>
      </w:r>
      <w:r w:rsidRPr="000605D5">
        <w:rPr>
          <w:rFonts w:ascii="Times New Roman" w:hAnsi="Times New Roman"/>
          <w:b/>
          <w:spacing w:val="-2"/>
          <w:sz w:val="19"/>
          <w:szCs w:val="19"/>
        </w:rPr>
        <w:tab/>
        <w:t>Allgemeines</w:t>
      </w:r>
      <w:r w:rsidRPr="000605D5">
        <w:rPr>
          <w:rFonts w:ascii="Times New Roman" w:hAnsi="Times New Roman"/>
          <w:spacing w:val="-2"/>
          <w:sz w:val="19"/>
          <w:szCs w:val="19"/>
        </w:rPr>
        <w:t xml:space="preserve">: </w:t>
      </w:r>
      <w:r w:rsidRPr="000605D5">
        <w:rPr>
          <w:rFonts w:ascii="Times New Roman" w:hAnsi="Times New Roman"/>
          <w:sz w:val="19"/>
          <w:szCs w:val="19"/>
        </w:rPr>
        <w:t xml:space="preserve">In der Revision wird nur die „Verletzung des Gesetzes“ </w:t>
      </w:r>
      <w:r w:rsidR="00A51141">
        <w:rPr>
          <w:rFonts w:ascii="Times New Roman" w:hAnsi="Times New Roman"/>
          <w:sz w:val="19"/>
          <w:szCs w:val="19"/>
        </w:rPr>
        <w:t xml:space="preserve">und das „Beruhen“ der Entscheidung auf dieser Verletzung </w:t>
      </w:r>
      <w:r w:rsidRPr="000605D5">
        <w:rPr>
          <w:rFonts w:ascii="Times New Roman" w:hAnsi="Times New Roman"/>
          <w:sz w:val="19"/>
          <w:szCs w:val="19"/>
        </w:rPr>
        <w:t>überprüft, §</w:t>
      </w:r>
      <w:r w:rsidR="000E21E9">
        <w:rPr>
          <w:rFonts w:ascii="Times New Roman" w:hAnsi="Times New Roman"/>
          <w:sz w:val="19"/>
          <w:szCs w:val="19"/>
        </w:rPr>
        <w:t> </w:t>
      </w:r>
      <w:r w:rsidRPr="000605D5">
        <w:rPr>
          <w:rFonts w:ascii="Times New Roman" w:hAnsi="Times New Roman"/>
          <w:sz w:val="19"/>
          <w:szCs w:val="19"/>
        </w:rPr>
        <w:t xml:space="preserve">337 I StPO, nicht die Feststellung der Tatsachen. Die Revision ist keine erneute Tatsacheninstanz. </w:t>
      </w:r>
      <w:r w:rsidR="003F328E">
        <w:rPr>
          <w:rFonts w:ascii="Times New Roman" w:hAnsi="Times New Roman"/>
          <w:sz w:val="19"/>
          <w:szCs w:val="19"/>
        </w:rPr>
        <w:t>Zunächst wird von Amts wegen das Vorliegen der Prozessvoraussetzungen (dazu Arbeitsblatt Nr.</w:t>
      </w:r>
      <w:r w:rsidR="000E21E9">
        <w:rPr>
          <w:rFonts w:ascii="Times New Roman" w:hAnsi="Times New Roman"/>
          <w:sz w:val="19"/>
          <w:szCs w:val="19"/>
        </w:rPr>
        <w:t> </w:t>
      </w:r>
      <w:r w:rsidR="003F328E">
        <w:rPr>
          <w:rFonts w:ascii="Times New Roman" w:hAnsi="Times New Roman"/>
          <w:sz w:val="19"/>
          <w:szCs w:val="19"/>
        </w:rPr>
        <w:t>10) geprüft, danach erfolgt die Prüfung gem. §§</w:t>
      </w:r>
      <w:r w:rsidR="001B702A">
        <w:rPr>
          <w:rFonts w:ascii="Times New Roman" w:hAnsi="Times New Roman"/>
          <w:sz w:val="19"/>
          <w:szCs w:val="19"/>
        </w:rPr>
        <w:t> </w:t>
      </w:r>
      <w:r w:rsidR="003F328E">
        <w:rPr>
          <w:rFonts w:ascii="Times New Roman" w:hAnsi="Times New Roman"/>
          <w:sz w:val="19"/>
          <w:szCs w:val="19"/>
        </w:rPr>
        <w:t xml:space="preserve">337, 338 StPO. </w:t>
      </w:r>
      <w:r w:rsidRPr="000605D5">
        <w:rPr>
          <w:rFonts w:ascii="Times New Roman" w:hAnsi="Times New Roman"/>
          <w:sz w:val="19"/>
          <w:szCs w:val="19"/>
        </w:rPr>
        <w:t>Eine Verletzung des Gesetzes ist gemäß § 337 II StPO dann anzunehmen, wenn eine Rechtsnorm nicht oder nicht richtig angewendet wurde</w:t>
      </w:r>
      <w:r w:rsidRPr="000605D5">
        <w:rPr>
          <w:rFonts w:ascii="Times New Roman" w:hAnsi="Times New Roman"/>
          <w:spacing w:val="-2"/>
          <w:sz w:val="19"/>
          <w:szCs w:val="19"/>
        </w:rPr>
        <w:t xml:space="preserve">. Gesetz </w:t>
      </w:r>
      <w:proofErr w:type="spellStart"/>
      <w:r w:rsidR="00AD302A" w:rsidRPr="000605D5">
        <w:rPr>
          <w:rFonts w:ascii="Times New Roman" w:hAnsi="Times New Roman"/>
          <w:spacing w:val="-2"/>
          <w:sz w:val="19"/>
          <w:szCs w:val="19"/>
        </w:rPr>
        <w:t>i.S.d</w:t>
      </w:r>
      <w:proofErr w:type="spellEnd"/>
      <w:r w:rsidR="00AD302A" w:rsidRPr="000605D5">
        <w:rPr>
          <w:rFonts w:ascii="Times New Roman" w:hAnsi="Times New Roman"/>
          <w:spacing w:val="-2"/>
          <w:sz w:val="19"/>
          <w:szCs w:val="19"/>
        </w:rPr>
        <w:t>.</w:t>
      </w:r>
      <w:r w:rsidRPr="000605D5">
        <w:rPr>
          <w:rFonts w:ascii="Times New Roman" w:hAnsi="Times New Roman"/>
          <w:spacing w:val="-2"/>
          <w:sz w:val="19"/>
          <w:szCs w:val="19"/>
        </w:rPr>
        <w:t xml:space="preserve"> §</w:t>
      </w:r>
      <w:r w:rsidR="000E21E9">
        <w:rPr>
          <w:rFonts w:ascii="Times New Roman" w:hAnsi="Times New Roman"/>
          <w:spacing w:val="-2"/>
          <w:sz w:val="19"/>
          <w:szCs w:val="19"/>
        </w:rPr>
        <w:t> </w:t>
      </w:r>
      <w:r w:rsidRPr="000605D5">
        <w:rPr>
          <w:rFonts w:ascii="Times New Roman" w:hAnsi="Times New Roman"/>
          <w:spacing w:val="-2"/>
          <w:sz w:val="19"/>
          <w:szCs w:val="19"/>
        </w:rPr>
        <w:t xml:space="preserve">337 II StPO ist </w:t>
      </w:r>
      <w:proofErr w:type="spellStart"/>
      <w:r w:rsidRPr="000605D5">
        <w:rPr>
          <w:rFonts w:ascii="Times New Roman" w:hAnsi="Times New Roman"/>
          <w:spacing w:val="-2"/>
          <w:sz w:val="19"/>
          <w:szCs w:val="19"/>
        </w:rPr>
        <w:t>grds</w:t>
      </w:r>
      <w:proofErr w:type="spellEnd"/>
      <w:r w:rsidRPr="000605D5">
        <w:rPr>
          <w:rFonts w:ascii="Times New Roman" w:hAnsi="Times New Roman"/>
          <w:spacing w:val="-2"/>
          <w:sz w:val="19"/>
          <w:szCs w:val="19"/>
        </w:rPr>
        <w:t xml:space="preserve">. jede Rechtsnorm. Es kann sich daher um Verletzungen des Verfahrensrechts oder solche des materiellen Rechts handeln. Man unterscheidet zwischen </w:t>
      </w:r>
      <w:r w:rsidRPr="000605D5">
        <w:rPr>
          <w:rFonts w:ascii="Times New Roman" w:hAnsi="Times New Roman"/>
          <w:b/>
          <w:spacing w:val="-2"/>
          <w:sz w:val="19"/>
          <w:szCs w:val="19"/>
        </w:rPr>
        <w:t>Verfahrensrügen</w:t>
      </w:r>
      <w:r w:rsidRPr="000605D5">
        <w:rPr>
          <w:rFonts w:ascii="Times New Roman" w:hAnsi="Times New Roman"/>
          <w:spacing w:val="-2"/>
          <w:sz w:val="19"/>
          <w:szCs w:val="19"/>
        </w:rPr>
        <w:t xml:space="preserve"> und </w:t>
      </w:r>
      <w:r w:rsidRPr="000605D5">
        <w:rPr>
          <w:rFonts w:ascii="Times New Roman" w:hAnsi="Times New Roman"/>
          <w:b/>
          <w:spacing w:val="-2"/>
          <w:sz w:val="19"/>
          <w:szCs w:val="19"/>
        </w:rPr>
        <w:t>Sachrügen</w:t>
      </w:r>
      <w:r w:rsidRPr="000605D5">
        <w:rPr>
          <w:rFonts w:ascii="Times New Roman" w:hAnsi="Times New Roman"/>
          <w:spacing w:val="-2"/>
          <w:sz w:val="19"/>
          <w:szCs w:val="19"/>
        </w:rPr>
        <w:t>.</w:t>
      </w:r>
    </w:p>
    <w:p w14:paraId="471D2F41" w14:textId="77777777" w:rsidR="00D41FFE" w:rsidRPr="000605D5" w:rsidRDefault="00D41FFE" w:rsidP="00B41908">
      <w:pPr>
        <w:widowControl/>
        <w:tabs>
          <w:tab w:val="left" w:pos="-720"/>
          <w:tab w:val="left" w:pos="284"/>
          <w:tab w:val="left" w:pos="864"/>
          <w:tab w:val="left" w:pos="1116"/>
          <w:tab w:val="left" w:pos="1404"/>
          <w:tab w:val="left" w:pos="1692"/>
          <w:tab w:val="left" w:pos="1980"/>
          <w:tab w:val="left" w:pos="2268"/>
          <w:tab w:val="left" w:pos="2880"/>
        </w:tabs>
        <w:spacing w:before="120" w:line="210" w:lineRule="exact"/>
        <w:ind w:left="284" w:hanging="284"/>
        <w:jc w:val="both"/>
        <w:rPr>
          <w:rFonts w:ascii="Times New Roman" w:hAnsi="Times New Roman"/>
          <w:spacing w:val="-2"/>
          <w:sz w:val="19"/>
          <w:szCs w:val="19"/>
        </w:rPr>
      </w:pPr>
      <w:r w:rsidRPr="000605D5">
        <w:rPr>
          <w:rFonts w:ascii="Times New Roman" w:hAnsi="Times New Roman"/>
          <w:b/>
          <w:spacing w:val="-2"/>
          <w:sz w:val="19"/>
          <w:szCs w:val="19"/>
        </w:rPr>
        <w:t xml:space="preserve">II. </w:t>
      </w:r>
      <w:r w:rsidR="00AD302A" w:rsidRPr="000605D5">
        <w:rPr>
          <w:rFonts w:ascii="Times New Roman" w:hAnsi="Times New Roman"/>
          <w:b/>
          <w:spacing w:val="-2"/>
          <w:sz w:val="19"/>
          <w:szCs w:val="19"/>
        </w:rPr>
        <w:tab/>
      </w:r>
      <w:r w:rsidRPr="000605D5">
        <w:rPr>
          <w:rFonts w:ascii="Times New Roman" w:hAnsi="Times New Roman"/>
          <w:b/>
          <w:spacing w:val="-2"/>
          <w:sz w:val="19"/>
          <w:szCs w:val="19"/>
        </w:rPr>
        <w:t>Verfahrensrügen:</w:t>
      </w:r>
      <w:r w:rsidRPr="000605D5">
        <w:rPr>
          <w:rFonts w:ascii="Times New Roman" w:hAnsi="Times New Roman"/>
          <w:spacing w:val="-2"/>
          <w:sz w:val="19"/>
          <w:szCs w:val="19"/>
        </w:rPr>
        <w:t xml:space="preserve"> Mit einer Verfahrensrüge werden Verfahrensfehler beanstandet. </w:t>
      </w:r>
      <w:r w:rsidR="007F0F32" w:rsidRPr="000605D5">
        <w:rPr>
          <w:rFonts w:ascii="Times New Roman" w:hAnsi="Times New Roman"/>
          <w:spacing w:val="-2"/>
          <w:sz w:val="19"/>
          <w:szCs w:val="19"/>
        </w:rPr>
        <w:t>Die als verletzt gerügte Norm des Verfahrensrechts muss in der Revisionsbegründung genau bezeichnet werden. Die Überprüfung durch das Revisionsgericht erstreckt sich allein auf die hier bezeichneten Verstöße gegen das Verfahrensrecht (§ 352 </w:t>
      </w:r>
      <w:r w:rsidR="00601CF0">
        <w:rPr>
          <w:rFonts w:ascii="Times New Roman" w:hAnsi="Times New Roman"/>
          <w:spacing w:val="-2"/>
          <w:sz w:val="19"/>
          <w:szCs w:val="19"/>
        </w:rPr>
        <w:t>I</w:t>
      </w:r>
      <w:r w:rsidR="007F0F32" w:rsidRPr="000605D5">
        <w:rPr>
          <w:rFonts w:ascii="Times New Roman" w:hAnsi="Times New Roman"/>
          <w:spacing w:val="-2"/>
          <w:sz w:val="19"/>
          <w:szCs w:val="19"/>
        </w:rPr>
        <w:t xml:space="preserve"> StPO). Außerdem müssen in der Revisionsbegründung die den Verfahrensfehler begründenden Tatsachen genau geschildert (§ 344 </w:t>
      </w:r>
      <w:r w:rsidR="00601CF0">
        <w:rPr>
          <w:rFonts w:ascii="Times New Roman" w:hAnsi="Times New Roman"/>
          <w:spacing w:val="-2"/>
          <w:sz w:val="19"/>
          <w:szCs w:val="19"/>
        </w:rPr>
        <w:t>II 1 Alt. 1,</w:t>
      </w:r>
      <w:r w:rsidR="007F0F32" w:rsidRPr="000605D5">
        <w:rPr>
          <w:rFonts w:ascii="Times New Roman" w:hAnsi="Times New Roman"/>
          <w:spacing w:val="-2"/>
          <w:sz w:val="19"/>
          <w:szCs w:val="19"/>
        </w:rPr>
        <w:t xml:space="preserve"> 2 StPO) und auch bewiesen werden. </w:t>
      </w:r>
      <w:r w:rsidRPr="000605D5">
        <w:rPr>
          <w:rFonts w:ascii="Times New Roman" w:hAnsi="Times New Roman"/>
          <w:spacing w:val="-2"/>
          <w:sz w:val="19"/>
          <w:szCs w:val="19"/>
        </w:rPr>
        <w:t>Geht es um Fehler im Hauptverfahren, so sind diese regelmäßig anhand des Verhandlungsprotokolls nachzuweisen. Bei sonstigen Verfahrensmängeln, etwa solchen im Ermittlungsverfahren, steht der Freibeweis zur Verfügung.</w:t>
      </w:r>
    </w:p>
    <w:p w14:paraId="45AA9D91" w14:textId="7B76AB27" w:rsidR="00D41FFE" w:rsidRPr="000605D5" w:rsidRDefault="00D41FFE" w:rsidP="00B41908">
      <w:pPr>
        <w:widowControl/>
        <w:tabs>
          <w:tab w:val="left" w:pos="-720"/>
          <w:tab w:val="left" w:pos="567"/>
          <w:tab w:val="left" w:pos="864"/>
          <w:tab w:val="left" w:pos="1116"/>
          <w:tab w:val="left" w:pos="1404"/>
          <w:tab w:val="left" w:pos="1692"/>
          <w:tab w:val="left" w:pos="1980"/>
          <w:tab w:val="left" w:pos="2268"/>
          <w:tab w:val="left" w:pos="2880"/>
        </w:tabs>
        <w:spacing w:line="210" w:lineRule="exact"/>
        <w:ind w:left="568" w:hanging="284"/>
        <w:jc w:val="both"/>
        <w:rPr>
          <w:rFonts w:ascii="Times New Roman" w:hAnsi="Times New Roman"/>
          <w:spacing w:val="-2"/>
          <w:sz w:val="19"/>
          <w:szCs w:val="19"/>
        </w:rPr>
      </w:pPr>
      <w:r w:rsidRPr="000605D5">
        <w:rPr>
          <w:rFonts w:ascii="Times New Roman" w:hAnsi="Times New Roman"/>
          <w:spacing w:val="-2"/>
          <w:sz w:val="19"/>
          <w:szCs w:val="19"/>
          <w:u w:val="single"/>
        </w:rPr>
        <w:t xml:space="preserve">1. </w:t>
      </w:r>
      <w:r w:rsidRPr="000605D5">
        <w:rPr>
          <w:rFonts w:ascii="Times New Roman" w:hAnsi="Times New Roman"/>
          <w:spacing w:val="-2"/>
          <w:sz w:val="19"/>
          <w:szCs w:val="19"/>
          <w:u w:val="single"/>
        </w:rPr>
        <w:tab/>
        <w:t>Relative Revisionsgründe, §</w:t>
      </w:r>
      <w:r w:rsidR="000E21E9">
        <w:rPr>
          <w:rFonts w:ascii="Times New Roman" w:hAnsi="Times New Roman"/>
          <w:spacing w:val="-2"/>
          <w:sz w:val="19"/>
          <w:szCs w:val="19"/>
          <w:u w:val="single"/>
        </w:rPr>
        <w:t> </w:t>
      </w:r>
      <w:r w:rsidRPr="000605D5">
        <w:rPr>
          <w:rFonts w:ascii="Times New Roman" w:hAnsi="Times New Roman"/>
          <w:spacing w:val="-2"/>
          <w:sz w:val="19"/>
          <w:szCs w:val="19"/>
          <w:u w:val="single"/>
        </w:rPr>
        <w:t>337 StPO:</w:t>
      </w:r>
      <w:r w:rsidRPr="000605D5">
        <w:rPr>
          <w:rFonts w:ascii="Times New Roman" w:hAnsi="Times New Roman"/>
          <w:spacing w:val="-2"/>
          <w:sz w:val="19"/>
          <w:szCs w:val="19"/>
        </w:rPr>
        <w:t xml:space="preserve"> Das bloße Vorliegen eines Fehlers genügt bei den so</w:t>
      </w:r>
      <w:r w:rsidR="000E21E9">
        <w:rPr>
          <w:rFonts w:ascii="Times New Roman" w:hAnsi="Times New Roman"/>
          <w:spacing w:val="-2"/>
          <w:sz w:val="19"/>
          <w:szCs w:val="19"/>
        </w:rPr>
        <w:t xml:space="preserve">g. </w:t>
      </w:r>
      <w:r w:rsidRPr="000605D5">
        <w:rPr>
          <w:rFonts w:ascii="Times New Roman" w:hAnsi="Times New Roman"/>
          <w:spacing w:val="-2"/>
          <w:sz w:val="19"/>
          <w:szCs w:val="19"/>
        </w:rPr>
        <w:t xml:space="preserve">relativen Revisionsgründen noch nicht für die Begründetheit der Revision. </w:t>
      </w:r>
      <w:r w:rsidR="000C422B">
        <w:rPr>
          <w:rFonts w:ascii="Times New Roman" w:hAnsi="Times New Roman"/>
          <w:spacing w:val="-2"/>
          <w:sz w:val="19"/>
          <w:szCs w:val="19"/>
        </w:rPr>
        <w:t>Dies ist nur dann der Fall</w:t>
      </w:r>
      <w:r w:rsidRPr="000605D5">
        <w:rPr>
          <w:rFonts w:ascii="Times New Roman" w:hAnsi="Times New Roman"/>
          <w:spacing w:val="-2"/>
          <w:sz w:val="19"/>
          <w:szCs w:val="19"/>
        </w:rPr>
        <w:t>, wenn das Urteil auch tatsächlich auf dem Verfahrensfehler „beruh</w:t>
      </w:r>
      <w:r w:rsidR="000E21E9">
        <w:rPr>
          <w:rFonts w:ascii="Times New Roman" w:hAnsi="Times New Roman"/>
          <w:spacing w:val="-2"/>
          <w:sz w:val="19"/>
          <w:szCs w:val="19"/>
        </w:rPr>
        <w:t>t</w:t>
      </w:r>
      <w:r w:rsidRPr="000605D5">
        <w:rPr>
          <w:rFonts w:ascii="Times New Roman" w:hAnsi="Times New Roman"/>
          <w:spacing w:val="-2"/>
          <w:sz w:val="19"/>
          <w:szCs w:val="19"/>
        </w:rPr>
        <w:t>“, § 337 I StPO. Hierfür ist allerdings nicht der genaue Nachweis erforderlich, dass dieser Fehler tatsächlich kausal wurde, sondern nur dass die Ursächlichkeit des Mangels nicht ausgeschlossen werden kann. Das Gericht prüft im Revisionsverfahren diese Möglichkeit des „Beruhens“ auf dem Mangel.</w:t>
      </w:r>
    </w:p>
    <w:p w14:paraId="3D6B8C0F" w14:textId="1290F7F9" w:rsidR="00D41FFE" w:rsidRPr="000605D5" w:rsidRDefault="00D41FFE" w:rsidP="00B4190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10" w:lineRule="exact"/>
        <w:ind w:left="576" w:hanging="292"/>
        <w:jc w:val="both"/>
        <w:rPr>
          <w:rFonts w:ascii="Times New Roman" w:hAnsi="Times New Roman"/>
          <w:spacing w:val="-2"/>
          <w:sz w:val="19"/>
          <w:szCs w:val="19"/>
        </w:rPr>
      </w:pPr>
      <w:r w:rsidRPr="000605D5">
        <w:rPr>
          <w:rFonts w:ascii="Times New Roman" w:hAnsi="Times New Roman"/>
          <w:spacing w:val="-2"/>
          <w:sz w:val="19"/>
          <w:szCs w:val="19"/>
          <w:u w:val="single"/>
        </w:rPr>
        <w:t xml:space="preserve">2. </w:t>
      </w:r>
      <w:r w:rsidRPr="000605D5">
        <w:rPr>
          <w:rFonts w:ascii="Times New Roman" w:hAnsi="Times New Roman"/>
          <w:spacing w:val="-2"/>
          <w:sz w:val="19"/>
          <w:szCs w:val="19"/>
          <w:u w:val="single"/>
        </w:rPr>
        <w:tab/>
        <w:t>Absolute Revisionsgründe, §</w:t>
      </w:r>
      <w:r w:rsidR="000E21E9">
        <w:rPr>
          <w:rFonts w:ascii="Times New Roman" w:hAnsi="Times New Roman"/>
          <w:spacing w:val="-2"/>
          <w:sz w:val="19"/>
          <w:szCs w:val="19"/>
          <w:u w:val="single"/>
        </w:rPr>
        <w:t> </w:t>
      </w:r>
      <w:r w:rsidRPr="000605D5">
        <w:rPr>
          <w:rFonts w:ascii="Times New Roman" w:hAnsi="Times New Roman"/>
          <w:spacing w:val="-2"/>
          <w:sz w:val="19"/>
          <w:szCs w:val="19"/>
          <w:u w:val="single"/>
        </w:rPr>
        <w:t>338 StPO:</w:t>
      </w:r>
      <w:r w:rsidRPr="000605D5">
        <w:rPr>
          <w:rFonts w:ascii="Times New Roman" w:hAnsi="Times New Roman"/>
          <w:spacing w:val="-2"/>
          <w:sz w:val="19"/>
          <w:szCs w:val="19"/>
        </w:rPr>
        <w:t xml:space="preserve"> Bei bestimmten absoluten Revisionsgründen entfällt allerdings sogar eine solche Überprüfung der Möglichkeit der Kausalität des Fehlers. Diese Verstöße werden als so gravierend eingestuft, dass bei ihrem Vorliegen das Beruhen des Urteils auf diesem Verfahrensmangel unwiderleglich vermutet wird, die Revision also automatisch begründet ist.</w:t>
      </w:r>
    </w:p>
    <w:p w14:paraId="61E8E0C2" w14:textId="77777777" w:rsidR="00D41FFE" w:rsidRPr="000605D5" w:rsidRDefault="00D41FFE" w:rsidP="00B4190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10" w:lineRule="exact"/>
        <w:ind w:left="576" w:hanging="576"/>
        <w:jc w:val="both"/>
        <w:rPr>
          <w:rFonts w:ascii="Times New Roman" w:hAnsi="Times New Roman"/>
          <w:spacing w:val="-2"/>
          <w:sz w:val="19"/>
          <w:szCs w:val="19"/>
        </w:rPr>
      </w:pPr>
      <w:r w:rsidRPr="000605D5">
        <w:rPr>
          <w:rFonts w:ascii="Times New Roman" w:hAnsi="Times New Roman"/>
          <w:spacing w:val="-2"/>
          <w:sz w:val="19"/>
          <w:szCs w:val="19"/>
        </w:rPr>
        <w:tab/>
      </w:r>
      <w:r w:rsidRPr="000605D5">
        <w:rPr>
          <w:rFonts w:ascii="Times New Roman" w:hAnsi="Times New Roman"/>
          <w:spacing w:val="-2"/>
          <w:sz w:val="19"/>
          <w:szCs w:val="19"/>
        </w:rPr>
        <w:tab/>
      </w:r>
      <w:r w:rsidRPr="000605D5">
        <w:rPr>
          <w:rFonts w:ascii="Times New Roman" w:hAnsi="Times New Roman"/>
          <w:spacing w:val="-2"/>
          <w:sz w:val="19"/>
          <w:szCs w:val="19"/>
          <w:u w:val="single"/>
        </w:rPr>
        <w:t>§ 338 StPO nennt</w:t>
      </w:r>
      <w:r w:rsidRPr="000605D5">
        <w:rPr>
          <w:rFonts w:ascii="Times New Roman" w:hAnsi="Times New Roman"/>
          <w:spacing w:val="-2"/>
          <w:sz w:val="19"/>
          <w:szCs w:val="19"/>
        </w:rPr>
        <w:t>:</w:t>
      </w:r>
    </w:p>
    <w:p w14:paraId="3E034CFE" w14:textId="5E85C839"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a) </w:t>
      </w:r>
      <w:r w:rsidRPr="000605D5">
        <w:rPr>
          <w:rFonts w:ascii="Times New Roman" w:hAnsi="Times New Roman"/>
          <w:spacing w:val="-2"/>
          <w:sz w:val="19"/>
          <w:szCs w:val="19"/>
        </w:rPr>
        <w:tab/>
        <w:t>die nicht vorschriftsmäßige Besetzung des Gerichts (Nr.</w:t>
      </w:r>
      <w:r w:rsidR="000E21E9">
        <w:rPr>
          <w:rFonts w:ascii="Times New Roman" w:hAnsi="Times New Roman"/>
          <w:spacing w:val="-2"/>
          <w:sz w:val="19"/>
          <w:szCs w:val="19"/>
        </w:rPr>
        <w:t> </w:t>
      </w:r>
      <w:r w:rsidRPr="000605D5">
        <w:rPr>
          <w:rFonts w:ascii="Times New Roman" w:hAnsi="Times New Roman"/>
          <w:spacing w:val="-2"/>
          <w:sz w:val="19"/>
          <w:szCs w:val="19"/>
        </w:rPr>
        <w:t>1),</w:t>
      </w:r>
    </w:p>
    <w:p w14:paraId="1FAD6FF0" w14:textId="4D5F1876" w:rsidR="00D41FFE" w:rsidRPr="000605D5" w:rsidRDefault="00D41FFE" w:rsidP="00B4190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10" w:lineRule="exact"/>
        <w:ind w:left="864" w:hanging="297"/>
        <w:jc w:val="both"/>
        <w:rPr>
          <w:rFonts w:ascii="Times New Roman" w:hAnsi="Times New Roman"/>
          <w:spacing w:val="-2"/>
          <w:sz w:val="19"/>
          <w:szCs w:val="19"/>
        </w:rPr>
      </w:pPr>
      <w:r w:rsidRPr="000605D5">
        <w:rPr>
          <w:rFonts w:ascii="Times New Roman" w:hAnsi="Times New Roman"/>
          <w:spacing w:val="-2"/>
          <w:sz w:val="19"/>
          <w:szCs w:val="19"/>
        </w:rPr>
        <w:t xml:space="preserve">b) </w:t>
      </w:r>
      <w:r w:rsidRPr="000605D5">
        <w:rPr>
          <w:rFonts w:ascii="Times New Roman" w:hAnsi="Times New Roman"/>
          <w:spacing w:val="-2"/>
          <w:sz w:val="19"/>
          <w:szCs w:val="19"/>
        </w:rPr>
        <w:tab/>
        <w:t>die Mitwirkung von ausgeschlossenen oder wegen Befangenheit abgelehnten Richtern oder Schöffen (Nr.</w:t>
      </w:r>
      <w:r w:rsidR="000E21E9">
        <w:rPr>
          <w:rFonts w:ascii="Times New Roman" w:hAnsi="Times New Roman"/>
          <w:spacing w:val="-2"/>
          <w:sz w:val="19"/>
          <w:szCs w:val="19"/>
        </w:rPr>
        <w:t> </w:t>
      </w:r>
      <w:r w:rsidRPr="000605D5">
        <w:rPr>
          <w:rFonts w:ascii="Times New Roman" w:hAnsi="Times New Roman"/>
          <w:spacing w:val="-2"/>
          <w:sz w:val="19"/>
          <w:szCs w:val="19"/>
        </w:rPr>
        <w:t>2 und 3),</w:t>
      </w:r>
    </w:p>
    <w:p w14:paraId="5BABFE7C" w14:textId="543A33F8"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c) </w:t>
      </w:r>
      <w:r w:rsidRPr="000605D5">
        <w:rPr>
          <w:rFonts w:ascii="Times New Roman" w:hAnsi="Times New Roman"/>
          <w:spacing w:val="-2"/>
          <w:sz w:val="19"/>
          <w:szCs w:val="19"/>
        </w:rPr>
        <w:tab/>
        <w:t>die Unzuständigkeit des Gerichts (Nr.</w:t>
      </w:r>
      <w:r w:rsidR="000E21E9">
        <w:rPr>
          <w:rFonts w:ascii="Times New Roman" w:hAnsi="Times New Roman"/>
          <w:spacing w:val="-2"/>
          <w:sz w:val="19"/>
          <w:szCs w:val="19"/>
        </w:rPr>
        <w:t> </w:t>
      </w:r>
      <w:r w:rsidRPr="000605D5">
        <w:rPr>
          <w:rFonts w:ascii="Times New Roman" w:hAnsi="Times New Roman"/>
          <w:spacing w:val="-2"/>
          <w:sz w:val="19"/>
          <w:szCs w:val="19"/>
        </w:rPr>
        <w:t>4),</w:t>
      </w:r>
    </w:p>
    <w:p w14:paraId="704ED301" w14:textId="77777777"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d) </w:t>
      </w:r>
      <w:r w:rsidRPr="000605D5">
        <w:rPr>
          <w:rFonts w:ascii="Times New Roman" w:hAnsi="Times New Roman"/>
          <w:spacing w:val="-2"/>
          <w:sz w:val="19"/>
          <w:szCs w:val="19"/>
        </w:rPr>
        <w:tab/>
        <w:t xml:space="preserve">die Abwesenheit der </w:t>
      </w:r>
      <w:proofErr w:type="spellStart"/>
      <w:r w:rsidRPr="000605D5">
        <w:rPr>
          <w:rFonts w:ascii="Times New Roman" w:hAnsi="Times New Roman"/>
          <w:spacing w:val="-2"/>
          <w:sz w:val="19"/>
          <w:szCs w:val="19"/>
        </w:rPr>
        <w:t>StA</w:t>
      </w:r>
      <w:proofErr w:type="spellEnd"/>
      <w:r w:rsidRPr="000605D5">
        <w:rPr>
          <w:rFonts w:ascii="Times New Roman" w:hAnsi="Times New Roman"/>
          <w:spacing w:val="-2"/>
          <w:sz w:val="19"/>
          <w:szCs w:val="19"/>
        </w:rPr>
        <w:t xml:space="preserve"> oder sonstiger notwendiger Beteiligter (Nr. 5),</w:t>
      </w:r>
    </w:p>
    <w:p w14:paraId="1B01C626" w14:textId="77777777"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e) </w:t>
      </w:r>
      <w:r w:rsidRPr="000605D5">
        <w:rPr>
          <w:rFonts w:ascii="Times New Roman" w:hAnsi="Times New Roman"/>
          <w:spacing w:val="-2"/>
          <w:sz w:val="19"/>
          <w:szCs w:val="19"/>
        </w:rPr>
        <w:tab/>
        <w:t>die Verletzung der Vorschriften über die Öffentlichkeit (Nr. 6),</w:t>
      </w:r>
    </w:p>
    <w:p w14:paraId="2E1B7227" w14:textId="57E88769"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f) </w:t>
      </w:r>
      <w:r w:rsidRPr="000605D5">
        <w:rPr>
          <w:rFonts w:ascii="Times New Roman" w:hAnsi="Times New Roman"/>
          <w:spacing w:val="-2"/>
          <w:sz w:val="19"/>
          <w:szCs w:val="19"/>
        </w:rPr>
        <w:tab/>
        <w:t>das Fehlen der Entscheidungsgründe (Nr.</w:t>
      </w:r>
      <w:r w:rsidR="000E21E9">
        <w:rPr>
          <w:rFonts w:ascii="Times New Roman" w:hAnsi="Times New Roman"/>
          <w:spacing w:val="-2"/>
          <w:sz w:val="19"/>
          <w:szCs w:val="19"/>
        </w:rPr>
        <w:t> </w:t>
      </w:r>
      <w:r w:rsidRPr="000605D5">
        <w:rPr>
          <w:rFonts w:ascii="Times New Roman" w:hAnsi="Times New Roman"/>
          <w:spacing w:val="-2"/>
          <w:sz w:val="19"/>
          <w:szCs w:val="19"/>
        </w:rPr>
        <w:t>7) und</w:t>
      </w:r>
    </w:p>
    <w:p w14:paraId="6DF70D8B" w14:textId="1E5FA4AB" w:rsidR="00D41FFE" w:rsidRPr="000605D5" w:rsidRDefault="00D41FFE" w:rsidP="00B41908">
      <w:pPr>
        <w:widowControl/>
        <w:tabs>
          <w:tab w:val="left" w:pos="-720"/>
          <w:tab w:val="left" w:pos="0"/>
          <w:tab w:val="left" w:pos="288"/>
          <w:tab w:val="left" w:pos="851"/>
          <w:tab w:val="left" w:pos="1116"/>
          <w:tab w:val="left" w:pos="1404"/>
          <w:tab w:val="left" w:pos="1692"/>
          <w:tab w:val="left" w:pos="1980"/>
          <w:tab w:val="left" w:pos="2268"/>
          <w:tab w:val="left" w:pos="2880"/>
        </w:tabs>
        <w:spacing w:line="210" w:lineRule="exact"/>
        <w:ind w:left="851" w:hanging="284"/>
        <w:jc w:val="both"/>
        <w:rPr>
          <w:rFonts w:ascii="Times New Roman" w:hAnsi="Times New Roman"/>
          <w:spacing w:val="-2"/>
          <w:sz w:val="19"/>
          <w:szCs w:val="19"/>
        </w:rPr>
      </w:pPr>
      <w:r w:rsidRPr="000605D5">
        <w:rPr>
          <w:rFonts w:ascii="Times New Roman" w:hAnsi="Times New Roman"/>
          <w:spacing w:val="-2"/>
          <w:sz w:val="19"/>
          <w:szCs w:val="19"/>
        </w:rPr>
        <w:t xml:space="preserve">g) </w:t>
      </w:r>
      <w:r w:rsidRPr="000605D5">
        <w:rPr>
          <w:rFonts w:ascii="Times New Roman" w:hAnsi="Times New Roman"/>
          <w:spacing w:val="-2"/>
          <w:sz w:val="19"/>
          <w:szCs w:val="19"/>
        </w:rPr>
        <w:tab/>
        <w:t xml:space="preserve">die unzulässige Beschränkung der Verteidigung in einem für die Entscheidung wesentlichen Punkt </w:t>
      </w:r>
      <w:r w:rsidR="001960D9" w:rsidRPr="000605D5">
        <w:rPr>
          <w:rFonts w:ascii="Times New Roman" w:hAnsi="Times New Roman"/>
          <w:spacing w:val="-2"/>
          <w:sz w:val="19"/>
          <w:szCs w:val="19"/>
        </w:rPr>
        <w:t xml:space="preserve">durch einen Beschluss des Gerichts </w:t>
      </w:r>
      <w:r w:rsidRPr="000605D5">
        <w:rPr>
          <w:rFonts w:ascii="Times New Roman" w:hAnsi="Times New Roman"/>
          <w:spacing w:val="-2"/>
          <w:sz w:val="19"/>
          <w:szCs w:val="19"/>
        </w:rPr>
        <w:t>(Nr.</w:t>
      </w:r>
      <w:r w:rsidR="000E21E9">
        <w:rPr>
          <w:rFonts w:ascii="Times New Roman" w:hAnsi="Times New Roman"/>
          <w:spacing w:val="-2"/>
          <w:sz w:val="19"/>
          <w:szCs w:val="19"/>
        </w:rPr>
        <w:t> </w:t>
      </w:r>
      <w:r w:rsidRPr="000605D5">
        <w:rPr>
          <w:rFonts w:ascii="Times New Roman" w:hAnsi="Times New Roman"/>
          <w:spacing w:val="-2"/>
          <w:sz w:val="19"/>
          <w:szCs w:val="19"/>
        </w:rPr>
        <w:t>8).</w:t>
      </w:r>
      <w:r w:rsidR="001960D9" w:rsidRPr="000605D5">
        <w:rPr>
          <w:rFonts w:ascii="Times New Roman" w:hAnsi="Times New Roman"/>
          <w:spacing w:val="-2"/>
          <w:sz w:val="19"/>
          <w:szCs w:val="19"/>
        </w:rPr>
        <w:t xml:space="preserve"> Ein solcher Beschluss muss seitens des Angeklagten ggf. durch Beanstandung einer Anordnung herbeigeführt werden (§</w:t>
      </w:r>
      <w:r w:rsidR="000E21E9">
        <w:rPr>
          <w:rFonts w:ascii="Times New Roman" w:hAnsi="Times New Roman"/>
          <w:spacing w:val="-2"/>
          <w:sz w:val="19"/>
          <w:szCs w:val="19"/>
        </w:rPr>
        <w:t> </w:t>
      </w:r>
      <w:r w:rsidR="001960D9" w:rsidRPr="000605D5">
        <w:rPr>
          <w:rFonts w:ascii="Times New Roman" w:hAnsi="Times New Roman"/>
          <w:spacing w:val="-2"/>
          <w:sz w:val="19"/>
          <w:szCs w:val="19"/>
        </w:rPr>
        <w:t xml:space="preserve">238 </w:t>
      </w:r>
      <w:r w:rsidR="00A75233">
        <w:rPr>
          <w:rFonts w:ascii="Times New Roman" w:hAnsi="Times New Roman"/>
          <w:spacing w:val="-2"/>
          <w:sz w:val="19"/>
          <w:szCs w:val="19"/>
        </w:rPr>
        <w:t>II</w:t>
      </w:r>
      <w:r w:rsidR="001960D9" w:rsidRPr="000605D5">
        <w:rPr>
          <w:rFonts w:ascii="Times New Roman" w:hAnsi="Times New Roman"/>
          <w:spacing w:val="-2"/>
          <w:sz w:val="19"/>
          <w:szCs w:val="19"/>
        </w:rPr>
        <w:t xml:space="preserve"> StPO).</w:t>
      </w:r>
    </w:p>
    <w:p w14:paraId="39CF835C" w14:textId="5857CFAA" w:rsidR="00D41FFE" w:rsidRPr="000605D5" w:rsidRDefault="00D41FFE" w:rsidP="00B41908">
      <w:pPr>
        <w:spacing w:line="210" w:lineRule="exact"/>
        <w:ind w:left="567"/>
        <w:jc w:val="both"/>
        <w:rPr>
          <w:rFonts w:ascii="Times New Roman" w:hAnsi="Times New Roman"/>
          <w:sz w:val="19"/>
          <w:szCs w:val="19"/>
        </w:rPr>
      </w:pPr>
      <w:r w:rsidRPr="000605D5">
        <w:rPr>
          <w:rFonts w:ascii="Times New Roman" w:hAnsi="Times New Roman"/>
          <w:sz w:val="19"/>
          <w:szCs w:val="19"/>
        </w:rPr>
        <w:t xml:space="preserve">Zu beachten ist aber, dass die absoluten Revisionsgründe durch die Rechtsprechung sehr restriktiv interpretiert werden: </w:t>
      </w:r>
      <w:r w:rsidR="0005040F">
        <w:rPr>
          <w:rFonts w:ascii="Times New Roman" w:hAnsi="Times New Roman"/>
          <w:sz w:val="19"/>
          <w:szCs w:val="19"/>
        </w:rPr>
        <w:t>S</w:t>
      </w:r>
      <w:r w:rsidRPr="000605D5">
        <w:rPr>
          <w:rFonts w:ascii="Times New Roman" w:hAnsi="Times New Roman"/>
          <w:sz w:val="19"/>
          <w:szCs w:val="19"/>
        </w:rPr>
        <w:t>o wird etwa für die Nr.</w:t>
      </w:r>
      <w:r w:rsidR="000E21E9">
        <w:rPr>
          <w:rFonts w:ascii="Times New Roman" w:hAnsi="Times New Roman"/>
          <w:sz w:val="19"/>
          <w:szCs w:val="19"/>
        </w:rPr>
        <w:t> </w:t>
      </w:r>
      <w:r w:rsidRPr="000605D5">
        <w:rPr>
          <w:rFonts w:ascii="Times New Roman" w:hAnsi="Times New Roman"/>
          <w:sz w:val="19"/>
          <w:szCs w:val="19"/>
        </w:rPr>
        <w:t xml:space="preserve">5 die Abwesenheit </w:t>
      </w:r>
      <w:r w:rsidRPr="000605D5">
        <w:rPr>
          <w:rFonts w:ascii="Times New Roman" w:hAnsi="Times New Roman"/>
          <w:b/>
          <w:sz w:val="19"/>
          <w:szCs w:val="19"/>
        </w:rPr>
        <w:t>in wesentlichen Teilen</w:t>
      </w:r>
      <w:r w:rsidRPr="000605D5">
        <w:rPr>
          <w:rFonts w:ascii="Times New Roman" w:hAnsi="Times New Roman"/>
          <w:sz w:val="19"/>
          <w:szCs w:val="19"/>
        </w:rPr>
        <w:t xml:space="preserve"> der Hauptverhandlung und für die Nr.</w:t>
      </w:r>
      <w:r w:rsidR="000E21E9">
        <w:rPr>
          <w:rFonts w:ascii="Times New Roman" w:hAnsi="Times New Roman"/>
          <w:sz w:val="19"/>
          <w:szCs w:val="19"/>
        </w:rPr>
        <w:t> </w:t>
      </w:r>
      <w:r w:rsidRPr="000605D5">
        <w:rPr>
          <w:rFonts w:ascii="Times New Roman" w:hAnsi="Times New Roman"/>
          <w:sz w:val="19"/>
          <w:szCs w:val="19"/>
        </w:rPr>
        <w:t xml:space="preserve">8 gefordert, dass die Sachentscheidung </w:t>
      </w:r>
      <w:r w:rsidRPr="000605D5">
        <w:rPr>
          <w:rFonts w:ascii="Times New Roman" w:hAnsi="Times New Roman"/>
          <w:b/>
          <w:sz w:val="19"/>
          <w:szCs w:val="19"/>
        </w:rPr>
        <w:t>in engem Zusammenhang</w:t>
      </w:r>
      <w:r w:rsidRPr="000605D5">
        <w:rPr>
          <w:rFonts w:ascii="Times New Roman" w:hAnsi="Times New Roman"/>
          <w:sz w:val="19"/>
          <w:szCs w:val="19"/>
        </w:rPr>
        <w:t xml:space="preserve"> mit der Beschränkung der Verteidigerrechte stehen muss – dies führt in letzterem Fall dazu, dass die Nr.</w:t>
      </w:r>
      <w:r w:rsidR="000E21E9">
        <w:rPr>
          <w:rFonts w:ascii="Times New Roman" w:hAnsi="Times New Roman"/>
          <w:sz w:val="19"/>
          <w:szCs w:val="19"/>
        </w:rPr>
        <w:t> </w:t>
      </w:r>
      <w:r w:rsidRPr="000605D5">
        <w:rPr>
          <w:rFonts w:ascii="Times New Roman" w:hAnsi="Times New Roman"/>
          <w:sz w:val="19"/>
          <w:szCs w:val="19"/>
        </w:rPr>
        <w:t xml:space="preserve">8 </w:t>
      </w:r>
      <w:proofErr w:type="gramStart"/>
      <w:r w:rsidRPr="000605D5">
        <w:rPr>
          <w:rFonts w:ascii="Times New Roman" w:hAnsi="Times New Roman"/>
          <w:sz w:val="19"/>
          <w:szCs w:val="19"/>
        </w:rPr>
        <w:t>letztlich</w:t>
      </w:r>
      <w:proofErr w:type="gramEnd"/>
      <w:r w:rsidRPr="000605D5">
        <w:rPr>
          <w:rFonts w:ascii="Times New Roman" w:hAnsi="Times New Roman"/>
          <w:sz w:val="19"/>
          <w:szCs w:val="19"/>
        </w:rPr>
        <w:t xml:space="preserve"> wie ein relativer Revisionsgrund gehandhabt wird.</w:t>
      </w:r>
    </w:p>
    <w:p w14:paraId="68EF2F9E" w14:textId="77777777" w:rsidR="00D41FFE" w:rsidRPr="000605D5" w:rsidRDefault="00D41FFE" w:rsidP="00B41908">
      <w:pPr>
        <w:spacing w:before="120" w:line="210" w:lineRule="exact"/>
        <w:ind w:left="284" w:hanging="284"/>
        <w:jc w:val="both"/>
        <w:rPr>
          <w:rFonts w:ascii="Times New Roman" w:hAnsi="Times New Roman"/>
          <w:sz w:val="19"/>
          <w:szCs w:val="19"/>
        </w:rPr>
      </w:pPr>
      <w:r w:rsidRPr="000605D5">
        <w:rPr>
          <w:rFonts w:ascii="Times New Roman" w:hAnsi="Times New Roman"/>
          <w:b/>
          <w:sz w:val="19"/>
          <w:szCs w:val="19"/>
        </w:rPr>
        <w:t>III.</w:t>
      </w:r>
      <w:r w:rsidR="00672B84">
        <w:rPr>
          <w:rFonts w:ascii="Times New Roman" w:hAnsi="Times New Roman"/>
          <w:b/>
          <w:sz w:val="19"/>
          <w:szCs w:val="19"/>
        </w:rPr>
        <w:t xml:space="preserve"> </w:t>
      </w:r>
      <w:r w:rsidRPr="000605D5">
        <w:rPr>
          <w:rFonts w:ascii="Times New Roman" w:hAnsi="Times New Roman"/>
          <w:b/>
          <w:sz w:val="19"/>
          <w:szCs w:val="19"/>
        </w:rPr>
        <w:t>Sachrügen:</w:t>
      </w:r>
      <w:r w:rsidRPr="000605D5">
        <w:rPr>
          <w:rFonts w:ascii="Times New Roman" w:hAnsi="Times New Roman"/>
          <w:sz w:val="19"/>
          <w:szCs w:val="19"/>
        </w:rPr>
        <w:t xml:space="preserve"> Mit der Sachrüge wird vorgebracht, dass das materielle Recht fehlerhaft angewandt wurde. Im Gegensatz zur Verfahrensrüge ist hier eine generelle allgemeine Rüge zulässig, ohne dass der konkrete Fehler bezeichnet wird. Es muss sich aus der Revisionsbegründung nur ergeben, dass die Verletzung materiellen Rechts überhaupt gerügt wird, § 344 II 1 StPO. Denn das Revisionsgericht nimmt stets eine vollständige Überprüfung des materiellen Rechts vor. In der Praxis wird regelmäßig der folgende Satz verwandt: „Gerügt wird die Verletzung materiellen Rechts“. Die Überprüfung des materiellen Rechts kann einerseits Rechtsfragen und Auslegung des Gesetzes, andererseits aber auch die Tragfähigkeit der Beweisführung im Hinblick auf die Würdigung der Beweise</w:t>
      </w:r>
      <w:r w:rsidR="009C6082" w:rsidRPr="000605D5">
        <w:rPr>
          <w:rFonts w:ascii="Times New Roman" w:hAnsi="Times New Roman"/>
          <w:sz w:val="19"/>
          <w:szCs w:val="19"/>
        </w:rPr>
        <w:t xml:space="preserve"> umfassen</w:t>
      </w:r>
      <w:r w:rsidRPr="000605D5">
        <w:rPr>
          <w:rFonts w:ascii="Times New Roman" w:hAnsi="Times New Roman"/>
          <w:sz w:val="19"/>
          <w:szCs w:val="19"/>
        </w:rPr>
        <w:t>. Grundsätzlich ist das Revisionsgericht dabei aber an die Tatsachenfeststellungen der unteren Gerichte gebunden.</w:t>
      </w:r>
    </w:p>
    <w:p w14:paraId="3B02C060" w14:textId="77777777" w:rsidR="00D41FFE" w:rsidRPr="00396E90" w:rsidRDefault="00D41FFE" w:rsidP="00B41908">
      <w:pPr>
        <w:spacing w:line="210" w:lineRule="exact"/>
        <w:ind w:left="567"/>
        <w:jc w:val="both"/>
        <w:rPr>
          <w:rFonts w:ascii="Times New Roman" w:hAnsi="Times New Roman"/>
          <w:sz w:val="16"/>
          <w:szCs w:val="16"/>
        </w:rPr>
      </w:pPr>
    </w:p>
    <w:p w14:paraId="739B0601" w14:textId="5C2CB1AF" w:rsidR="00D41FFE" w:rsidRPr="00772BE7" w:rsidRDefault="00D41FFE" w:rsidP="00772BE7">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56" w:lineRule="exact"/>
        <w:ind w:left="1979" w:hanging="1979"/>
        <w:jc w:val="both"/>
        <w:rPr>
          <w:rFonts w:ascii="Times New Roman" w:hAnsi="Times New Roman"/>
          <w:spacing w:val="-2"/>
          <w:sz w:val="15"/>
          <w:szCs w:val="15"/>
        </w:rPr>
      </w:pPr>
      <w:r w:rsidRPr="00772BE7">
        <w:rPr>
          <w:rFonts w:ascii="Times New Roman" w:hAnsi="Times New Roman"/>
          <w:b/>
          <w:spacing w:val="-2"/>
          <w:sz w:val="15"/>
          <w:szCs w:val="15"/>
        </w:rPr>
        <w:t>Literatur/Lehrbücher:</w:t>
      </w:r>
      <w:r w:rsidR="00854DDD" w:rsidRPr="00772BE7">
        <w:rPr>
          <w:rFonts w:ascii="Times New Roman" w:hAnsi="Times New Roman"/>
          <w:b/>
          <w:spacing w:val="-2"/>
          <w:sz w:val="15"/>
          <w:szCs w:val="15"/>
        </w:rPr>
        <w:tab/>
      </w:r>
      <w:r w:rsidR="004F3222" w:rsidRPr="00772BE7">
        <w:rPr>
          <w:rFonts w:ascii="Times New Roman" w:hAnsi="Times New Roman"/>
          <w:i/>
          <w:spacing w:val="-2"/>
          <w:sz w:val="15"/>
          <w:szCs w:val="15"/>
        </w:rPr>
        <w:t>Heinrich/Reinbacher</w:t>
      </w:r>
      <w:r w:rsidR="004F3222" w:rsidRPr="00772BE7">
        <w:rPr>
          <w:rFonts w:ascii="Times New Roman" w:hAnsi="Times New Roman"/>
          <w:spacing w:val="-2"/>
          <w:sz w:val="15"/>
          <w:szCs w:val="15"/>
        </w:rPr>
        <w:t>, Examinatorium Strafprozessrecht,</w:t>
      </w:r>
      <w:r w:rsidR="00AD302A" w:rsidRPr="00772BE7">
        <w:rPr>
          <w:rFonts w:ascii="Times New Roman" w:hAnsi="Times New Roman"/>
          <w:spacing w:val="-2"/>
          <w:sz w:val="15"/>
          <w:szCs w:val="15"/>
        </w:rPr>
        <w:t xml:space="preserve"> </w:t>
      </w:r>
      <w:r w:rsidR="003F328E">
        <w:rPr>
          <w:rFonts w:ascii="Times New Roman" w:hAnsi="Times New Roman"/>
          <w:spacing w:val="-2"/>
          <w:sz w:val="15"/>
          <w:szCs w:val="15"/>
        </w:rPr>
        <w:t>4</w:t>
      </w:r>
      <w:r w:rsidR="007343E4" w:rsidRPr="00772BE7">
        <w:rPr>
          <w:rFonts w:ascii="Times New Roman" w:hAnsi="Times New Roman"/>
          <w:spacing w:val="-2"/>
          <w:sz w:val="15"/>
          <w:szCs w:val="15"/>
        </w:rPr>
        <w:t>. Auflage 202</w:t>
      </w:r>
      <w:r w:rsidR="003F328E">
        <w:rPr>
          <w:rFonts w:ascii="Times New Roman" w:hAnsi="Times New Roman"/>
          <w:spacing w:val="-2"/>
          <w:sz w:val="15"/>
          <w:szCs w:val="15"/>
        </w:rPr>
        <w:t>3</w:t>
      </w:r>
      <w:r w:rsidR="00AD302A" w:rsidRPr="00772BE7">
        <w:rPr>
          <w:rFonts w:ascii="Times New Roman" w:hAnsi="Times New Roman"/>
          <w:spacing w:val="-2"/>
          <w:sz w:val="15"/>
          <w:szCs w:val="15"/>
        </w:rPr>
        <w:t>,</w:t>
      </w:r>
      <w:r w:rsidR="004F3222" w:rsidRPr="00772BE7">
        <w:rPr>
          <w:rFonts w:ascii="Times New Roman" w:hAnsi="Times New Roman"/>
          <w:spacing w:val="-2"/>
          <w:sz w:val="15"/>
          <w:szCs w:val="15"/>
        </w:rPr>
        <w:t xml:space="preserve"> Problem 46.</w:t>
      </w:r>
    </w:p>
    <w:p w14:paraId="1D423A1E" w14:textId="4AF1680E" w:rsidR="001D05FD" w:rsidRPr="00772BE7" w:rsidRDefault="00D41FFE" w:rsidP="00772BE7">
      <w:pPr>
        <w:widowControl/>
        <w:tabs>
          <w:tab w:val="left" w:pos="-720"/>
          <w:tab w:val="left" w:pos="0"/>
          <w:tab w:val="left" w:pos="284"/>
          <w:tab w:val="left" w:pos="567"/>
          <w:tab w:val="left" w:pos="864"/>
          <w:tab w:val="left" w:pos="1116"/>
          <w:tab w:val="left" w:pos="1404"/>
          <w:tab w:val="left" w:pos="1692"/>
          <w:tab w:val="left" w:pos="2268"/>
          <w:tab w:val="left" w:pos="2880"/>
        </w:tabs>
        <w:spacing w:line="168" w:lineRule="exact"/>
        <w:ind w:left="1701" w:hanging="1701"/>
        <w:jc w:val="both"/>
        <w:rPr>
          <w:rFonts w:ascii="Times New Roman" w:hAnsi="Times New Roman"/>
          <w:spacing w:val="-2"/>
          <w:sz w:val="15"/>
          <w:szCs w:val="15"/>
        </w:rPr>
      </w:pPr>
      <w:r w:rsidRPr="00772BE7">
        <w:rPr>
          <w:rFonts w:ascii="Times New Roman" w:hAnsi="Times New Roman"/>
          <w:b/>
          <w:spacing w:val="-2"/>
          <w:sz w:val="15"/>
          <w:szCs w:val="15"/>
        </w:rPr>
        <w:t>Rechtsprechung:</w:t>
      </w:r>
      <w:r w:rsidRPr="00772BE7">
        <w:rPr>
          <w:rFonts w:ascii="Times New Roman" w:hAnsi="Times New Roman"/>
          <w:b/>
          <w:spacing w:val="-2"/>
          <w:sz w:val="15"/>
          <w:szCs w:val="15"/>
        </w:rPr>
        <w:tab/>
      </w:r>
      <w:r w:rsidRPr="00772BE7">
        <w:rPr>
          <w:rFonts w:ascii="Times New Roman" w:hAnsi="Times New Roman"/>
          <w:b/>
          <w:spacing w:val="-2"/>
          <w:sz w:val="15"/>
          <w:szCs w:val="15"/>
        </w:rPr>
        <w:tab/>
      </w:r>
      <w:r w:rsidR="00772BE7">
        <w:rPr>
          <w:rFonts w:ascii="Times New Roman" w:hAnsi="Times New Roman"/>
          <w:b/>
          <w:spacing w:val="-2"/>
          <w:sz w:val="15"/>
          <w:szCs w:val="15"/>
        </w:rPr>
        <w:tab/>
      </w:r>
      <w:r w:rsidRPr="00772BE7">
        <w:rPr>
          <w:rFonts w:ascii="Times New Roman" w:hAnsi="Times New Roman"/>
          <w:b/>
          <w:spacing w:val="-2"/>
          <w:sz w:val="15"/>
          <w:szCs w:val="15"/>
        </w:rPr>
        <w:t>BVerfGE 122, 248 </w:t>
      </w:r>
      <w:r w:rsidRPr="00772BE7">
        <w:rPr>
          <w:rFonts w:ascii="Times New Roman" w:hAnsi="Times New Roman"/>
          <w:spacing w:val="-2"/>
          <w:sz w:val="15"/>
          <w:szCs w:val="15"/>
        </w:rPr>
        <w:t xml:space="preserve">– Rügeverkümmerung (Zulässigkeit nachträglicher Protokollberichtigung); </w:t>
      </w:r>
      <w:r w:rsidRPr="00772BE7">
        <w:rPr>
          <w:rFonts w:ascii="Times New Roman" w:hAnsi="Times New Roman"/>
          <w:b/>
          <w:spacing w:val="-2"/>
          <w:sz w:val="15"/>
          <w:szCs w:val="15"/>
        </w:rPr>
        <w:t>BGHSt</w:t>
      </w:r>
      <w:r w:rsidRPr="00772BE7">
        <w:rPr>
          <w:rFonts w:ascii="Times New Roman" w:hAnsi="Times New Roman"/>
          <w:spacing w:val="-2"/>
          <w:sz w:val="15"/>
          <w:szCs w:val="15"/>
        </w:rPr>
        <w:t> </w:t>
      </w:r>
      <w:r w:rsidRPr="00772BE7">
        <w:rPr>
          <w:rFonts w:ascii="Times New Roman" w:hAnsi="Times New Roman"/>
          <w:b/>
          <w:spacing w:val="-2"/>
          <w:sz w:val="15"/>
          <w:szCs w:val="15"/>
        </w:rPr>
        <w:t xml:space="preserve">16, 164 – </w:t>
      </w:r>
      <w:r w:rsidRPr="00772BE7">
        <w:rPr>
          <w:rFonts w:ascii="Times New Roman" w:hAnsi="Times New Roman"/>
          <w:spacing w:val="-2"/>
          <w:sz w:val="15"/>
          <w:szCs w:val="15"/>
        </w:rPr>
        <w:t>Verbotene Vernehmungsmethoden (Freibeweis im Revisionsverfahren, keine Geltung des in dubio pro reo)</w:t>
      </w:r>
      <w:r w:rsidRPr="00772BE7">
        <w:rPr>
          <w:rFonts w:ascii="Times New Roman" w:hAnsi="Times New Roman"/>
          <w:bCs/>
          <w:spacing w:val="-2"/>
          <w:sz w:val="15"/>
          <w:szCs w:val="15"/>
        </w:rPr>
        <w:t>;</w:t>
      </w:r>
      <w:r w:rsidRPr="00772BE7">
        <w:rPr>
          <w:rFonts w:ascii="Times New Roman" w:hAnsi="Times New Roman"/>
          <w:b/>
          <w:spacing w:val="-2"/>
          <w:sz w:val="15"/>
          <w:szCs w:val="15"/>
        </w:rPr>
        <w:t xml:space="preserve"> BGHSt 19, 273 – </w:t>
      </w:r>
      <w:r w:rsidRPr="00772BE7">
        <w:rPr>
          <w:rFonts w:ascii="Times New Roman" w:hAnsi="Times New Roman"/>
          <w:spacing w:val="-2"/>
          <w:sz w:val="15"/>
          <w:szCs w:val="15"/>
        </w:rPr>
        <w:t xml:space="preserve">Grundrechtsverletzung (Rüge der Grundrechtsverletzung im Ermittlungsverfahren als Verfahrensrüge); </w:t>
      </w:r>
      <w:r w:rsidRPr="00772BE7">
        <w:rPr>
          <w:rFonts w:ascii="Times New Roman" w:hAnsi="Times New Roman"/>
          <w:b/>
          <w:spacing w:val="-2"/>
          <w:sz w:val="15"/>
          <w:szCs w:val="15"/>
        </w:rPr>
        <w:t xml:space="preserve">BGHSt 51, 88 </w:t>
      </w:r>
      <w:r w:rsidRPr="00772BE7">
        <w:rPr>
          <w:rFonts w:ascii="Times New Roman" w:hAnsi="Times New Roman"/>
          <w:spacing w:val="-2"/>
          <w:sz w:val="15"/>
          <w:szCs w:val="15"/>
        </w:rPr>
        <w:t>–</w:t>
      </w:r>
      <w:r w:rsidRPr="00772BE7">
        <w:rPr>
          <w:rFonts w:ascii="Times New Roman" w:hAnsi="Times New Roman"/>
          <w:b/>
          <w:spacing w:val="-2"/>
          <w:sz w:val="15"/>
          <w:szCs w:val="15"/>
        </w:rPr>
        <w:t xml:space="preserve"> </w:t>
      </w:r>
      <w:r w:rsidRPr="00772BE7">
        <w:rPr>
          <w:rFonts w:ascii="Times New Roman" w:hAnsi="Times New Roman"/>
          <w:spacing w:val="-2"/>
          <w:sz w:val="15"/>
          <w:szCs w:val="15"/>
        </w:rPr>
        <w:t xml:space="preserve">Protokollrüge (Missbrauchsverbot); </w:t>
      </w:r>
      <w:r w:rsidRPr="00772BE7">
        <w:rPr>
          <w:rFonts w:ascii="Times New Roman" w:hAnsi="Times New Roman"/>
          <w:b/>
          <w:spacing w:val="-2"/>
          <w:sz w:val="15"/>
          <w:szCs w:val="15"/>
        </w:rPr>
        <w:t>BGHSt 51, 298</w:t>
      </w:r>
      <w:r w:rsidRPr="00772BE7">
        <w:rPr>
          <w:rFonts w:ascii="Times New Roman" w:hAnsi="Times New Roman"/>
          <w:spacing w:val="-2"/>
          <w:sz w:val="15"/>
          <w:szCs w:val="15"/>
        </w:rPr>
        <w:t xml:space="preserve"> – Rügeverkümmerung I (Rügeverkümmerung bei nachträglicher Protokolländerung); </w:t>
      </w:r>
      <w:r w:rsidRPr="00772BE7">
        <w:rPr>
          <w:rFonts w:ascii="Times New Roman" w:hAnsi="Times New Roman"/>
          <w:b/>
          <w:spacing w:val="-2"/>
          <w:sz w:val="15"/>
          <w:szCs w:val="15"/>
        </w:rPr>
        <w:t>BGHSt 54, 37</w:t>
      </w:r>
      <w:r w:rsidRPr="00772BE7">
        <w:rPr>
          <w:rFonts w:ascii="Times New Roman" w:hAnsi="Times New Roman"/>
          <w:spacing w:val="-2"/>
          <w:sz w:val="15"/>
          <w:szCs w:val="15"/>
        </w:rPr>
        <w:t xml:space="preserve"> – Rügeverkümmerung II (</w:t>
      </w:r>
      <w:r w:rsidRPr="00772BE7">
        <w:rPr>
          <w:rFonts w:ascii="Times New Roman" w:hAnsi="Times New Roman"/>
          <w:sz w:val="15"/>
          <w:szCs w:val="15"/>
        </w:rPr>
        <w:t>Protokollberichtigung mit der Folge einer „Rügeverkümmerung“ ist nicht möglich, wenn in der Hauptverhandlung Feststellungen über die Kenntnisnahme vom Wortlaut der Urkunden im Selbstleseverfahren unterblieben</w:t>
      </w:r>
      <w:r w:rsidRPr="00772BE7">
        <w:rPr>
          <w:rFonts w:ascii="Times New Roman" w:hAnsi="Times New Roman"/>
          <w:spacing w:val="-2"/>
          <w:sz w:val="15"/>
          <w:szCs w:val="15"/>
        </w:rPr>
        <w:t xml:space="preserve">); </w:t>
      </w:r>
      <w:r w:rsidRPr="00772BE7">
        <w:rPr>
          <w:rFonts w:ascii="Times New Roman" w:hAnsi="Times New Roman"/>
          <w:b/>
          <w:spacing w:val="-2"/>
          <w:sz w:val="15"/>
          <w:szCs w:val="15"/>
        </w:rPr>
        <w:t>BGHSt 54, 184</w:t>
      </w:r>
      <w:r w:rsidRPr="00772BE7">
        <w:rPr>
          <w:rFonts w:ascii="Times New Roman" w:hAnsi="Times New Roman"/>
          <w:spacing w:val="-2"/>
          <w:sz w:val="15"/>
          <w:szCs w:val="15"/>
        </w:rPr>
        <w:t xml:space="preserve"> – kein absoluter Revisionsgrund nach § 338 Nr. 5 StPO (In-Augenscheinnahme in Abwesenheit des Angeklagten); </w:t>
      </w:r>
      <w:r w:rsidRPr="00772BE7">
        <w:rPr>
          <w:rFonts w:ascii="Times New Roman" w:hAnsi="Times New Roman"/>
          <w:b/>
          <w:spacing w:val="-2"/>
          <w:sz w:val="15"/>
          <w:szCs w:val="15"/>
        </w:rPr>
        <w:t>BGHSt 55, 87</w:t>
      </w:r>
      <w:r w:rsidRPr="00772BE7">
        <w:rPr>
          <w:rFonts w:ascii="Times New Roman" w:hAnsi="Times New Roman"/>
          <w:spacing w:val="-2"/>
          <w:sz w:val="15"/>
          <w:szCs w:val="15"/>
        </w:rPr>
        <w:t xml:space="preserve"> – absoluter Revisionsgrund nach § 338 Nr. 5 StPO (Anwesenheitspflicht des Angeklagten bei der Verhandlung über die Entlassung eines Zeugen); </w:t>
      </w:r>
      <w:r w:rsidR="00772BE7" w:rsidRPr="00772BE7">
        <w:rPr>
          <w:rFonts w:ascii="Times New Roman" w:hAnsi="Times New Roman"/>
          <w:b/>
          <w:spacing w:val="-2"/>
          <w:sz w:val="15"/>
          <w:szCs w:val="15"/>
        </w:rPr>
        <w:t>BGHSt 64, 64</w:t>
      </w:r>
      <w:r w:rsidR="00772BE7" w:rsidRPr="00772BE7">
        <w:rPr>
          <w:rFonts w:ascii="Times New Roman" w:hAnsi="Times New Roman"/>
          <w:spacing w:val="-2"/>
          <w:sz w:val="15"/>
          <w:szCs w:val="15"/>
        </w:rPr>
        <w:t xml:space="preserve"> – absoluter Revisionsgrund nach § 338 Nr. 6 StPO (Ausschluss der Öffentlichkeit bei Schlussvorträgen und fehlender Anordnungsbeschluss); </w:t>
      </w:r>
      <w:r w:rsidRPr="00772BE7">
        <w:rPr>
          <w:rFonts w:ascii="Times New Roman" w:hAnsi="Times New Roman"/>
          <w:b/>
          <w:spacing w:val="-2"/>
          <w:sz w:val="15"/>
          <w:szCs w:val="15"/>
        </w:rPr>
        <w:t xml:space="preserve">BGH NStZ 2006, 713 – </w:t>
      </w:r>
      <w:r w:rsidRPr="00772BE7">
        <w:rPr>
          <w:rFonts w:ascii="Times New Roman" w:hAnsi="Times New Roman"/>
          <w:spacing w:val="-2"/>
          <w:sz w:val="15"/>
          <w:szCs w:val="15"/>
        </w:rPr>
        <w:t xml:space="preserve">Abwesenheit bei der Zeugenvereidigung (ausnahmsweise kein absoluter Revisionsgrund bei offensichtlicher Unerheblichkeit); </w:t>
      </w:r>
      <w:r w:rsidRPr="00772BE7">
        <w:rPr>
          <w:rFonts w:ascii="Times New Roman" w:hAnsi="Times New Roman"/>
          <w:b/>
          <w:spacing w:val="-2"/>
          <w:sz w:val="15"/>
          <w:szCs w:val="15"/>
        </w:rPr>
        <w:t>BGH NStZ 2008, 354</w:t>
      </w:r>
      <w:r w:rsidRPr="00772BE7">
        <w:rPr>
          <w:rFonts w:ascii="Times New Roman" w:hAnsi="Times New Roman"/>
          <w:spacing w:val="-2"/>
          <w:sz w:val="15"/>
          <w:szCs w:val="15"/>
        </w:rPr>
        <w:t xml:space="preserve"> – Öffentlichkeitsausschluss (Beruhen des Urteils auf dem fehlerhaften Öffentlichkeitsausschluss beim angestrebten Teilfreispruch darlegungsbedürftig); </w:t>
      </w:r>
      <w:r w:rsidRPr="00772BE7">
        <w:rPr>
          <w:rFonts w:ascii="Times New Roman" w:hAnsi="Times New Roman"/>
          <w:b/>
          <w:spacing w:val="-2"/>
          <w:sz w:val="15"/>
          <w:szCs w:val="15"/>
        </w:rPr>
        <w:t>BGH NStZ 2009, 168</w:t>
      </w:r>
      <w:r w:rsidRPr="00772BE7">
        <w:rPr>
          <w:rFonts w:ascii="Times New Roman" w:hAnsi="Times New Roman"/>
          <w:spacing w:val="-2"/>
          <w:sz w:val="15"/>
          <w:szCs w:val="15"/>
        </w:rPr>
        <w:t xml:space="preserve"> – unterbliebene Richterbelehrung (Unzulässigkeit der Verfahrensrüge des Verstoßes gegen „fair trial“-Grundsatz); </w:t>
      </w:r>
      <w:r w:rsidRPr="00772BE7">
        <w:rPr>
          <w:rFonts w:ascii="Times New Roman" w:hAnsi="Times New Roman"/>
          <w:b/>
          <w:spacing w:val="-2"/>
          <w:sz w:val="15"/>
          <w:szCs w:val="15"/>
        </w:rPr>
        <w:t xml:space="preserve">BGH </w:t>
      </w:r>
      <w:proofErr w:type="spellStart"/>
      <w:r w:rsidRPr="00772BE7">
        <w:rPr>
          <w:rFonts w:ascii="Times New Roman" w:hAnsi="Times New Roman"/>
          <w:b/>
          <w:spacing w:val="-2"/>
          <w:sz w:val="15"/>
          <w:szCs w:val="15"/>
        </w:rPr>
        <w:t>wistra</w:t>
      </w:r>
      <w:proofErr w:type="spellEnd"/>
      <w:r w:rsidRPr="00772BE7">
        <w:rPr>
          <w:rFonts w:ascii="Times New Roman" w:hAnsi="Times New Roman"/>
          <w:b/>
          <w:spacing w:val="-2"/>
          <w:sz w:val="15"/>
          <w:szCs w:val="15"/>
        </w:rPr>
        <w:t xml:space="preserve"> 2010, 413</w:t>
      </w:r>
      <w:r w:rsidRPr="00772BE7">
        <w:rPr>
          <w:rFonts w:ascii="Times New Roman" w:hAnsi="Times New Roman"/>
          <w:spacing w:val="-2"/>
          <w:sz w:val="15"/>
          <w:szCs w:val="15"/>
        </w:rPr>
        <w:t xml:space="preserve"> – Protokollberichtigung (keine Nachholung des Protokollberichtigungsverfahrens durch das Revisionsgericht</w:t>
      </w:r>
      <w:r w:rsidR="00011022" w:rsidRPr="00772BE7">
        <w:rPr>
          <w:rFonts w:ascii="Times New Roman" w:hAnsi="Times New Roman"/>
          <w:spacing w:val="-2"/>
          <w:sz w:val="15"/>
          <w:szCs w:val="15"/>
        </w:rPr>
        <w:t xml:space="preserve">); </w:t>
      </w:r>
      <w:r w:rsidR="004571D8" w:rsidRPr="00772BE7">
        <w:rPr>
          <w:rFonts w:ascii="Times New Roman" w:hAnsi="Times New Roman"/>
          <w:b/>
          <w:spacing w:val="-2"/>
          <w:sz w:val="15"/>
          <w:szCs w:val="15"/>
        </w:rPr>
        <w:t>BGH NStZ 2012, 173</w:t>
      </w:r>
      <w:r w:rsidR="004571D8" w:rsidRPr="00772BE7">
        <w:rPr>
          <w:rFonts w:ascii="Times New Roman" w:hAnsi="Times New Roman"/>
          <w:spacing w:val="-2"/>
          <w:sz w:val="15"/>
          <w:szCs w:val="15"/>
        </w:rPr>
        <w:t xml:space="preserve"> – absoluter Revisionsgrund nach § 338 Nr. 6 StPO </w:t>
      </w:r>
      <w:r w:rsidR="00396E90" w:rsidRPr="00772BE7">
        <w:rPr>
          <w:rFonts w:ascii="Times New Roman" w:hAnsi="Times New Roman"/>
          <w:spacing w:val="-2"/>
          <w:sz w:val="15"/>
          <w:szCs w:val="15"/>
        </w:rPr>
        <w:t>(</w:t>
      </w:r>
      <w:r w:rsidR="004571D8" w:rsidRPr="00772BE7">
        <w:rPr>
          <w:rFonts w:ascii="Times New Roman" w:hAnsi="Times New Roman"/>
          <w:spacing w:val="-2"/>
          <w:sz w:val="15"/>
          <w:szCs w:val="15"/>
        </w:rPr>
        <w:t>Verfahrensöffentlichkeit bei geändertem Zugang zum Gerichtsgebäude</w:t>
      </w:r>
      <w:r w:rsidR="00396E90" w:rsidRPr="00772BE7">
        <w:rPr>
          <w:rFonts w:ascii="Times New Roman" w:hAnsi="Times New Roman"/>
          <w:spacing w:val="-2"/>
          <w:sz w:val="15"/>
          <w:szCs w:val="15"/>
        </w:rPr>
        <w:t>)</w:t>
      </w:r>
      <w:r w:rsidR="004571D8" w:rsidRPr="00772BE7">
        <w:rPr>
          <w:rFonts w:ascii="Times New Roman" w:hAnsi="Times New Roman"/>
          <w:spacing w:val="-2"/>
          <w:sz w:val="15"/>
          <w:szCs w:val="15"/>
        </w:rPr>
        <w:t xml:space="preserve">; </w:t>
      </w:r>
      <w:r w:rsidR="00501128" w:rsidRPr="00772BE7">
        <w:rPr>
          <w:rFonts w:ascii="Times New Roman" w:hAnsi="Times New Roman"/>
          <w:b/>
          <w:spacing w:val="-2"/>
          <w:sz w:val="15"/>
          <w:szCs w:val="15"/>
        </w:rPr>
        <w:t>BGH NStZ 2014, 347</w:t>
      </w:r>
      <w:r w:rsidR="00501128" w:rsidRPr="00772BE7">
        <w:rPr>
          <w:rFonts w:ascii="Times New Roman" w:hAnsi="Times New Roman"/>
          <w:spacing w:val="-2"/>
          <w:sz w:val="15"/>
          <w:szCs w:val="15"/>
        </w:rPr>
        <w:t xml:space="preserve"> – absoluter Revisionsgrund nach § 338 Nr. 8 StPO (Rüge unzulänglicher Akteneinsicht); </w:t>
      </w:r>
      <w:r w:rsidR="001D05FD" w:rsidRPr="00772BE7">
        <w:rPr>
          <w:rFonts w:ascii="Times New Roman" w:hAnsi="Times New Roman"/>
          <w:b/>
          <w:spacing w:val="-2"/>
          <w:sz w:val="15"/>
          <w:szCs w:val="15"/>
        </w:rPr>
        <w:t>BGH NJW 2014, 2372</w:t>
      </w:r>
      <w:r w:rsidR="001D05FD" w:rsidRPr="00772BE7">
        <w:rPr>
          <w:rFonts w:ascii="Times New Roman" w:hAnsi="Times New Roman"/>
          <w:spacing w:val="-2"/>
          <w:sz w:val="15"/>
          <w:szCs w:val="15"/>
        </w:rPr>
        <w:t xml:space="preserve"> – absoluter Revisionsgrund nach § 338 Nr. 3 StPO (Befangenheitsablehnung nach Haftbefehl); </w:t>
      </w:r>
      <w:r w:rsidR="00011022" w:rsidRPr="00772BE7">
        <w:rPr>
          <w:rFonts w:ascii="Times New Roman" w:hAnsi="Times New Roman"/>
          <w:b/>
          <w:spacing w:val="-2"/>
          <w:sz w:val="15"/>
          <w:szCs w:val="15"/>
        </w:rPr>
        <w:t>BGH NJW 2015, 2986</w:t>
      </w:r>
      <w:r w:rsidR="00011022" w:rsidRPr="00772BE7">
        <w:rPr>
          <w:rFonts w:ascii="Times New Roman" w:hAnsi="Times New Roman"/>
          <w:spacing w:val="-2"/>
          <w:sz w:val="15"/>
          <w:szCs w:val="15"/>
        </w:rPr>
        <w:t xml:space="preserve"> – absoluter Revisionsgrund nach § 338 Nr. 3 StPO (Richterablehnung wegen privater Handy-Nutzung in Hauptverhandlung);</w:t>
      </w:r>
      <w:r w:rsidR="00772BE7" w:rsidRPr="00772BE7">
        <w:rPr>
          <w:rFonts w:ascii="Times New Roman" w:hAnsi="Times New Roman"/>
          <w:spacing w:val="-2"/>
          <w:sz w:val="15"/>
          <w:szCs w:val="15"/>
        </w:rPr>
        <w:t xml:space="preserve"> </w:t>
      </w:r>
      <w:r w:rsidR="00772BE7" w:rsidRPr="00772BE7">
        <w:rPr>
          <w:rFonts w:ascii="Times New Roman" w:hAnsi="Times New Roman"/>
          <w:b/>
          <w:spacing w:val="-2"/>
          <w:sz w:val="15"/>
          <w:szCs w:val="15"/>
        </w:rPr>
        <w:t>BGH NJW 2019, 692</w:t>
      </w:r>
      <w:r w:rsidR="00772BE7" w:rsidRPr="00772BE7">
        <w:rPr>
          <w:rFonts w:ascii="Times New Roman" w:hAnsi="Times New Roman"/>
          <w:spacing w:val="-2"/>
          <w:sz w:val="15"/>
          <w:szCs w:val="15"/>
        </w:rPr>
        <w:t xml:space="preserve"> – absoluter Revisionsgrund nach § 338 Nr. 5 StPO (Urkundenverlesung in Abwesenheit des Angeklagten);</w:t>
      </w:r>
      <w:r w:rsidR="00011022" w:rsidRPr="00772BE7">
        <w:rPr>
          <w:rFonts w:ascii="Times New Roman" w:hAnsi="Times New Roman"/>
          <w:spacing w:val="-2"/>
          <w:sz w:val="15"/>
          <w:szCs w:val="15"/>
        </w:rPr>
        <w:t xml:space="preserve"> </w:t>
      </w:r>
      <w:r w:rsidR="00011022" w:rsidRPr="00772BE7">
        <w:rPr>
          <w:rFonts w:ascii="Times New Roman" w:hAnsi="Times New Roman"/>
          <w:b/>
          <w:spacing w:val="-2"/>
          <w:sz w:val="15"/>
          <w:szCs w:val="15"/>
        </w:rPr>
        <w:t>BGH NStZ 2015, 181</w:t>
      </w:r>
      <w:r w:rsidR="00011022" w:rsidRPr="00772BE7">
        <w:rPr>
          <w:rFonts w:ascii="Times New Roman" w:hAnsi="Times New Roman"/>
          <w:spacing w:val="-2"/>
          <w:sz w:val="15"/>
          <w:szCs w:val="15"/>
        </w:rPr>
        <w:t xml:space="preserve"> – absoluter Revisionsgrund nach § 338 Nr. 5 StPO (Inaugenscheinnahme von Lichtbildern während des Ausschlusses des </w:t>
      </w:r>
      <w:r w:rsidR="00501128" w:rsidRPr="00772BE7">
        <w:rPr>
          <w:rFonts w:ascii="Times New Roman" w:hAnsi="Times New Roman"/>
          <w:spacing w:val="-2"/>
          <w:sz w:val="15"/>
          <w:szCs w:val="15"/>
        </w:rPr>
        <w:t>Angeklagten wegen Ungehorsams)</w:t>
      </w:r>
      <w:r w:rsidR="007B7358" w:rsidRPr="00772BE7">
        <w:rPr>
          <w:rFonts w:ascii="Times New Roman" w:hAnsi="Times New Roman"/>
          <w:spacing w:val="-2"/>
          <w:sz w:val="15"/>
          <w:szCs w:val="15"/>
        </w:rPr>
        <w:t xml:space="preserve">; </w:t>
      </w:r>
      <w:r w:rsidR="005407F9" w:rsidRPr="00772BE7">
        <w:rPr>
          <w:rFonts w:ascii="Times New Roman" w:hAnsi="Times New Roman"/>
          <w:b/>
          <w:spacing w:val="-2"/>
          <w:sz w:val="15"/>
          <w:szCs w:val="15"/>
        </w:rPr>
        <w:t>BGH NStZ 2017, 303</w:t>
      </w:r>
      <w:r w:rsidR="005407F9" w:rsidRPr="00772BE7">
        <w:rPr>
          <w:rFonts w:ascii="Times New Roman" w:hAnsi="Times New Roman"/>
          <w:spacing w:val="-2"/>
          <w:sz w:val="15"/>
          <w:szCs w:val="15"/>
        </w:rPr>
        <w:t xml:space="preserve"> – absoluter Revisionsgrund nach § 338 Nr.</w:t>
      </w:r>
      <w:r w:rsidR="00087A49">
        <w:rPr>
          <w:rFonts w:ascii="Times New Roman" w:hAnsi="Times New Roman"/>
          <w:spacing w:val="-2"/>
          <w:sz w:val="15"/>
          <w:szCs w:val="15"/>
        </w:rPr>
        <w:t> </w:t>
      </w:r>
      <w:r w:rsidR="005407F9" w:rsidRPr="00772BE7">
        <w:rPr>
          <w:rFonts w:ascii="Times New Roman" w:hAnsi="Times New Roman"/>
          <w:spacing w:val="-2"/>
          <w:sz w:val="15"/>
          <w:szCs w:val="15"/>
        </w:rPr>
        <w:t>5 StPO (Führung des Protokoll</w:t>
      </w:r>
      <w:r w:rsidR="0002059F" w:rsidRPr="00772BE7">
        <w:rPr>
          <w:rFonts w:ascii="Times New Roman" w:hAnsi="Times New Roman"/>
          <w:spacing w:val="-2"/>
          <w:sz w:val="15"/>
          <w:szCs w:val="15"/>
        </w:rPr>
        <w:t xml:space="preserve">s durch einen Rechtsreferendar); </w:t>
      </w:r>
      <w:r w:rsidR="0002059F" w:rsidRPr="00772BE7">
        <w:rPr>
          <w:rFonts w:ascii="Times New Roman" w:hAnsi="Times New Roman"/>
          <w:b/>
          <w:spacing w:val="-2"/>
          <w:sz w:val="15"/>
          <w:szCs w:val="15"/>
        </w:rPr>
        <w:t>BGH NStZ 2019, 106</w:t>
      </w:r>
      <w:r w:rsidR="0002059F" w:rsidRPr="00772BE7">
        <w:rPr>
          <w:rFonts w:ascii="Times New Roman" w:hAnsi="Times New Roman"/>
          <w:spacing w:val="-2"/>
          <w:sz w:val="15"/>
          <w:szCs w:val="15"/>
        </w:rPr>
        <w:t xml:space="preserve"> – absoluter Revisionsgrund nach § 338 Nr. 1</w:t>
      </w:r>
      <w:r w:rsidR="006274B1">
        <w:rPr>
          <w:rFonts w:ascii="Times New Roman" w:hAnsi="Times New Roman"/>
          <w:spacing w:val="-2"/>
          <w:sz w:val="15"/>
          <w:szCs w:val="15"/>
        </w:rPr>
        <w:t xml:space="preserve"> StPO</w:t>
      </w:r>
      <w:r w:rsidR="0002059F" w:rsidRPr="00772BE7">
        <w:rPr>
          <w:rFonts w:ascii="Times New Roman" w:hAnsi="Times New Roman"/>
          <w:spacing w:val="-2"/>
          <w:sz w:val="15"/>
          <w:szCs w:val="15"/>
        </w:rPr>
        <w:t xml:space="preserve"> (Erfolgsaussichten einer Verfahrensrüge wegen nicht vorschriftsmäßiger Besetzung des Gerichts durch Übermüdung eines Schöffen); </w:t>
      </w:r>
      <w:r w:rsidR="0002059F" w:rsidRPr="00772BE7">
        <w:rPr>
          <w:rFonts w:ascii="Times New Roman" w:hAnsi="Times New Roman"/>
          <w:b/>
          <w:spacing w:val="-2"/>
          <w:sz w:val="15"/>
          <w:szCs w:val="15"/>
        </w:rPr>
        <w:t>BGH NStZ 2019, 297</w:t>
      </w:r>
      <w:r w:rsidR="0002059F" w:rsidRPr="00772BE7">
        <w:rPr>
          <w:rFonts w:ascii="Times New Roman" w:hAnsi="Times New Roman"/>
          <w:spacing w:val="-2"/>
          <w:sz w:val="15"/>
          <w:szCs w:val="15"/>
        </w:rPr>
        <w:t xml:space="preserve"> – </w:t>
      </w:r>
      <w:r w:rsidR="006719F8" w:rsidRPr="00772BE7">
        <w:rPr>
          <w:rFonts w:ascii="Times New Roman" w:hAnsi="Times New Roman"/>
          <w:spacing w:val="-2"/>
          <w:sz w:val="15"/>
          <w:szCs w:val="15"/>
        </w:rPr>
        <w:t xml:space="preserve">absoluter Revisionsgrund nach § 338 Nr. 8 </w:t>
      </w:r>
      <w:r w:rsidR="006274B1">
        <w:rPr>
          <w:rFonts w:ascii="Times New Roman" w:hAnsi="Times New Roman"/>
          <w:spacing w:val="-2"/>
          <w:sz w:val="15"/>
          <w:szCs w:val="15"/>
        </w:rPr>
        <w:t xml:space="preserve">StPO </w:t>
      </w:r>
      <w:r w:rsidR="006719F8" w:rsidRPr="00772BE7">
        <w:rPr>
          <w:rFonts w:ascii="Times New Roman" w:hAnsi="Times New Roman"/>
          <w:spacing w:val="-2"/>
          <w:sz w:val="15"/>
          <w:szCs w:val="15"/>
        </w:rPr>
        <w:t>(</w:t>
      </w:r>
      <w:r w:rsidR="0002059F" w:rsidRPr="00772BE7">
        <w:rPr>
          <w:rFonts w:ascii="Times New Roman" w:hAnsi="Times New Roman"/>
          <w:spacing w:val="-2"/>
          <w:sz w:val="15"/>
          <w:szCs w:val="15"/>
        </w:rPr>
        <w:t>keine unzulässige Beschränkung der Verteidigung bei fehlender frontaler Sicht des Angeklagten auf Gesicht einer Zeugin)</w:t>
      </w:r>
      <w:r w:rsidR="006719F8" w:rsidRPr="00772BE7">
        <w:rPr>
          <w:rFonts w:ascii="Times New Roman" w:hAnsi="Times New Roman"/>
          <w:spacing w:val="-2"/>
          <w:sz w:val="15"/>
          <w:szCs w:val="15"/>
        </w:rPr>
        <w:t>;</w:t>
      </w:r>
      <w:r w:rsidR="00772BE7" w:rsidRPr="00772BE7">
        <w:rPr>
          <w:rFonts w:ascii="Times New Roman" w:hAnsi="Times New Roman"/>
          <w:spacing w:val="-2"/>
          <w:sz w:val="15"/>
          <w:szCs w:val="15"/>
        </w:rPr>
        <w:t xml:space="preserve"> </w:t>
      </w:r>
      <w:r w:rsidR="00772BE7" w:rsidRPr="00772BE7">
        <w:rPr>
          <w:rFonts w:ascii="Times New Roman" w:hAnsi="Times New Roman"/>
          <w:b/>
          <w:spacing w:val="-2"/>
          <w:sz w:val="15"/>
          <w:szCs w:val="15"/>
        </w:rPr>
        <w:t>BGH NStZ 2020, 242</w:t>
      </w:r>
      <w:r w:rsidR="00772BE7" w:rsidRPr="00772BE7">
        <w:rPr>
          <w:rFonts w:ascii="Times New Roman" w:hAnsi="Times New Roman"/>
          <w:spacing w:val="-2"/>
          <w:sz w:val="15"/>
          <w:szCs w:val="15"/>
        </w:rPr>
        <w:t xml:space="preserve"> – absoluter Revisionsgrund nach § 338 Nr. 5</w:t>
      </w:r>
      <w:r w:rsidR="006274B1">
        <w:rPr>
          <w:rFonts w:ascii="Times New Roman" w:hAnsi="Times New Roman"/>
          <w:spacing w:val="-2"/>
          <w:sz w:val="15"/>
          <w:szCs w:val="15"/>
        </w:rPr>
        <w:t xml:space="preserve"> StPO</w:t>
      </w:r>
      <w:r w:rsidR="00772BE7" w:rsidRPr="00772BE7">
        <w:rPr>
          <w:rFonts w:ascii="Times New Roman" w:hAnsi="Times New Roman"/>
          <w:spacing w:val="-2"/>
          <w:sz w:val="15"/>
          <w:szCs w:val="15"/>
        </w:rPr>
        <w:t xml:space="preserve"> (Ausbleiben eines Verteidigers);</w:t>
      </w:r>
      <w:r w:rsidR="005A7D92">
        <w:rPr>
          <w:rFonts w:ascii="Times New Roman" w:hAnsi="Times New Roman"/>
          <w:spacing w:val="-2"/>
          <w:sz w:val="15"/>
          <w:szCs w:val="15"/>
        </w:rPr>
        <w:t xml:space="preserve"> </w:t>
      </w:r>
      <w:r w:rsidR="005A7D92" w:rsidRPr="009A25F1">
        <w:rPr>
          <w:rFonts w:ascii="Times New Roman" w:hAnsi="Times New Roman"/>
          <w:b/>
          <w:spacing w:val="-2"/>
          <w:sz w:val="15"/>
          <w:szCs w:val="15"/>
        </w:rPr>
        <w:t>BGH NJW 2022, 1111</w:t>
      </w:r>
      <w:r w:rsidR="005A7D92">
        <w:rPr>
          <w:rFonts w:ascii="Times New Roman" w:hAnsi="Times New Roman"/>
          <w:spacing w:val="-2"/>
          <w:sz w:val="15"/>
          <w:szCs w:val="15"/>
        </w:rPr>
        <w:t xml:space="preserve"> – </w:t>
      </w:r>
      <w:r w:rsidR="006274B1">
        <w:rPr>
          <w:rFonts w:ascii="Times New Roman" w:hAnsi="Times New Roman"/>
          <w:spacing w:val="-2"/>
          <w:sz w:val="15"/>
          <w:szCs w:val="15"/>
        </w:rPr>
        <w:t>absoluter Revisionsgrund nach § 338 Nr. 1 StPO</w:t>
      </w:r>
      <w:r w:rsidR="005A7D92">
        <w:rPr>
          <w:rFonts w:ascii="Times New Roman" w:hAnsi="Times New Roman"/>
          <w:spacing w:val="-2"/>
          <w:sz w:val="15"/>
          <w:szCs w:val="15"/>
        </w:rPr>
        <w:t xml:space="preserve"> (Mutterschutz einer Schöffin).</w:t>
      </w:r>
    </w:p>
    <w:sectPr w:rsidR="001D05FD" w:rsidRPr="00772BE7" w:rsidSect="00D41FFE">
      <w:pgSz w:w="11906" w:h="16838"/>
      <w:pgMar w:top="567" w:right="624" w:bottom="397"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244E" w14:textId="77777777" w:rsidR="008B3980" w:rsidRDefault="008B3980">
      <w:pPr>
        <w:widowControl/>
        <w:spacing w:line="-20" w:lineRule="auto"/>
      </w:pPr>
    </w:p>
  </w:endnote>
  <w:endnote w:type="continuationSeparator" w:id="0">
    <w:p w14:paraId="79403D84" w14:textId="77777777" w:rsidR="008B3980" w:rsidRDefault="008B3980">
      <w:r>
        <w:t xml:space="preserve"> </w:t>
      </w:r>
    </w:p>
  </w:endnote>
  <w:endnote w:type="continuationNotice" w:id="1">
    <w:p w14:paraId="78664ECA" w14:textId="77777777" w:rsidR="008B3980" w:rsidRDefault="008B39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B2D9" w14:textId="77777777" w:rsidR="008B3980" w:rsidRDefault="008B3980">
      <w:r>
        <w:separator/>
      </w:r>
    </w:p>
  </w:footnote>
  <w:footnote w:type="continuationSeparator" w:id="0">
    <w:p w14:paraId="2B4594CB" w14:textId="77777777" w:rsidR="008B3980" w:rsidRDefault="008B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5A64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E328A"/>
    <w:multiLevelType w:val="hybridMultilevel"/>
    <w:tmpl w:val="9CAC0790"/>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07234A"/>
    <w:multiLevelType w:val="hybridMultilevel"/>
    <w:tmpl w:val="5C8601E0"/>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99D36D4"/>
    <w:multiLevelType w:val="singleLevel"/>
    <w:tmpl w:val="365CF8AC"/>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2C4A3C27"/>
    <w:multiLevelType w:val="hybridMultilevel"/>
    <w:tmpl w:val="513AB05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76E2D9D"/>
    <w:multiLevelType w:val="hybridMultilevel"/>
    <w:tmpl w:val="2ED030A2"/>
    <w:lvl w:ilvl="0" w:tplc="FFFFFFFF">
      <w:start w:val="2"/>
      <w:numFmt w:val="bullet"/>
      <w:lvlText w:val="–"/>
      <w:lvlJc w:val="left"/>
      <w:pPr>
        <w:tabs>
          <w:tab w:val="num" w:pos="645"/>
        </w:tabs>
        <w:ind w:left="645" w:hanging="360"/>
      </w:pPr>
      <w:rPr>
        <w:rFonts w:ascii="Times New Roman" w:eastAsia="Times New Roman" w:hAnsi="Times New Roman" w:cs="Times New Roman" w:hint="default"/>
        <w:b/>
      </w:rPr>
    </w:lvl>
    <w:lvl w:ilvl="1" w:tplc="FFFFFFFF">
      <w:start w:val="1"/>
      <w:numFmt w:val="bullet"/>
      <w:lvlText w:val="o"/>
      <w:lvlJc w:val="left"/>
      <w:pPr>
        <w:tabs>
          <w:tab w:val="num" w:pos="1365"/>
        </w:tabs>
        <w:ind w:left="1365" w:hanging="360"/>
      </w:pPr>
      <w:rPr>
        <w:rFonts w:ascii="Courier New" w:hAnsi="Courier New" w:cs="Wingdings" w:hint="default"/>
      </w:rPr>
    </w:lvl>
    <w:lvl w:ilvl="2" w:tplc="FFFFFFFF" w:tentative="1">
      <w:start w:val="1"/>
      <w:numFmt w:val="bullet"/>
      <w:lvlText w:val=""/>
      <w:lvlJc w:val="left"/>
      <w:pPr>
        <w:tabs>
          <w:tab w:val="num" w:pos="2085"/>
        </w:tabs>
        <w:ind w:left="2085" w:hanging="360"/>
      </w:pPr>
      <w:rPr>
        <w:rFonts w:ascii="Wingdings" w:hAnsi="Wingdings" w:hint="default"/>
      </w:rPr>
    </w:lvl>
    <w:lvl w:ilvl="3" w:tplc="FFFFFFFF" w:tentative="1">
      <w:start w:val="1"/>
      <w:numFmt w:val="bullet"/>
      <w:lvlText w:val=""/>
      <w:lvlJc w:val="left"/>
      <w:pPr>
        <w:tabs>
          <w:tab w:val="num" w:pos="2805"/>
        </w:tabs>
        <w:ind w:left="2805" w:hanging="360"/>
      </w:pPr>
      <w:rPr>
        <w:rFonts w:ascii="Symbol" w:hAnsi="Symbol" w:hint="default"/>
      </w:rPr>
    </w:lvl>
    <w:lvl w:ilvl="4" w:tplc="FFFFFFFF" w:tentative="1">
      <w:start w:val="1"/>
      <w:numFmt w:val="bullet"/>
      <w:lvlText w:val="o"/>
      <w:lvlJc w:val="left"/>
      <w:pPr>
        <w:tabs>
          <w:tab w:val="num" w:pos="3525"/>
        </w:tabs>
        <w:ind w:left="3525" w:hanging="360"/>
      </w:pPr>
      <w:rPr>
        <w:rFonts w:ascii="Courier New" w:hAnsi="Courier New" w:cs="Wingdings" w:hint="default"/>
      </w:rPr>
    </w:lvl>
    <w:lvl w:ilvl="5" w:tplc="FFFFFFFF" w:tentative="1">
      <w:start w:val="1"/>
      <w:numFmt w:val="bullet"/>
      <w:lvlText w:val=""/>
      <w:lvlJc w:val="left"/>
      <w:pPr>
        <w:tabs>
          <w:tab w:val="num" w:pos="4245"/>
        </w:tabs>
        <w:ind w:left="4245" w:hanging="360"/>
      </w:pPr>
      <w:rPr>
        <w:rFonts w:ascii="Wingdings" w:hAnsi="Wingdings" w:hint="default"/>
      </w:rPr>
    </w:lvl>
    <w:lvl w:ilvl="6" w:tplc="FFFFFFFF" w:tentative="1">
      <w:start w:val="1"/>
      <w:numFmt w:val="bullet"/>
      <w:lvlText w:val=""/>
      <w:lvlJc w:val="left"/>
      <w:pPr>
        <w:tabs>
          <w:tab w:val="num" w:pos="4965"/>
        </w:tabs>
        <w:ind w:left="4965" w:hanging="360"/>
      </w:pPr>
      <w:rPr>
        <w:rFonts w:ascii="Symbol" w:hAnsi="Symbol" w:hint="default"/>
      </w:rPr>
    </w:lvl>
    <w:lvl w:ilvl="7" w:tplc="FFFFFFFF" w:tentative="1">
      <w:start w:val="1"/>
      <w:numFmt w:val="bullet"/>
      <w:lvlText w:val="o"/>
      <w:lvlJc w:val="left"/>
      <w:pPr>
        <w:tabs>
          <w:tab w:val="num" w:pos="5685"/>
        </w:tabs>
        <w:ind w:left="5685" w:hanging="360"/>
      </w:pPr>
      <w:rPr>
        <w:rFonts w:ascii="Courier New" w:hAnsi="Courier New" w:cs="Wingdings" w:hint="default"/>
      </w:rPr>
    </w:lvl>
    <w:lvl w:ilvl="8" w:tplc="FFFFFFFF"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43525504"/>
    <w:multiLevelType w:val="singleLevel"/>
    <w:tmpl w:val="8D88FF0A"/>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7" w15:restartNumberingAfterBreak="0">
    <w:nsid w:val="75C96C3A"/>
    <w:multiLevelType w:val="singleLevel"/>
    <w:tmpl w:val="58BA3870"/>
    <w:lvl w:ilvl="0">
      <w:start w:val="6"/>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509489299">
    <w:abstractNumId w:val="3"/>
  </w:num>
  <w:num w:numId="2" w16cid:durableId="909776137">
    <w:abstractNumId w:val="6"/>
  </w:num>
  <w:num w:numId="3" w16cid:durableId="1832333805">
    <w:abstractNumId w:val="7"/>
  </w:num>
  <w:num w:numId="4" w16cid:durableId="1382942685">
    <w:abstractNumId w:val="5"/>
  </w:num>
  <w:num w:numId="5" w16cid:durableId="1214731548">
    <w:abstractNumId w:val="4"/>
  </w:num>
  <w:num w:numId="6" w16cid:durableId="1800804469">
    <w:abstractNumId w:val="2"/>
  </w:num>
  <w:num w:numId="7" w16cid:durableId="1876498375">
    <w:abstractNumId w:val="1"/>
  </w:num>
  <w:num w:numId="8" w16cid:durableId="75328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2"/>
    <w:rsid w:val="00011022"/>
    <w:rsid w:val="0002059F"/>
    <w:rsid w:val="00023FAA"/>
    <w:rsid w:val="000351C8"/>
    <w:rsid w:val="0005040F"/>
    <w:rsid w:val="000605D5"/>
    <w:rsid w:val="00061295"/>
    <w:rsid w:val="00087A49"/>
    <w:rsid w:val="000C422B"/>
    <w:rsid w:val="000E21E9"/>
    <w:rsid w:val="00133CA1"/>
    <w:rsid w:val="00141C0A"/>
    <w:rsid w:val="001631F1"/>
    <w:rsid w:val="001960D9"/>
    <w:rsid w:val="00196A6E"/>
    <w:rsid w:val="001A0A0C"/>
    <w:rsid w:val="001B702A"/>
    <w:rsid w:val="001D05FD"/>
    <w:rsid w:val="002500B0"/>
    <w:rsid w:val="00262633"/>
    <w:rsid w:val="0028692A"/>
    <w:rsid w:val="003604EB"/>
    <w:rsid w:val="00374EF0"/>
    <w:rsid w:val="00396E90"/>
    <w:rsid w:val="003C0DCF"/>
    <w:rsid w:val="003C483C"/>
    <w:rsid w:val="003C63A2"/>
    <w:rsid w:val="003F328E"/>
    <w:rsid w:val="00410459"/>
    <w:rsid w:val="0041530D"/>
    <w:rsid w:val="004571D8"/>
    <w:rsid w:val="00461BFC"/>
    <w:rsid w:val="0047144B"/>
    <w:rsid w:val="00482334"/>
    <w:rsid w:val="004C1EE9"/>
    <w:rsid w:val="004D21E8"/>
    <w:rsid w:val="004D3F0C"/>
    <w:rsid w:val="004F3222"/>
    <w:rsid w:val="00501128"/>
    <w:rsid w:val="005202C7"/>
    <w:rsid w:val="005407F9"/>
    <w:rsid w:val="005620FD"/>
    <w:rsid w:val="00573D2B"/>
    <w:rsid w:val="00586B4E"/>
    <w:rsid w:val="005A7D92"/>
    <w:rsid w:val="005B4DBB"/>
    <w:rsid w:val="00601CF0"/>
    <w:rsid w:val="006274B1"/>
    <w:rsid w:val="00642D8A"/>
    <w:rsid w:val="00654CBD"/>
    <w:rsid w:val="00661FC2"/>
    <w:rsid w:val="006719F8"/>
    <w:rsid w:val="00672B84"/>
    <w:rsid w:val="006A3166"/>
    <w:rsid w:val="006A42EE"/>
    <w:rsid w:val="006B61A2"/>
    <w:rsid w:val="006C7C3A"/>
    <w:rsid w:val="006F643B"/>
    <w:rsid w:val="00701B60"/>
    <w:rsid w:val="007343E4"/>
    <w:rsid w:val="00742938"/>
    <w:rsid w:val="00742EA8"/>
    <w:rsid w:val="00772BE7"/>
    <w:rsid w:val="00784045"/>
    <w:rsid w:val="00796652"/>
    <w:rsid w:val="007B7358"/>
    <w:rsid w:val="007C4AE1"/>
    <w:rsid w:val="007F0F32"/>
    <w:rsid w:val="00827070"/>
    <w:rsid w:val="00854DDD"/>
    <w:rsid w:val="008745D2"/>
    <w:rsid w:val="0089212C"/>
    <w:rsid w:val="008A7E63"/>
    <w:rsid w:val="008B3980"/>
    <w:rsid w:val="008E460A"/>
    <w:rsid w:val="009A25F1"/>
    <w:rsid w:val="009C0271"/>
    <w:rsid w:val="009C6082"/>
    <w:rsid w:val="009C6C7D"/>
    <w:rsid w:val="009D7131"/>
    <w:rsid w:val="009F1AA7"/>
    <w:rsid w:val="00A5068F"/>
    <w:rsid w:val="00A51141"/>
    <w:rsid w:val="00A75233"/>
    <w:rsid w:val="00AD302A"/>
    <w:rsid w:val="00AE5939"/>
    <w:rsid w:val="00B27B2D"/>
    <w:rsid w:val="00B41908"/>
    <w:rsid w:val="00B41C90"/>
    <w:rsid w:val="00B87FC0"/>
    <w:rsid w:val="00B918AB"/>
    <w:rsid w:val="00B91B4D"/>
    <w:rsid w:val="00B922DB"/>
    <w:rsid w:val="00BC0FD9"/>
    <w:rsid w:val="00C34C9D"/>
    <w:rsid w:val="00C439D6"/>
    <w:rsid w:val="00C7609B"/>
    <w:rsid w:val="00CB2C8E"/>
    <w:rsid w:val="00CC55E0"/>
    <w:rsid w:val="00CD52B4"/>
    <w:rsid w:val="00D41FFE"/>
    <w:rsid w:val="00D43892"/>
    <w:rsid w:val="00D975A7"/>
    <w:rsid w:val="00DA08BF"/>
    <w:rsid w:val="00DA51DE"/>
    <w:rsid w:val="00DD4047"/>
    <w:rsid w:val="00DF3AD7"/>
    <w:rsid w:val="00E04B91"/>
    <w:rsid w:val="00E14572"/>
    <w:rsid w:val="00EC3097"/>
    <w:rsid w:val="00EC38C2"/>
    <w:rsid w:val="00ED4040"/>
    <w:rsid w:val="00F0487C"/>
    <w:rsid w:val="00F609EE"/>
    <w:rsid w:val="00FA74A4"/>
    <w:rsid w:val="00FE4A73"/>
    <w:rsid w:val="00FF20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22A14"/>
  <w15:chartTrackingRefBased/>
  <w15:docId w15:val="{F3B307B8-DE0D-4496-BC70-679A5D3B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D97FC6"/>
    <w:rPr>
      <w:rFonts w:ascii="Tahoma" w:hAnsi="Tahoma" w:cs="Tahoma"/>
      <w:sz w:val="16"/>
      <w:szCs w:val="16"/>
    </w:rPr>
  </w:style>
  <w:style w:type="character" w:styleId="Kommentarzeichen">
    <w:name w:val="annotation reference"/>
    <w:uiPriority w:val="99"/>
    <w:semiHidden/>
    <w:unhideWhenUsed/>
    <w:rsid w:val="00AD302A"/>
    <w:rPr>
      <w:sz w:val="16"/>
      <w:szCs w:val="16"/>
    </w:rPr>
  </w:style>
  <w:style w:type="paragraph" w:styleId="Kommentartext">
    <w:name w:val="annotation text"/>
    <w:basedOn w:val="Standard"/>
    <w:link w:val="KommentartextZchn"/>
    <w:uiPriority w:val="99"/>
    <w:unhideWhenUsed/>
    <w:rsid w:val="00AD302A"/>
    <w:rPr>
      <w:sz w:val="20"/>
    </w:rPr>
  </w:style>
  <w:style w:type="character" w:customStyle="1" w:styleId="KommentartextZchn">
    <w:name w:val="Kommentartext Zchn"/>
    <w:link w:val="Kommentartext"/>
    <w:uiPriority w:val="99"/>
    <w:rsid w:val="00AD302A"/>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AD302A"/>
    <w:rPr>
      <w:b/>
      <w:bCs/>
    </w:rPr>
  </w:style>
  <w:style w:type="character" w:customStyle="1" w:styleId="KommentarthemaZchn">
    <w:name w:val="Kommentarthema Zchn"/>
    <w:link w:val="Kommentarthema"/>
    <w:uiPriority w:val="99"/>
    <w:semiHidden/>
    <w:rsid w:val="00AD302A"/>
    <w:rPr>
      <w:rFonts w:ascii="Dutch Roman 12pt" w:hAnsi="Dutch Roman 12pt"/>
      <w:b/>
      <w:bCs/>
    </w:rPr>
  </w:style>
  <w:style w:type="paragraph" w:styleId="berarbeitung">
    <w:name w:val="Revision"/>
    <w:hidden/>
    <w:uiPriority w:val="71"/>
    <w:rsid w:val="00CC55E0"/>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1090</Words>
  <Characters>6867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2020-10-21T15:49:00Z</cp:lastPrinted>
  <dcterms:created xsi:type="dcterms:W3CDTF">2024-10-10T15:45:00Z</dcterms:created>
  <dcterms:modified xsi:type="dcterms:W3CDTF">2024-10-10T15:45:00Z</dcterms:modified>
</cp:coreProperties>
</file>