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B4A6E" w14:textId="6773A250" w:rsidR="002A1B3C" w:rsidRDefault="002A1B3C" w:rsidP="00065A93">
      <w:pPr>
        <w:tabs>
          <w:tab w:val="right" w:pos="10206"/>
        </w:tabs>
        <w:jc w:val="both"/>
        <w:rPr>
          <w:spacing w:val="-3"/>
        </w:rPr>
      </w:pPr>
      <w:r>
        <w:rPr>
          <w:b/>
          <w:spacing w:val="-3"/>
        </w:rPr>
        <w:t xml:space="preserve">Prof. Dr. </w:t>
      </w:r>
      <w:r w:rsidR="007A48FD">
        <w:rPr>
          <w:b/>
          <w:spacing w:val="-3"/>
        </w:rPr>
        <w:t xml:space="preserve">Dr. h.c. </w:t>
      </w:r>
      <w:r>
        <w:rPr>
          <w:b/>
          <w:spacing w:val="-3"/>
        </w:rPr>
        <w:t>Bernd Heinrich/</w:t>
      </w:r>
      <w:r w:rsidR="00ED5799">
        <w:rPr>
          <w:b/>
          <w:spacing w:val="-3"/>
        </w:rPr>
        <w:t>Pr</w:t>
      </w:r>
      <w:r w:rsidR="004A2995">
        <w:rPr>
          <w:b/>
          <w:spacing w:val="-3"/>
        </w:rPr>
        <w:t>of</w:t>
      </w:r>
      <w:r w:rsidR="00ED5799">
        <w:rPr>
          <w:b/>
          <w:spacing w:val="-3"/>
        </w:rPr>
        <w:t xml:space="preserve">. </w:t>
      </w:r>
      <w:r>
        <w:rPr>
          <w:b/>
          <w:spacing w:val="-3"/>
        </w:rPr>
        <w:t>Dr. Tobias Re</w:t>
      </w:r>
      <w:r w:rsidR="00D32ACD">
        <w:rPr>
          <w:b/>
          <w:spacing w:val="-3"/>
        </w:rPr>
        <w:t>inbacher</w:t>
      </w:r>
      <w:r w:rsidR="00D32ACD">
        <w:rPr>
          <w:b/>
          <w:spacing w:val="-3"/>
        </w:rPr>
        <w:tab/>
        <w:t xml:space="preserve">Stand: 1. </w:t>
      </w:r>
      <w:r w:rsidR="007E31D8">
        <w:rPr>
          <w:b/>
          <w:spacing w:val="-3"/>
        </w:rPr>
        <w:t>Oktober</w:t>
      </w:r>
      <w:r w:rsidR="00150ACB">
        <w:rPr>
          <w:b/>
          <w:spacing w:val="-3"/>
        </w:rPr>
        <w:t xml:space="preserve"> </w:t>
      </w:r>
      <w:r w:rsidR="00065A93">
        <w:rPr>
          <w:b/>
          <w:spacing w:val="-3"/>
        </w:rPr>
        <w:t>20</w:t>
      </w:r>
      <w:r w:rsidR="005D4482">
        <w:rPr>
          <w:b/>
          <w:spacing w:val="-3"/>
        </w:rPr>
        <w:t>2</w:t>
      </w:r>
      <w:r w:rsidR="00CA61EF">
        <w:rPr>
          <w:b/>
          <w:spacing w:val="-3"/>
        </w:rPr>
        <w:t>4</w:t>
      </w:r>
    </w:p>
    <w:p w14:paraId="4AD32A76" w14:textId="710B376F" w:rsidR="002A1B3C" w:rsidRDefault="002A1B3C" w:rsidP="002A1B3C">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CA61EF">
        <w:rPr>
          <w:b/>
          <w:spacing w:val="-3"/>
        </w:rPr>
        <w:t> </w:t>
      </w:r>
      <w:r>
        <w:rPr>
          <w:b/>
          <w:spacing w:val="-3"/>
        </w:rPr>
        <w:t>47</w:t>
      </w:r>
    </w:p>
    <w:p w14:paraId="2210DC2B" w14:textId="77777777" w:rsidR="002A1B3C" w:rsidRPr="00065A93" w:rsidRDefault="002A1B3C" w:rsidP="002A1B3C">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2"/>
          <w:szCs w:val="52"/>
        </w:rPr>
      </w:pPr>
      <w:r w:rsidRPr="00065A93">
        <w:rPr>
          <w:b/>
          <w:spacing w:val="-7"/>
          <w:sz w:val="52"/>
          <w:szCs w:val="52"/>
        </w:rPr>
        <w:t>Das Strafbefehlsverfahren</w:t>
      </w:r>
    </w:p>
    <w:p w14:paraId="7BDB154A" w14:textId="77777777" w:rsidR="002A1B3C" w:rsidRDefault="002A1B3C">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D236A3">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6E00E0">
        <w:rPr>
          <w:rFonts w:ascii="Times New Roman" w:hAnsi="Times New Roman"/>
          <w:noProof/>
          <w:vanish/>
          <w:spacing w:val="-7"/>
          <w:sz w:val="60"/>
        </w:rPr>
        <w:t>1</w:t>
      </w:r>
      <w:r>
        <w:rPr>
          <w:rFonts w:ascii="Times New Roman" w:hAnsi="Times New Roman"/>
          <w:vanish/>
          <w:spacing w:val="-7"/>
          <w:sz w:val="60"/>
        </w:rPr>
        <w:fldChar w:fldCharType="end"/>
      </w:r>
    </w:p>
    <w:p w14:paraId="1ECCB684" w14:textId="77777777" w:rsidR="00065A93" w:rsidRDefault="00065A93" w:rsidP="002A1B3C">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b/>
          <w:spacing w:val="-2"/>
          <w:sz w:val="18"/>
          <w:szCs w:val="18"/>
        </w:rPr>
      </w:pPr>
    </w:p>
    <w:p w14:paraId="2E829888" w14:textId="77777777" w:rsidR="002A1B3C" w:rsidRPr="00787FCE" w:rsidRDefault="002A1B3C" w:rsidP="002A1B3C">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9"/>
          <w:szCs w:val="19"/>
        </w:rPr>
      </w:pPr>
      <w:r w:rsidRPr="00787FCE">
        <w:rPr>
          <w:rFonts w:ascii="Times New Roman" w:hAnsi="Times New Roman"/>
          <w:b/>
          <w:spacing w:val="-2"/>
          <w:sz w:val="19"/>
          <w:szCs w:val="19"/>
        </w:rPr>
        <w:t>I.</w:t>
      </w:r>
      <w:r w:rsidRPr="00787FCE">
        <w:rPr>
          <w:rFonts w:ascii="Times New Roman" w:hAnsi="Times New Roman"/>
          <w:b/>
          <w:spacing w:val="-2"/>
          <w:sz w:val="19"/>
          <w:szCs w:val="19"/>
        </w:rPr>
        <w:tab/>
        <w:t>Allgemeines:</w:t>
      </w:r>
      <w:r w:rsidRPr="00787FCE">
        <w:rPr>
          <w:rFonts w:ascii="Times New Roman" w:hAnsi="Times New Roman"/>
          <w:spacing w:val="-2"/>
          <w:sz w:val="19"/>
          <w:szCs w:val="19"/>
        </w:rPr>
        <w:t xml:space="preserve"> Das Strafbefehlsverfahren (§§ 407 ff. StPO) ist ein summarisches Verfahren, mit dem Fälle minder schwerer Kriminalität schnell und unkompliziert abgehandelt werden können. Es wird nach Aktenlage entschieden, ohne Hauptverhandlung, schriftlich, nicht öffentlich und ohne Beteiligung von Laienrichtern. Dies erspart dem Beschuldigten die seelische, zeitliche und finanzielle Belastung einer Hauptverhandlung. Die Mehrzahl aller Strafverfahren endet mit einem Strafbefehl. Das Strafbefehlsverfahren ist somit im Alltag der Amtsgerichte zum Normalverfahren geworden, die Anklage zur Ausnahme.</w:t>
      </w:r>
    </w:p>
    <w:p w14:paraId="6322642F" w14:textId="77777777" w:rsidR="002A1B3C" w:rsidRPr="00787FCE" w:rsidRDefault="002A1B3C" w:rsidP="001C2A04">
      <w:pPr>
        <w:widowControl/>
        <w:tabs>
          <w:tab w:val="left" w:pos="-720"/>
          <w:tab w:val="left" w:pos="284"/>
          <w:tab w:val="left" w:pos="567"/>
          <w:tab w:val="left" w:pos="864"/>
          <w:tab w:val="left" w:pos="1116"/>
          <w:tab w:val="left" w:pos="1404"/>
          <w:tab w:val="left" w:pos="1692"/>
          <w:tab w:val="left" w:pos="1980"/>
          <w:tab w:val="left" w:pos="2268"/>
          <w:tab w:val="left" w:pos="2880"/>
        </w:tabs>
        <w:spacing w:before="120"/>
        <w:ind w:left="567" w:hanging="567"/>
        <w:jc w:val="both"/>
        <w:rPr>
          <w:rFonts w:ascii="Times New Roman" w:hAnsi="Times New Roman"/>
          <w:b/>
          <w:spacing w:val="-2"/>
          <w:sz w:val="19"/>
          <w:szCs w:val="19"/>
        </w:rPr>
      </w:pPr>
      <w:r w:rsidRPr="00787FCE">
        <w:rPr>
          <w:rFonts w:ascii="Times New Roman" w:hAnsi="Times New Roman"/>
          <w:b/>
          <w:spacing w:val="-2"/>
          <w:sz w:val="19"/>
          <w:szCs w:val="19"/>
        </w:rPr>
        <w:t>II.</w:t>
      </w:r>
      <w:r w:rsidRPr="00787FCE">
        <w:rPr>
          <w:rFonts w:ascii="Times New Roman" w:hAnsi="Times New Roman"/>
          <w:b/>
          <w:spacing w:val="-2"/>
          <w:sz w:val="19"/>
          <w:szCs w:val="19"/>
        </w:rPr>
        <w:tab/>
        <w:t>Zulässigkeit:</w:t>
      </w:r>
    </w:p>
    <w:p w14:paraId="396A438E" w14:textId="77777777" w:rsidR="002A1B3C" w:rsidRPr="00F8026B" w:rsidRDefault="002A1B3C" w:rsidP="002A1B3C">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9"/>
          <w:szCs w:val="19"/>
        </w:rPr>
      </w:pPr>
      <w:r w:rsidRPr="00787FCE">
        <w:rPr>
          <w:rFonts w:ascii="Times New Roman" w:hAnsi="Times New Roman"/>
          <w:spacing w:val="-2"/>
          <w:sz w:val="19"/>
          <w:szCs w:val="19"/>
        </w:rPr>
        <w:tab/>
        <w:t>–</w:t>
      </w:r>
      <w:r w:rsidRPr="00787FCE">
        <w:rPr>
          <w:rFonts w:ascii="Times New Roman" w:hAnsi="Times New Roman"/>
          <w:spacing w:val="-2"/>
          <w:sz w:val="19"/>
          <w:szCs w:val="19"/>
        </w:rPr>
        <w:tab/>
        <w:t>Gegen einen Jugendlichen darf kein Strafbefehl erlassen werden</w:t>
      </w:r>
      <w:r w:rsidR="00BA5E07">
        <w:rPr>
          <w:rFonts w:ascii="Times New Roman" w:hAnsi="Times New Roman"/>
          <w:spacing w:val="-2"/>
          <w:sz w:val="19"/>
          <w:szCs w:val="19"/>
        </w:rPr>
        <w:t>,</w:t>
      </w:r>
      <w:r w:rsidR="00A60870">
        <w:rPr>
          <w:rFonts w:ascii="Times New Roman" w:hAnsi="Times New Roman"/>
          <w:spacing w:val="-2"/>
          <w:sz w:val="19"/>
          <w:szCs w:val="19"/>
        </w:rPr>
        <w:t xml:space="preserve"> </w:t>
      </w:r>
      <w:r w:rsidRPr="00787FCE">
        <w:rPr>
          <w:rFonts w:ascii="Times New Roman" w:hAnsi="Times New Roman"/>
          <w:spacing w:val="-2"/>
          <w:sz w:val="19"/>
          <w:szCs w:val="19"/>
        </w:rPr>
        <w:t xml:space="preserve">§ 79 </w:t>
      </w:r>
      <w:r w:rsidR="0068438E">
        <w:rPr>
          <w:rFonts w:ascii="Times New Roman" w:hAnsi="Times New Roman"/>
          <w:spacing w:val="-2"/>
          <w:sz w:val="19"/>
          <w:szCs w:val="19"/>
        </w:rPr>
        <w:t>I</w:t>
      </w:r>
      <w:r w:rsidRPr="00787FCE">
        <w:rPr>
          <w:rFonts w:ascii="Times New Roman" w:hAnsi="Times New Roman"/>
          <w:spacing w:val="-2"/>
          <w:sz w:val="19"/>
          <w:szCs w:val="19"/>
        </w:rPr>
        <w:t xml:space="preserve"> JGG. Gegen einen Heranwachsenden darf ein Strafbefehl beantragt und erlassen werden, sofern Erwachsenenstrafrecht Anwendung findet. Eine Freiheitsstrafe darf jedoch nicht verhängt </w:t>
      </w:r>
      <w:r w:rsidRPr="00F8026B">
        <w:rPr>
          <w:rFonts w:ascii="Times New Roman" w:hAnsi="Times New Roman"/>
          <w:spacing w:val="-2"/>
          <w:sz w:val="19"/>
          <w:szCs w:val="19"/>
        </w:rPr>
        <w:t>werden</w:t>
      </w:r>
      <w:r w:rsidR="00BA5E07">
        <w:rPr>
          <w:rFonts w:ascii="Times New Roman" w:hAnsi="Times New Roman"/>
          <w:spacing w:val="-2"/>
          <w:sz w:val="19"/>
          <w:szCs w:val="19"/>
        </w:rPr>
        <w:t xml:space="preserve">, </w:t>
      </w:r>
      <w:r w:rsidRPr="00F8026B">
        <w:rPr>
          <w:rFonts w:ascii="Times New Roman" w:hAnsi="Times New Roman"/>
          <w:spacing w:val="-2"/>
          <w:sz w:val="19"/>
          <w:szCs w:val="19"/>
        </w:rPr>
        <w:t xml:space="preserve">§ 109 </w:t>
      </w:r>
      <w:r w:rsidR="003D29D5">
        <w:rPr>
          <w:rFonts w:ascii="Times New Roman" w:hAnsi="Times New Roman"/>
          <w:spacing w:val="-2"/>
          <w:sz w:val="19"/>
          <w:szCs w:val="19"/>
        </w:rPr>
        <w:t>III</w:t>
      </w:r>
      <w:r w:rsidRPr="00F8026B">
        <w:rPr>
          <w:rFonts w:ascii="Times New Roman" w:hAnsi="Times New Roman"/>
          <w:spacing w:val="-2"/>
          <w:sz w:val="19"/>
          <w:szCs w:val="19"/>
        </w:rPr>
        <w:t xml:space="preserve"> JGG.</w:t>
      </w:r>
    </w:p>
    <w:p w14:paraId="3CAE6851" w14:textId="0B5762C3" w:rsidR="002A1B3C" w:rsidRPr="004A2995" w:rsidRDefault="002A1B3C" w:rsidP="002A1B3C">
      <w:pPr>
        <w:widowControl/>
        <w:tabs>
          <w:tab w:val="left" w:pos="-720"/>
          <w:tab w:val="left" w:pos="0"/>
          <w:tab w:val="left" w:pos="284"/>
          <w:tab w:val="left" w:pos="567"/>
          <w:tab w:val="left" w:pos="1404"/>
          <w:tab w:val="left" w:pos="1692"/>
          <w:tab w:val="left" w:pos="1980"/>
          <w:tab w:val="left" w:pos="2268"/>
          <w:tab w:val="left" w:pos="2880"/>
        </w:tabs>
        <w:ind w:left="567" w:hanging="567"/>
        <w:jc w:val="both"/>
        <w:rPr>
          <w:rFonts w:ascii="Times New Roman" w:hAnsi="Times New Roman"/>
          <w:spacing w:val="-2"/>
          <w:sz w:val="19"/>
          <w:szCs w:val="19"/>
        </w:rPr>
      </w:pPr>
      <w:r w:rsidRPr="00F8026B">
        <w:rPr>
          <w:rFonts w:ascii="Times New Roman" w:hAnsi="Times New Roman"/>
          <w:spacing w:val="-2"/>
          <w:sz w:val="19"/>
          <w:szCs w:val="19"/>
        </w:rPr>
        <w:t xml:space="preserve"> </w:t>
      </w:r>
      <w:r w:rsidRPr="00F8026B">
        <w:rPr>
          <w:rFonts w:ascii="Times New Roman" w:hAnsi="Times New Roman"/>
          <w:spacing w:val="-2"/>
          <w:sz w:val="19"/>
          <w:szCs w:val="19"/>
        </w:rPr>
        <w:tab/>
        <w:t>–</w:t>
      </w:r>
      <w:r w:rsidRPr="00F8026B">
        <w:rPr>
          <w:rFonts w:ascii="Times New Roman" w:hAnsi="Times New Roman"/>
          <w:spacing w:val="-2"/>
          <w:sz w:val="19"/>
          <w:szCs w:val="19"/>
        </w:rPr>
        <w:tab/>
        <w:t xml:space="preserve">Es muss sich um vor dem </w:t>
      </w:r>
      <w:r w:rsidRPr="00CE367C">
        <w:rPr>
          <w:rFonts w:ascii="Times New Roman" w:hAnsi="Times New Roman"/>
          <w:b/>
          <w:spacing w:val="-2"/>
          <w:sz w:val="19"/>
          <w:szCs w:val="19"/>
        </w:rPr>
        <w:t>Strafrichter</w:t>
      </w:r>
      <w:r w:rsidRPr="00F8026B">
        <w:rPr>
          <w:rFonts w:ascii="Times New Roman" w:hAnsi="Times New Roman"/>
          <w:spacing w:val="-2"/>
          <w:sz w:val="19"/>
          <w:szCs w:val="19"/>
        </w:rPr>
        <w:t xml:space="preserve"> abzuurteilende </w:t>
      </w:r>
      <w:r w:rsidRPr="00CE367C">
        <w:rPr>
          <w:rFonts w:ascii="Times New Roman" w:hAnsi="Times New Roman"/>
          <w:b/>
          <w:spacing w:val="-2"/>
          <w:sz w:val="19"/>
          <w:szCs w:val="19"/>
        </w:rPr>
        <w:t>Vergehen</w:t>
      </w:r>
      <w:r w:rsidRPr="00F8026B">
        <w:rPr>
          <w:rFonts w:ascii="Times New Roman" w:hAnsi="Times New Roman"/>
          <w:spacing w:val="-2"/>
          <w:sz w:val="19"/>
          <w:szCs w:val="19"/>
        </w:rPr>
        <w:t xml:space="preserve">, § 12 </w:t>
      </w:r>
      <w:r w:rsidR="00CE4124">
        <w:rPr>
          <w:rFonts w:ascii="Times New Roman" w:hAnsi="Times New Roman"/>
          <w:spacing w:val="-2"/>
          <w:sz w:val="19"/>
          <w:szCs w:val="19"/>
        </w:rPr>
        <w:t>II</w:t>
      </w:r>
      <w:r w:rsidRPr="00F8026B">
        <w:rPr>
          <w:rFonts w:ascii="Times New Roman" w:hAnsi="Times New Roman"/>
          <w:spacing w:val="-2"/>
          <w:sz w:val="19"/>
          <w:szCs w:val="19"/>
        </w:rPr>
        <w:t xml:space="preserve"> StGB, handeln, § 407 </w:t>
      </w:r>
      <w:r w:rsidR="00D6739C">
        <w:rPr>
          <w:rFonts w:ascii="Times New Roman" w:hAnsi="Times New Roman"/>
          <w:spacing w:val="-2"/>
          <w:sz w:val="19"/>
          <w:szCs w:val="19"/>
        </w:rPr>
        <w:t>I</w:t>
      </w:r>
      <w:r w:rsidRPr="00F8026B">
        <w:rPr>
          <w:rFonts w:ascii="Times New Roman" w:hAnsi="Times New Roman"/>
          <w:spacing w:val="-2"/>
          <w:sz w:val="19"/>
          <w:szCs w:val="19"/>
        </w:rPr>
        <w:t xml:space="preserve"> 1 Alt.</w:t>
      </w:r>
      <w:r w:rsidR="00CA61EF">
        <w:rPr>
          <w:rFonts w:ascii="Times New Roman" w:hAnsi="Times New Roman"/>
          <w:spacing w:val="-2"/>
          <w:sz w:val="19"/>
          <w:szCs w:val="19"/>
        </w:rPr>
        <w:t> </w:t>
      </w:r>
      <w:r w:rsidRPr="00F8026B">
        <w:rPr>
          <w:rFonts w:ascii="Times New Roman" w:hAnsi="Times New Roman"/>
          <w:spacing w:val="-2"/>
          <w:sz w:val="19"/>
          <w:szCs w:val="19"/>
        </w:rPr>
        <w:t>1 StPO.</w:t>
      </w:r>
      <w:r w:rsidR="00F8026B" w:rsidRPr="00F8026B">
        <w:rPr>
          <w:rFonts w:ascii="Times New Roman" w:hAnsi="Times New Roman"/>
          <w:spacing w:val="-2"/>
          <w:sz w:val="19"/>
          <w:szCs w:val="19"/>
        </w:rPr>
        <w:t xml:space="preserve"> </w:t>
      </w:r>
      <w:r w:rsidR="00F8026B" w:rsidRPr="00CE367C">
        <w:rPr>
          <w:rFonts w:ascii="Times New Roman" w:hAnsi="Times New Roman"/>
          <w:sz w:val="19"/>
          <w:szCs w:val="19"/>
        </w:rPr>
        <w:t xml:space="preserve">Strafbefehlsanträge zum </w:t>
      </w:r>
      <w:r w:rsidR="00F8026B" w:rsidRPr="00CE367C">
        <w:rPr>
          <w:rFonts w:ascii="Times New Roman" w:hAnsi="Times New Roman"/>
          <w:b/>
          <w:sz w:val="19"/>
          <w:szCs w:val="19"/>
        </w:rPr>
        <w:t>Schöffengericht</w:t>
      </w:r>
      <w:r w:rsidR="00F8026B" w:rsidRPr="00CE367C">
        <w:rPr>
          <w:rFonts w:ascii="Times New Roman" w:hAnsi="Times New Roman"/>
          <w:sz w:val="19"/>
          <w:szCs w:val="19"/>
        </w:rPr>
        <w:t xml:space="preserve"> </w:t>
      </w:r>
      <w:r w:rsidR="00F8026B">
        <w:rPr>
          <w:rFonts w:ascii="Times New Roman" w:hAnsi="Times New Roman"/>
          <w:sz w:val="19"/>
          <w:szCs w:val="19"/>
        </w:rPr>
        <w:t>(§</w:t>
      </w:r>
      <w:r w:rsidR="00CA61EF">
        <w:rPr>
          <w:rFonts w:ascii="Times New Roman" w:hAnsi="Times New Roman"/>
          <w:sz w:val="19"/>
          <w:szCs w:val="19"/>
        </w:rPr>
        <w:t> </w:t>
      </w:r>
      <w:r w:rsidR="00F8026B">
        <w:rPr>
          <w:rFonts w:ascii="Times New Roman" w:hAnsi="Times New Roman"/>
          <w:sz w:val="19"/>
          <w:szCs w:val="19"/>
        </w:rPr>
        <w:t xml:space="preserve">407 </w:t>
      </w:r>
      <w:r w:rsidR="00D6739C">
        <w:rPr>
          <w:rFonts w:ascii="Times New Roman" w:hAnsi="Times New Roman"/>
          <w:sz w:val="19"/>
          <w:szCs w:val="19"/>
        </w:rPr>
        <w:t>I</w:t>
      </w:r>
      <w:r w:rsidR="00F8026B">
        <w:rPr>
          <w:rFonts w:ascii="Times New Roman" w:hAnsi="Times New Roman"/>
          <w:sz w:val="19"/>
          <w:szCs w:val="19"/>
        </w:rPr>
        <w:t xml:space="preserve"> 1 Alt.</w:t>
      </w:r>
      <w:r w:rsidR="00D6739C">
        <w:rPr>
          <w:rFonts w:ascii="Times New Roman" w:hAnsi="Times New Roman"/>
          <w:sz w:val="19"/>
          <w:szCs w:val="19"/>
        </w:rPr>
        <w:t> 2</w:t>
      </w:r>
      <w:r w:rsidR="00F8026B">
        <w:rPr>
          <w:rFonts w:ascii="Times New Roman" w:hAnsi="Times New Roman"/>
          <w:sz w:val="19"/>
          <w:szCs w:val="19"/>
        </w:rPr>
        <w:t xml:space="preserve"> StPO) </w:t>
      </w:r>
      <w:r w:rsidR="00F8026B" w:rsidRPr="00CE367C">
        <w:rPr>
          <w:rFonts w:ascii="Times New Roman" w:hAnsi="Times New Roman"/>
          <w:sz w:val="19"/>
          <w:szCs w:val="19"/>
        </w:rPr>
        <w:t>sind regelmäß</w:t>
      </w:r>
      <w:r w:rsidR="00846024" w:rsidRPr="004A2995">
        <w:rPr>
          <w:rFonts w:ascii="Times New Roman" w:hAnsi="Times New Roman"/>
          <w:sz w:val="19"/>
          <w:szCs w:val="19"/>
        </w:rPr>
        <w:t>ig nur noch im Verfahren nach §</w:t>
      </w:r>
      <w:r w:rsidR="00167150">
        <w:rPr>
          <w:rFonts w:ascii="Times New Roman" w:hAnsi="Times New Roman"/>
          <w:sz w:val="19"/>
          <w:szCs w:val="19"/>
        </w:rPr>
        <w:t> </w:t>
      </w:r>
      <w:r w:rsidR="00F8026B" w:rsidRPr="00CE367C">
        <w:rPr>
          <w:rFonts w:ascii="Times New Roman" w:hAnsi="Times New Roman"/>
          <w:sz w:val="19"/>
          <w:szCs w:val="19"/>
        </w:rPr>
        <w:t xml:space="preserve">408a </w:t>
      </w:r>
      <w:r w:rsidR="00AB7FD6">
        <w:rPr>
          <w:rFonts w:ascii="Times New Roman" w:hAnsi="Times New Roman"/>
          <w:sz w:val="19"/>
          <w:szCs w:val="19"/>
        </w:rPr>
        <w:t xml:space="preserve">StPO </w:t>
      </w:r>
      <w:r w:rsidR="00F8026B" w:rsidRPr="00CE367C">
        <w:rPr>
          <w:rFonts w:ascii="Times New Roman" w:hAnsi="Times New Roman"/>
          <w:sz w:val="19"/>
          <w:szCs w:val="19"/>
        </w:rPr>
        <w:t xml:space="preserve">denkbar, nachdem durch das </w:t>
      </w:r>
      <w:proofErr w:type="spellStart"/>
      <w:r w:rsidR="00F8026B" w:rsidRPr="00CE367C">
        <w:rPr>
          <w:rFonts w:ascii="Times New Roman" w:hAnsi="Times New Roman"/>
          <w:sz w:val="19"/>
          <w:szCs w:val="19"/>
        </w:rPr>
        <w:t>RPflEntlG</w:t>
      </w:r>
      <w:proofErr w:type="spellEnd"/>
      <w:r w:rsidR="00F8026B" w:rsidRPr="00CE367C">
        <w:rPr>
          <w:rFonts w:ascii="Times New Roman" w:hAnsi="Times New Roman"/>
          <w:sz w:val="19"/>
          <w:szCs w:val="19"/>
        </w:rPr>
        <w:t xml:space="preserve"> 1993 die Strafgewalt des Strafrichters auf zwei Jahre angehoben worden ist und es für die Zuständigkeit des Strafrichters auf die Bedeutung der Sache nicht mehr ankommt, </w:t>
      </w:r>
      <w:r w:rsidR="00F8026B">
        <w:rPr>
          <w:rFonts w:ascii="Times New Roman" w:hAnsi="Times New Roman"/>
          <w:sz w:val="19"/>
          <w:szCs w:val="19"/>
        </w:rPr>
        <w:t xml:space="preserve">vgl. </w:t>
      </w:r>
      <w:r w:rsidR="00F8026B" w:rsidRPr="00CE367C">
        <w:rPr>
          <w:rFonts w:ascii="Times New Roman" w:hAnsi="Times New Roman"/>
          <w:sz w:val="19"/>
          <w:szCs w:val="19"/>
        </w:rPr>
        <w:t>§</w:t>
      </w:r>
      <w:r w:rsidR="00CA61EF">
        <w:rPr>
          <w:rFonts w:ascii="Times New Roman" w:hAnsi="Times New Roman"/>
          <w:sz w:val="19"/>
          <w:szCs w:val="19"/>
        </w:rPr>
        <w:t> </w:t>
      </w:r>
      <w:r w:rsidR="00F8026B" w:rsidRPr="00CE367C">
        <w:rPr>
          <w:rFonts w:ascii="Times New Roman" w:hAnsi="Times New Roman"/>
          <w:sz w:val="19"/>
          <w:szCs w:val="19"/>
        </w:rPr>
        <w:t>25 GVG</w:t>
      </w:r>
      <w:r w:rsidR="00F8026B">
        <w:rPr>
          <w:rFonts w:ascii="Times New Roman" w:hAnsi="Times New Roman"/>
          <w:sz w:val="19"/>
          <w:szCs w:val="19"/>
        </w:rPr>
        <w:t>.</w:t>
      </w:r>
    </w:p>
    <w:p w14:paraId="09E4BB14" w14:textId="77777777" w:rsidR="002A1B3C" w:rsidRPr="00787FCE" w:rsidRDefault="002A1B3C" w:rsidP="002A1B3C">
      <w:pPr>
        <w:widowControl/>
        <w:tabs>
          <w:tab w:val="left" w:pos="-720"/>
          <w:tab w:val="left" w:pos="0"/>
          <w:tab w:val="left" w:pos="284"/>
          <w:tab w:val="left" w:pos="567"/>
          <w:tab w:val="left" w:pos="1404"/>
          <w:tab w:val="left" w:pos="1692"/>
          <w:tab w:val="left" w:pos="1980"/>
          <w:tab w:val="left" w:pos="2268"/>
          <w:tab w:val="left" w:pos="2880"/>
        </w:tabs>
        <w:ind w:left="567" w:hanging="567"/>
        <w:jc w:val="both"/>
        <w:rPr>
          <w:rFonts w:ascii="Times New Roman" w:hAnsi="Times New Roman"/>
          <w:spacing w:val="-2"/>
          <w:sz w:val="19"/>
          <w:szCs w:val="19"/>
        </w:rPr>
      </w:pPr>
      <w:r w:rsidRPr="00BA5E07">
        <w:rPr>
          <w:rFonts w:ascii="Times New Roman" w:hAnsi="Times New Roman"/>
          <w:spacing w:val="-2"/>
          <w:sz w:val="19"/>
          <w:szCs w:val="19"/>
        </w:rPr>
        <w:tab/>
        <w:t>–</w:t>
      </w:r>
      <w:r w:rsidRPr="00BA5E07">
        <w:rPr>
          <w:rFonts w:ascii="Times New Roman" w:hAnsi="Times New Roman"/>
          <w:spacing w:val="-2"/>
          <w:sz w:val="19"/>
          <w:szCs w:val="19"/>
        </w:rPr>
        <w:tab/>
        <w:t xml:space="preserve">Es dürfen nur die in § 407 </w:t>
      </w:r>
      <w:r w:rsidR="00123C96">
        <w:rPr>
          <w:rFonts w:ascii="Times New Roman" w:hAnsi="Times New Roman"/>
          <w:spacing w:val="-2"/>
          <w:sz w:val="19"/>
          <w:szCs w:val="19"/>
        </w:rPr>
        <w:t>II</w:t>
      </w:r>
      <w:r w:rsidRPr="00BA5E07">
        <w:rPr>
          <w:rFonts w:ascii="Times New Roman" w:hAnsi="Times New Roman"/>
          <w:spacing w:val="-2"/>
          <w:sz w:val="19"/>
          <w:szCs w:val="19"/>
        </w:rPr>
        <w:t xml:space="preserve"> StPO genannten</w:t>
      </w:r>
      <w:r w:rsidRPr="00787FCE">
        <w:rPr>
          <w:rFonts w:ascii="Times New Roman" w:hAnsi="Times New Roman"/>
          <w:spacing w:val="-2"/>
          <w:sz w:val="19"/>
          <w:szCs w:val="19"/>
        </w:rPr>
        <w:t xml:space="preserve"> Rechtsfolgen </w:t>
      </w:r>
      <w:r w:rsidR="00167150">
        <w:rPr>
          <w:rFonts w:ascii="Times New Roman" w:hAnsi="Times New Roman"/>
          <w:spacing w:val="-2"/>
          <w:sz w:val="19"/>
          <w:szCs w:val="19"/>
        </w:rPr>
        <w:t xml:space="preserve">angeordnet </w:t>
      </w:r>
      <w:r w:rsidR="00CE367C">
        <w:rPr>
          <w:rFonts w:ascii="Times New Roman" w:hAnsi="Times New Roman"/>
          <w:spacing w:val="-2"/>
          <w:sz w:val="19"/>
          <w:szCs w:val="19"/>
        </w:rPr>
        <w:t>werden</w:t>
      </w:r>
      <w:r w:rsidRPr="00787FCE">
        <w:rPr>
          <w:rFonts w:ascii="Times New Roman" w:hAnsi="Times New Roman"/>
          <w:spacing w:val="-2"/>
          <w:sz w:val="19"/>
          <w:szCs w:val="19"/>
        </w:rPr>
        <w:t>.</w:t>
      </w:r>
    </w:p>
    <w:p w14:paraId="26E9A4F7" w14:textId="77777777" w:rsidR="002A1B3C" w:rsidRPr="00787FCE" w:rsidRDefault="002A1B3C" w:rsidP="002A1B3C">
      <w:pPr>
        <w:widowControl/>
        <w:tabs>
          <w:tab w:val="left" w:pos="-720"/>
          <w:tab w:val="left" w:pos="0"/>
          <w:tab w:val="left" w:pos="284"/>
          <w:tab w:val="left" w:pos="567"/>
          <w:tab w:val="left" w:pos="1404"/>
          <w:tab w:val="left" w:pos="1692"/>
          <w:tab w:val="left" w:pos="1980"/>
          <w:tab w:val="left" w:pos="2268"/>
          <w:tab w:val="left" w:pos="2880"/>
        </w:tabs>
        <w:spacing w:before="120"/>
        <w:ind w:left="567" w:hanging="567"/>
        <w:jc w:val="both"/>
        <w:rPr>
          <w:rFonts w:ascii="Times New Roman" w:hAnsi="Times New Roman"/>
          <w:b/>
          <w:spacing w:val="-2"/>
          <w:sz w:val="19"/>
          <w:szCs w:val="19"/>
        </w:rPr>
      </w:pPr>
      <w:r w:rsidRPr="00787FCE">
        <w:rPr>
          <w:rFonts w:ascii="Times New Roman" w:hAnsi="Times New Roman"/>
          <w:b/>
          <w:spacing w:val="-2"/>
          <w:sz w:val="19"/>
          <w:szCs w:val="19"/>
        </w:rPr>
        <w:t>III.</w:t>
      </w:r>
      <w:r w:rsidR="00BA5E07">
        <w:rPr>
          <w:rFonts w:ascii="Times New Roman" w:hAnsi="Times New Roman"/>
          <w:b/>
          <w:spacing w:val="-2"/>
          <w:sz w:val="19"/>
          <w:szCs w:val="19"/>
        </w:rPr>
        <w:t xml:space="preserve"> </w:t>
      </w:r>
      <w:r w:rsidRPr="00787FCE">
        <w:rPr>
          <w:rFonts w:ascii="Times New Roman" w:hAnsi="Times New Roman"/>
          <w:b/>
          <w:spacing w:val="-2"/>
          <w:sz w:val="19"/>
          <w:szCs w:val="19"/>
        </w:rPr>
        <w:t>Das Verfahren:</w:t>
      </w:r>
    </w:p>
    <w:p w14:paraId="6C6A6222" w14:textId="7688A4CD" w:rsidR="002A1B3C" w:rsidRPr="00787FCE" w:rsidRDefault="002A1B3C" w:rsidP="002A1B3C">
      <w:pPr>
        <w:widowControl/>
        <w:tabs>
          <w:tab w:val="left" w:pos="-720"/>
          <w:tab w:val="left" w:pos="0"/>
          <w:tab w:val="left" w:pos="284"/>
          <w:tab w:val="left" w:pos="567"/>
          <w:tab w:val="left" w:pos="1404"/>
          <w:tab w:val="left" w:pos="1692"/>
          <w:tab w:val="left" w:pos="1980"/>
          <w:tab w:val="left" w:pos="2268"/>
          <w:tab w:val="left" w:pos="2880"/>
        </w:tabs>
        <w:ind w:left="567" w:hanging="567"/>
        <w:jc w:val="both"/>
        <w:rPr>
          <w:rFonts w:ascii="Times New Roman" w:hAnsi="Times New Roman"/>
          <w:spacing w:val="-2"/>
          <w:sz w:val="19"/>
          <w:szCs w:val="19"/>
        </w:rPr>
      </w:pPr>
      <w:r w:rsidRPr="00787FCE">
        <w:rPr>
          <w:rFonts w:ascii="Times New Roman" w:hAnsi="Times New Roman"/>
          <w:b/>
          <w:spacing w:val="-2"/>
          <w:sz w:val="19"/>
          <w:szCs w:val="19"/>
        </w:rPr>
        <w:tab/>
      </w:r>
      <w:r w:rsidRPr="00787FCE">
        <w:rPr>
          <w:rFonts w:ascii="Times New Roman" w:hAnsi="Times New Roman"/>
          <w:spacing w:val="-2"/>
          <w:sz w:val="19"/>
          <w:szCs w:val="19"/>
          <w:u w:val="single"/>
        </w:rPr>
        <w:t>1.</w:t>
      </w:r>
      <w:r w:rsidRPr="00787FCE">
        <w:rPr>
          <w:rFonts w:ascii="Times New Roman" w:hAnsi="Times New Roman"/>
          <w:spacing w:val="-2"/>
          <w:sz w:val="19"/>
          <w:szCs w:val="19"/>
          <w:u w:val="single"/>
        </w:rPr>
        <w:tab/>
        <w:t>Antrag:</w:t>
      </w:r>
      <w:r w:rsidRPr="00787FCE">
        <w:rPr>
          <w:rFonts w:ascii="Times New Roman" w:hAnsi="Times New Roman"/>
          <w:spacing w:val="-2"/>
          <w:sz w:val="19"/>
          <w:szCs w:val="19"/>
        </w:rPr>
        <w:t xml:space="preserve"> Bei hinreichendem Tatverdacht gem. §</w:t>
      </w:r>
      <w:r w:rsidR="00CA61EF">
        <w:rPr>
          <w:rFonts w:ascii="Times New Roman" w:hAnsi="Times New Roman"/>
          <w:spacing w:val="-2"/>
          <w:sz w:val="19"/>
          <w:szCs w:val="19"/>
        </w:rPr>
        <w:t> </w:t>
      </w:r>
      <w:r w:rsidRPr="00787FCE">
        <w:rPr>
          <w:rFonts w:ascii="Times New Roman" w:hAnsi="Times New Roman"/>
          <w:spacing w:val="-2"/>
          <w:sz w:val="19"/>
          <w:szCs w:val="19"/>
        </w:rPr>
        <w:t xml:space="preserve">170 </w:t>
      </w:r>
      <w:r w:rsidR="003D29D5">
        <w:rPr>
          <w:rFonts w:ascii="Times New Roman" w:hAnsi="Times New Roman"/>
          <w:spacing w:val="-2"/>
          <w:sz w:val="19"/>
          <w:szCs w:val="19"/>
        </w:rPr>
        <w:t>I</w:t>
      </w:r>
      <w:r w:rsidRPr="00787FCE">
        <w:rPr>
          <w:rFonts w:ascii="Times New Roman" w:hAnsi="Times New Roman"/>
          <w:spacing w:val="-2"/>
          <w:sz w:val="19"/>
          <w:szCs w:val="19"/>
        </w:rPr>
        <w:t xml:space="preserve"> StPO (siehe dazu Arbeitsblatt Nr.</w:t>
      </w:r>
      <w:r w:rsidR="00CA61EF">
        <w:rPr>
          <w:rFonts w:ascii="Times New Roman" w:hAnsi="Times New Roman"/>
          <w:spacing w:val="-2"/>
          <w:sz w:val="19"/>
          <w:szCs w:val="19"/>
        </w:rPr>
        <w:t> </w:t>
      </w:r>
      <w:r w:rsidRPr="00787FCE">
        <w:rPr>
          <w:rFonts w:ascii="Times New Roman" w:hAnsi="Times New Roman"/>
          <w:spacing w:val="-2"/>
          <w:sz w:val="19"/>
          <w:szCs w:val="19"/>
        </w:rPr>
        <w:t xml:space="preserve">2) stellt die </w:t>
      </w:r>
      <w:proofErr w:type="spellStart"/>
      <w:r w:rsidRPr="00787FCE">
        <w:rPr>
          <w:rFonts w:ascii="Times New Roman" w:hAnsi="Times New Roman"/>
          <w:spacing w:val="-2"/>
          <w:sz w:val="19"/>
          <w:szCs w:val="19"/>
        </w:rPr>
        <w:t>StA</w:t>
      </w:r>
      <w:proofErr w:type="spellEnd"/>
      <w:r w:rsidRPr="00787FCE">
        <w:rPr>
          <w:rFonts w:ascii="Times New Roman" w:hAnsi="Times New Roman"/>
          <w:spacing w:val="-2"/>
          <w:sz w:val="19"/>
          <w:szCs w:val="19"/>
        </w:rPr>
        <w:t xml:space="preserve"> einen Strafbefehlsantrag als besondere Form der Anklage (§ 407 </w:t>
      </w:r>
      <w:r w:rsidR="003D29D5">
        <w:rPr>
          <w:rFonts w:ascii="Times New Roman" w:hAnsi="Times New Roman"/>
          <w:spacing w:val="-2"/>
          <w:sz w:val="19"/>
          <w:szCs w:val="19"/>
        </w:rPr>
        <w:t>I</w:t>
      </w:r>
      <w:r w:rsidRPr="00787FCE">
        <w:rPr>
          <w:rFonts w:ascii="Times New Roman" w:hAnsi="Times New Roman"/>
          <w:spacing w:val="-2"/>
          <w:sz w:val="19"/>
          <w:szCs w:val="19"/>
        </w:rPr>
        <w:t xml:space="preserve"> StPO). Dieser Antrag muss inhaltlich schon die Anforderungen an den Strafbefehl erfüllen</w:t>
      </w:r>
      <w:r w:rsidR="00CE367C">
        <w:rPr>
          <w:rFonts w:ascii="Times New Roman" w:hAnsi="Times New Roman"/>
          <w:spacing w:val="-2"/>
          <w:sz w:val="19"/>
          <w:szCs w:val="19"/>
        </w:rPr>
        <w:t xml:space="preserve">, </w:t>
      </w:r>
      <w:r w:rsidRPr="00787FCE">
        <w:rPr>
          <w:rFonts w:ascii="Times New Roman" w:hAnsi="Times New Roman"/>
          <w:spacing w:val="-2"/>
          <w:sz w:val="19"/>
          <w:szCs w:val="19"/>
        </w:rPr>
        <w:t xml:space="preserve">§ 409 </w:t>
      </w:r>
      <w:r w:rsidR="003D29D5">
        <w:rPr>
          <w:rFonts w:ascii="Times New Roman" w:hAnsi="Times New Roman"/>
          <w:spacing w:val="-2"/>
          <w:sz w:val="19"/>
          <w:szCs w:val="19"/>
        </w:rPr>
        <w:t>I StPO</w:t>
      </w:r>
      <w:r w:rsidR="004773C1" w:rsidRPr="00787FCE">
        <w:rPr>
          <w:rFonts w:ascii="Times New Roman" w:hAnsi="Times New Roman"/>
          <w:spacing w:val="-2"/>
          <w:sz w:val="19"/>
          <w:szCs w:val="19"/>
        </w:rPr>
        <w:t xml:space="preserve">, da der Richter den Antrag nur unterschreiben, </w:t>
      </w:r>
      <w:r w:rsidR="0068438E">
        <w:rPr>
          <w:rFonts w:ascii="Times New Roman" w:hAnsi="Times New Roman"/>
          <w:spacing w:val="-2"/>
          <w:sz w:val="19"/>
          <w:szCs w:val="19"/>
        </w:rPr>
        <w:t xml:space="preserve">ihn </w:t>
      </w:r>
      <w:r w:rsidR="004773C1" w:rsidRPr="00787FCE">
        <w:rPr>
          <w:rFonts w:ascii="Times New Roman" w:hAnsi="Times New Roman"/>
          <w:spacing w:val="-2"/>
          <w:sz w:val="19"/>
          <w:szCs w:val="19"/>
        </w:rPr>
        <w:t xml:space="preserve">ablehnen oder eine Hauptverhandlung anberaumen kann (§ 408 </w:t>
      </w:r>
      <w:r w:rsidR="003D29D5">
        <w:rPr>
          <w:rFonts w:ascii="Times New Roman" w:hAnsi="Times New Roman"/>
          <w:spacing w:val="-2"/>
          <w:sz w:val="19"/>
          <w:szCs w:val="19"/>
        </w:rPr>
        <w:t>II</w:t>
      </w:r>
      <w:r w:rsidR="004773C1" w:rsidRPr="00787FCE">
        <w:rPr>
          <w:rFonts w:ascii="Times New Roman" w:hAnsi="Times New Roman"/>
          <w:spacing w:val="-2"/>
          <w:sz w:val="19"/>
          <w:szCs w:val="19"/>
        </w:rPr>
        <w:t xml:space="preserve"> und </w:t>
      </w:r>
      <w:r w:rsidR="003D29D5">
        <w:rPr>
          <w:rFonts w:ascii="Times New Roman" w:hAnsi="Times New Roman"/>
          <w:spacing w:val="-2"/>
          <w:sz w:val="19"/>
          <w:szCs w:val="19"/>
        </w:rPr>
        <w:t>III</w:t>
      </w:r>
      <w:r w:rsidR="004773C1" w:rsidRPr="00787FCE">
        <w:rPr>
          <w:rFonts w:ascii="Times New Roman" w:hAnsi="Times New Roman"/>
          <w:spacing w:val="-2"/>
          <w:sz w:val="19"/>
          <w:szCs w:val="19"/>
        </w:rPr>
        <w:t xml:space="preserve"> StPO; siehe dazu unten III. 2.)</w:t>
      </w:r>
      <w:r w:rsidR="00CE367C">
        <w:rPr>
          <w:rFonts w:ascii="Times New Roman" w:hAnsi="Times New Roman"/>
          <w:spacing w:val="-2"/>
          <w:sz w:val="19"/>
          <w:szCs w:val="19"/>
        </w:rPr>
        <w:t>.</w:t>
      </w:r>
      <w:r w:rsidRPr="00787FCE">
        <w:rPr>
          <w:rFonts w:ascii="Times New Roman" w:hAnsi="Times New Roman"/>
          <w:spacing w:val="-2"/>
          <w:sz w:val="19"/>
          <w:szCs w:val="19"/>
        </w:rPr>
        <w:t xml:space="preserve"> </w:t>
      </w:r>
      <w:r w:rsidR="004773C1">
        <w:rPr>
          <w:rFonts w:ascii="Times New Roman" w:hAnsi="Times New Roman"/>
          <w:spacing w:val="-2"/>
          <w:sz w:val="19"/>
          <w:szCs w:val="19"/>
        </w:rPr>
        <w:t xml:space="preserve">Davon </w:t>
      </w:r>
      <w:r w:rsidR="0068438E">
        <w:rPr>
          <w:rFonts w:ascii="Times New Roman" w:hAnsi="Times New Roman"/>
          <w:spacing w:val="-2"/>
          <w:sz w:val="19"/>
          <w:szCs w:val="19"/>
        </w:rPr>
        <w:t>a</w:t>
      </w:r>
      <w:r w:rsidR="004773C1">
        <w:rPr>
          <w:rFonts w:ascii="Times New Roman" w:hAnsi="Times New Roman"/>
          <w:spacing w:val="-2"/>
          <w:sz w:val="19"/>
          <w:szCs w:val="19"/>
        </w:rPr>
        <w:t>usgenommen ist die Belehrung nach §</w:t>
      </w:r>
      <w:r w:rsidR="00CA61EF">
        <w:rPr>
          <w:rFonts w:ascii="Times New Roman" w:hAnsi="Times New Roman"/>
          <w:spacing w:val="-2"/>
          <w:sz w:val="19"/>
          <w:szCs w:val="19"/>
        </w:rPr>
        <w:t> </w:t>
      </w:r>
      <w:r w:rsidR="004773C1">
        <w:rPr>
          <w:rFonts w:ascii="Times New Roman" w:hAnsi="Times New Roman"/>
          <w:spacing w:val="-2"/>
          <w:sz w:val="19"/>
          <w:szCs w:val="19"/>
        </w:rPr>
        <w:t xml:space="preserve">409 </w:t>
      </w:r>
      <w:r w:rsidR="003D29D5">
        <w:rPr>
          <w:rFonts w:ascii="Times New Roman" w:hAnsi="Times New Roman"/>
          <w:spacing w:val="-2"/>
          <w:sz w:val="19"/>
          <w:szCs w:val="19"/>
        </w:rPr>
        <w:t>I</w:t>
      </w:r>
      <w:r w:rsidR="00CE367C">
        <w:rPr>
          <w:rFonts w:ascii="Times New Roman" w:hAnsi="Times New Roman"/>
          <w:spacing w:val="-2"/>
          <w:sz w:val="19"/>
          <w:szCs w:val="19"/>
        </w:rPr>
        <w:t xml:space="preserve"> Nr.</w:t>
      </w:r>
      <w:r w:rsidR="00CA61EF">
        <w:rPr>
          <w:rFonts w:ascii="Times New Roman" w:hAnsi="Times New Roman"/>
          <w:spacing w:val="-2"/>
          <w:sz w:val="19"/>
          <w:szCs w:val="19"/>
        </w:rPr>
        <w:t> </w:t>
      </w:r>
      <w:r w:rsidR="00CE367C">
        <w:rPr>
          <w:rFonts w:ascii="Times New Roman" w:hAnsi="Times New Roman"/>
          <w:spacing w:val="-2"/>
          <w:sz w:val="19"/>
          <w:szCs w:val="19"/>
        </w:rPr>
        <w:t>7</w:t>
      </w:r>
      <w:r w:rsidR="004773C1">
        <w:rPr>
          <w:rFonts w:ascii="Times New Roman" w:hAnsi="Times New Roman"/>
          <w:spacing w:val="-2"/>
          <w:sz w:val="19"/>
          <w:szCs w:val="19"/>
        </w:rPr>
        <w:t xml:space="preserve"> StPO</w:t>
      </w:r>
      <w:r w:rsidRPr="00787FCE">
        <w:rPr>
          <w:rFonts w:ascii="Times New Roman" w:hAnsi="Times New Roman"/>
          <w:spacing w:val="-2"/>
          <w:sz w:val="19"/>
          <w:szCs w:val="19"/>
        </w:rPr>
        <w:t>. Der Antrag kann auch noch nach Eröffnung des Hauptverfahrens gestellt werden, wenn der Durchführung der Hauptverhandlung das Ausbleiben oder die Abwesenheit des Angeklagten oder ein anderer wichtiger Grund entgegensteht (§ 408a StPO).</w:t>
      </w:r>
    </w:p>
    <w:p w14:paraId="48439A5A" w14:textId="77777777" w:rsidR="002A1B3C" w:rsidRPr="00787FCE" w:rsidRDefault="002A1B3C" w:rsidP="002A1B3C">
      <w:pPr>
        <w:widowControl/>
        <w:tabs>
          <w:tab w:val="left" w:pos="-720"/>
          <w:tab w:val="left" w:pos="0"/>
          <w:tab w:val="left" w:pos="284"/>
          <w:tab w:val="left" w:pos="567"/>
          <w:tab w:val="left" w:pos="1404"/>
          <w:tab w:val="left" w:pos="1692"/>
          <w:tab w:val="left" w:pos="1980"/>
          <w:tab w:val="left" w:pos="2268"/>
          <w:tab w:val="left" w:pos="2880"/>
        </w:tabs>
        <w:ind w:left="567" w:hanging="567"/>
        <w:jc w:val="both"/>
        <w:rPr>
          <w:rFonts w:ascii="Times New Roman" w:hAnsi="Times New Roman"/>
          <w:spacing w:val="-2"/>
          <w:sz w:val="19"/>
          <w:szCs w:val="19"/>
          <w:u w:val="single"/>
        </w:rPr>
      </w:pPr>
      <w:r w:rsidRPr="00787FCE">
        <w:rPr>
          <w:rFonts w:ascii="Times New Roman" w:hAnsi="Times New Roman"/>
          <w:spacing w:val="-2"/>
          <w:sz w:val="19"/>
          <w:szCs w:val="19"/>
        </w:rPr>
        <w:tab/>
      </w:r>
      <w:r w:rsidRPr="00787FCE">
        <w:rPr>
          <w:rFonts w:ascii="Times New Roman" w:hAnsi="Times New Roman"/>
          <w:spacing w:val="-2"/>
          <w:sz w:val="19"/>
          <w:szCs w:val="19"/>
          <w:u w:val="single"/>
        </w:rPr>
        <w:t>2.</w:t>
      </w:r>
      <w:r w:rsidRPr="00787FCE">
        <w:rPr>
          <w:rFonts w:ascii="Times New Roman" w:hAnsi="Times New Roman"/>
          <w:spacing w:val="-2"/>
          <w:sz w:val="19"/>
          <w:szCs w:val="19"/>
          <w:u w:val="single"/>
        </w:rPr>
        <w:tab/>
        <w:t xml:space="preserve">Richterliche Entscheidungsmöglichkeiten: </w:t>
      </w:r>
    </w:p>
    <w:p w14:paraId="64854D07" w14:textId="4BEF38BC" w:rsidR="002A1B3C" w:rsidRPr="00787FCE" w:rsidRDefault="004773C1" w:rsidP="00EE3274">
      <w:pPr>
        <w:tabs>
          <w:tab w:val="left" w:pos="851"/>
        </w:tabs>
        <w:ind w:left="851" w:hanging="284"/>
        <w:jc w:val="both"/>
        <w:rPr>
          <w:sz w:val="19"/>
          <w:szCs w:val="19"/>
        </w:rPr>
      </w:pPr>
      <w:r>
        <w:rPr>
          <w:sz w:val="19"/>
          <w:szCs w:val="19"/>
        </w:rPr>
        <w:t>a.</w:t>
      </w:r>
      <w:r w:rsidR="002A1B3C" w:rsidRPr="00787FCE">
        <w:rPr>
          <w:sz w:val="19"/>
          <w:szCs w:val="19"/>
        </w:rPr>
        <w:tab/>
        <w:t xml:space="preserve">Verneinung des hinreichenden Tatverdachts und </w:t>
      </w:r>
      <w:r w:rsidR="002A1B3C" w:rsidRPr="00787FCE">
        <w:rPr>
          <w:b/>
          <w:sz w:val="19"/>
          <w:szCs w:val="19"/>
        </w:rPr>
        <w:t>Ablehnung des Erlasses</w:t>
      </w:r>
      <w:r w:rsidR="002A1B3C" w:rsidRPr="00787FCE">
        <w:rPr>
          <w:sz w:val="19"/>
          <w:szCs w:val="19"/>
        </w:rPr>
        <w:t xml:space="preserve"> des Strafbefehls durch Beschluss (§ 408 </w:t>
      </w:r>
      <w:r w:rsidR="003D29D5">
        <w:rPr>
          <w:sz w:val="19"/>
          <w:szCs w:val="19"/>
        </w:rPr>
        <w:t>II </w:t>
      </w:r>
      <w:r w:rsidR="002A1B3C" w:rsidRPr="00787FCE">
        <w:rPr>
          <w:sz w:val="19"/>
          <w:szCs w:val="19"/>
        </w:rPr>
        <w:t xml:space="preserve">StPO). Nach </w:t>
      </w:r>
      <w:proofErr w:type="spellStart"/>
      <w:r w:rsidR="002A1B3C" w:rsidRPr="00787FCE">
        <w:rPr>
          <w:sz w:val="19"/>
          <w:szCs w:val="19"/>
        </w:rPr>
        <w:t>h.M</w:t>
      </w:r>
      <w:proofErr w:type="spellEnd"/>
      <w:r w:rsidR="002A1B3C" w:rsidRPr="00787FCE">
        <w:rPr>
          <w:sz w:val="19"/>
          <w:szCs w:val="19"/>
        </w:rPr>
        <w:t xml:space="preserve">. </w:t>
      </w:r>
      <w:r w:rsidR="00CA61EF">
        <w:rPr>
          <w:sz w:val="19"/>
          <w:szCs w:val="19"/>
        </w:rPr>
        <w:t xml:space="preserve">ist </w:t>
      </w:r>
      <w:r w:rsidR="002A1B3C" w:rsidRPr="00787FCE">
        <w:rPr>
          <w:sz w:val="19"/>
          <w:szCs w:val="19"/>
        </w:rPr>
        <w:t>auch</w:t>
      </w:r>
      <w:r w:rsidR="00CA61EF">
        <w:rPr>
          <w:sz w:val="19"/>
          <w:szCs w:val="19"/>
        </w:rPr>
        <w:t xml:space="preserve"> eine</w:t>
      </w:r>
      <w:r w:rsidR="002A1B3C" w:rsidRPr="00787FCE">
        <w:rPr>
          <w:sz w:val="19"/>
          <w:szCs w:val="19"/>
        </w:rPr>
        <w:t xml:space="preserve"> Teilablehnung bezüglich einzelner Taten im prozessualen Sinne möglich, wobei allerdings fraglich ist, inwiefern gleichzeitig ein Strafbefehl bezüglich der anderen Tat(en) erlassen werden darf. Die </w:t>
      </w:r>
      <w:proofErr w:type="spellStart"/>
      <w:r w:rsidR="002A1B3C" w:rsidRPr="00787FCE">
        <w:rPr>
          <w:sz w:val="19"/>
          <w:szCs w:val="19"/>
        </w:rPr>
        <w:t>StA</w:t>
      </w:r>
      <w:proofErr w:type="spellEnd"/>
      <w:r w:rsidR="002A1B3C" w:rsidRPr="00787FCE">
        <w:rPr>
          <w:sz w:val="19"/>
          <w:szCs w:val="19"/>
        </w:rPr>
        <w:t xml:space="preserve"> kann entsprechend § 210 </w:t>
      </w:r>
      <w:r w:rsidR="00C400D9">
        <w:rPr>
          <w:sz w:val="19"/>
          <w:szCs w:val="19"/>
        </w:rPr>
        <w:t>II</w:t>
      </w:r>
      <w:r w:rsidR="002A1B3C" w:rsidRPr="00787FCE">
        <w:rPr>
          <w:sz w:val="19"/>
          <w:szCs w:val="19"/>
        </w:rPr>
        <w:t xml:space="preserve"> StPO die Entscheidung mit der sofortigen Beschwerde anfechten.</w:t>
      </w:r>
    </w:p>
    <w:p w14:paraId="68E8F9AE" w14:textId="77777777" w:rsidR="002A1B3C" w:rsidRPr="00787FCE" w:rsidRDefault="004773C1" w:rsidP="00EE3274">
      <w:pPr>
        <w:tabs>
          <w:tab w:val="left" w:pos="851"/>
        </w:tabs>
        <w:ind w:left="851" w:hanging="284"/>
        <w:jc w:val="both"/>
        <w:rPr>
          <w:sz w:val="19"/>
          <w:szCs w:val="19"/>
        </w:rPr>
      </w:pPr>
      <w:r>
        <w:rPr>
          <w:sz w:val="19"/>
          <w:szCs w:val="19"/>
        </w:rPr>
        <w:t>b.</w:t>
      </w:r>
      <w:r w:rsidR="002A1B3C" w:rsidRPr="00787FCE">
        <w:rPr>
          <w:sz w:val="19"/>
          <w:szCs w:val="19"/>
        </w:rPr>
        <w:tab/>
      </w:r>
      <w:r w:rsidR="002A1B3C" w:rsidRPr="00787FCE">
        <w:rPr>
          <w:b/>
          <w:sz w:val="19"/>
          <w:szCs w:val="19"/>
        </w:rPr>
        <w:t>Erlass des Strafbefehls</w:t>
      </w:r>
      <w:r w:rsidR="002A1B3C" w:rsidRPr="00787FCE">
        <w:rPr>
          <w:sz w:val="19"/>
          <w:szCs w:val="19"/>
        </w:rPr>
        <w:t xml:space="preserve">, wenn keine Bedenken entgegenstehen (§ 408 </w:t>
      </w:r>
      <w:r w:rsidR="00CE4124">
        <w:rPr>
          <w:sz w:val="19"/>
          <w:szCs w:val="19"/>
        </w:rPr>
        <w:t>III</w:t>
      </w:r>
      <w:r w:rsidR="002A1B3C" w:rsidRPr="00787FCE">
        <w:rPr>
          <w:sz w:val="19"/>
          <w:szCs w:val="19"/>
        </w:rPr>
        <w:t xml:space="preserve"> 1 StPO). Eine Abweichung vom Strafbefehlsantrag darf dabei nicht erfolgen. Der Beschluss ist dem Beschuldigten – üblicherweise durch die Post – zuzustellen.</w:t>
      </w:r>
    </w:p>
    <w:p w14:paraId="4CBF76E1" w14:textId="7DBEA764" w:rsidR="002A1B3C" w:rsidRPr="00787FCE" w:rsidRDefault="004773C1" w:rsidP="00EE3274">
      <w:pPr>
        <w:tabs>
          <w:tab w:val="left" w:pos="851"/>
        </w:tabs>
        <w:ind w:left="851" w:hanging="284"/>
        <w:jc w:val="both"/>
        <w:rPr>
          <w:sz w:val="19"/>
          <w:szCs w:val="19"/>
        </w:rPr>
      </w:pPr>
      <w:r>
        <w:rPr>
          <w:sz w:val="19"/>
          <w:szCs w:val="19"/>
        </w:rPr>
        <w:t>c.</w:t>
      </w:r>
      <w:r w:rsidR="002A1B3C" w:rsidRPr="00787FCE">
        <w:rPr>
          <w:sz w:val="19"/>
          <w:szCs w:val="19"/>
        </w:rPr>
        <w:tab/>
      </w:r>
      <w:r w:rsidR="002A1B3C" w:rsidRPr="00787FCE">
        <w:rPr>
          <w:b/>
          <w:sz w:val="19"/>
          <w:szCs w:val="19"/>
        </w:rPr>
        <w:t>Anberaumung der Hauptverhandlung</w:t>
      </w:r>
      <w:r w:rsidR="002A1B3C" w:rsidRPr="00787FCE">
        <w:rPr>
          <w:sz w:val="19"/>
          <w:szCs w:val="19"/>
        </w:rPr>
        <w:t xml:space="preserve">, wenn der Richter Bedenken hat, ohne eine solche </w:t>
      </w:r>
      <w:r w:rsidR="00CA61EF">
        <w:rPr>
          <w:sz w:val="19"/>
          <w:szCs w:val="19"/>
        </w:rPr>
        <w:t xml:space="preserve">Hauptverhandlung </w:t>
      </w:r>
      <w:r w:rsidR="002A1B3C" w:rsidRPr="00787FCE">
        <w:rPr>
          <w:sz w:val="19"/>
          <w:szCs w:val="19"/>
        </w:rPr>
        <w:t xml:space="preserve">zu entscheiden oder wenn er von der rechtlichen Beurteilung oder dem Rechtsfolgenantrag der </w:t>
      </w:r>
      <w:proofErr w:type="spellStart"/>
      <w:r w:rsidR="002A1B3C" w:rsidRPr="00787FCE">
        <w:rPr>
          <w:sz w:val="19"/>
          <w:szCs w:val="19"/>
        </w:rPr>
        <w:t>StA</w:t>
      </w:r>
      <w:proofErr w:type="spellEnd"/>
      <w:r w:rsidR="002A1B3C" w:rsidRPr="00787FCE">
        <w:rPr>
          <w:sz w:val="19"/>
          <w:szCs w:val="19"/>
        </w:rPr>
        <w:t xml:space="preserve"> nach deren Beharren abweichen will (§ 408 </w:t>
      </w:r>
      <w:r w:rsidR="00C400D9">
        <w:rPr>
          <w:sz w:val="19"/>
          <w:szCs w:val="19"/>
        </w:rPr>
        <w:t xml:space="preserve">III </w:t>
      </w:r>
      <w:r w:rsidR="002A1B3C" w:rsidRPr="00787FCE">
        <w:rPr>
          <w:sz w:val="19"/>
          <w:szCs w:val="19"/>
        </w:rPr>
        <w:t>2 StPO).</w:t>
      </w:r>
    </w:p>
    <w:p w14:paraId="68407A71" w14:textId="4CFED47E" w:rsidR="002A1B3C" w:rsidRPr="00787FCE" w:rsidRDefault="002A1B3C" w:rsidP="002A1B3C">
      <w:pPr>
        <w:widowControl/>
        <w:tabs>
          <w:tab w:val="left" w:pos="-720"/>
          <w:tab w:val="left" w:pos="0"/>
          <w:tab w:val="left" w:pos="284"/>
          <w:tab w:val="left" w:pos="567"/>
          <w:tab w:val="left" w:pos="1404"/>
          <w:tab w:val="left" w:pos="1692"/>
          <w:tab w:val="left" w:pos="1980"/>
          <w:tab w:val="left" w:pos="2268"/>
          <w:tab w:val="left" w:pos="2880"/>
        </w:tabs>
        <w:ind w:left="567" w:hanging="567"/>
        <w:jc w:val="both"/>
        <w:rPr>
          <w:rFonts w:ascii="Times New Roman" w:hAnsi="Times New Roman"/>
          <w:spacing w:val="-2"/>
          <w:sz w:val="19"/>
          <w:szCs w:val="19"/>
        </w:rPr>
      </w:pPr>
      <w:r w:rsidRPr="00787FCE">
        <w:rPr>
          <w:rFonts w:ascii="Times New Roman" w:hAnsi="Times New Roman"/>
          <w:spacing w:val="-2"/>
          <w:sz w:val="19"/>
          <w:szCs w:val="19"/>
        </w:rPr>
        <w:tab/>
      </w:r>
      <w:r w:rsidRPr="00787FCE">
        <w:rPr>
          <w:rFonts w:ascii="Times New Roman" w:hAnsi="Times New Roman"/>
          <w:spacing w:val="-2"/>
          <w:sz w:val="19"/>
          <w:szCs w:val="19"/>
          <w:u w:val="single"/>
        </w:rPr>
        <w:t>3.</w:t>
      </w:r>
      <w:r w:rsidRPr="00787FCE">
        <w:rPr>
          <w:rFonts w:ascii="Times New Roman" w:hAnsi="Times New Roman"/>
          <w:spacing w:val="-2"/>
          <w:sz w:val="19"/>
          <w:szCs w:val="19"/>
          <w:u w:val="single"/>
        </w:rPr>
        <w:tab/>
        <w:t>Rechtskraft:</w:t>
      </w:r>
      <w:r w:rsidRPr="00787FCE">
        <w:rPr>
          <w:rFonts w:ascii="Times New Roman" w:hAnsi="Times New Roman"/>
          <w:spacing w:val="-2"/>
          <w:sz w:val="19"/>
          <w:szCs w:val="19"/>
        </w:rPr>
        <w:t xml:space="preserve"> Soweit kein rechtzeitiger Einspruch eingelegt wird (siehe dazu IV.), steht der Strafbefehl einem rechtskräftigen Urteil gleich (§ 410 </w:t>
      </w:r>
      <w:r w:rsidR="00182EE6">
        <w:rPr>
          <w:rFonts w:ascii="Times New Roman" w:hAnsi="Times New Roman"/>
          <w:spacing w:val="-2"/>
          <w:sz w:val="19"/>
          <w:szCs w:val="19"/>
        </w:rPr>
        <w:t>III</w:t>
      </w:r>
      <w:r w:rsidRPr="00787FCE">
        <w:rPr>
          <w:rFonts w:ascii="Times New Roman" w:hAnsi="Times New Roman"/>
          <w:spacing w:val="-2"/>
          <w:sz w:val="19"/>
          <w:szCs w:val="19"/>
        </w:rPr>
        <w:t xml:space="preserve"> StPO). Allerdings ist die Rechtskraft leichter zu durchbrechen, da es sich lediglich um eine summarische Prüfung des Falles handelt. So erlaubt § 373a </w:t>
      </w:r>
      <w:r w:rsidR="0068438E">
        <w:rPr>
          <w:rFonts w:ascii="Times New Roman" w:hAnsi="Times New Roman"/>
          <w:spacing w:val="-2"/>
          <w:sz w:val="19"/>
          <w:szCs w:val="19"/>
        </w:rPr>
        <w:t>I</w:t>
      </w:r>
      <w:r w:rsidR="004773C1">
        <w:rPr>
          <w:rFonts w:ascii="Times New Roman" w:hAnsi="Times New Roman"/>
          <w:spacing w:val="-2"/>
          <w:sz w:val="19"/>
          <w:szCs w:val="19"/>
        </w:rPr>
        <w:t xml:space="preserve"> </w:t>
      </w:r>
      <w:r w:rsidRPr="00787FCE">
        <w:rPr>
          <w:rFonts w:ascii="Times New Roman" w:hAnsi="Times New Roman"/>
          <w:spacing w:val="-2"/>
          <w:sz w:val="19"/>
          <w:szCs w:val="19"/>
        </w:rPr>
        <w:t xml:space="preserve">StPO, abweichend von § 362 StPO, die </w:t>
      </w:r>
      <w:r w:rsidRPr="00787FCE">
        <w:rPr>
          <w:rFonts w:ascii="Times New Roman" w:hAnsi="Times New Roman"/>
          <w:b/>
          <w:spacing w:val="-2"/>
          <w:sz w:val="19"/>
          <w:szCs w:val="19"/>
        </w:rPr>
        <w:t>Wiederaufnahme</w:t>
      </w:r>
      <w:r w:rsidRPr="00787FCE">
        <w:rPr>
          <w:rFonts w:ascii="Times New Roman" w:hAnsi="Times New Roman"/>
          <w:spacing w:val="-2"/>
          <w:sz w:val="19"/>
          <w:szCs w:val="19"/>
        </w:rPr>
        <w:t xml:space="preserve"> (siehe dazu Arbeitsblatt Nr. 50) zu Lasten des Verurteilten oder Freigesprochenen, wenn neue Tatsachen oder Beweise vorliegen, die die Tat nunmehr zum Verbrechen erheben.</w:t>
      </w:r>
    </w:p>
    <w:p w14:paraId="0CA61FB0" w14:textId="77777777" w:rsidR="002A1B3C" w:rsidRPr="00787FCE" w:rsidRDefault="002A1B3C" w:rsidP="002A1B3C">
      <w:pPr>
        <w:widowControl/>
        <w:tabs>
          <w:tab w:val="left" w:pos="-720"/>
          <w:tab w:val="left" w:pos="0"/>
          <w:tab w:val="left" w:pos="284"/>
          <w:tab w:val="left" w:pos="864"/>
          <w:tab w:val="left" w:pos="1116"/>
          <w:tab w:val="left" w:pos="1404"/>
          <w:tab w:val="left" w:pos="1692"/>
          <w:tab w:val="left" w:pos="1980"/>
          <w:tab w:val="left" w:pos="2268"/>
          <w:tab w:val="left" w:pos="2880"/>
        </w:tabs>
        <w:spacing w:before="120"/>
        <w:ind w:left="567" w:hanging="567"/>
        <w:jc w:val="both"/>
        <w:rPr>
          <w:rFonts w:ascii="Times New Roman" w:hAnsi="Times New Roman"/>
          <w:b/>
          <w:spacing w:val="-2"/>
          <w:sz w:val="19"/>
          <w:szCs w:val="19"/>
        </w:rPr>
      </w:pPr>
      <w:r w:rsidRPr="00787FCE">
        <w:rPr>
          <w:rFonts w:ascii="Times New Roman" w:hAnsi="Times New Roman"/>
          <w:b/>
          <w:spacing w:val="-2"/>
          <w:sz w:val="19"/>
          <w:szCs w:val="19"/>
        </w:rPr>
        <w:t>IV.</w:t>
      </w:r>
      <w:r w:rsidRPr="00787FCE">
        <w:rPr>
          <w:rFonts w:ascii="Times New Roman" w:hAnsi="Times New Roman"/>
          <w:b/>
          <w:spacing w:val="-2"/>
          <w:sz w:val="19"/>
          <w:szCs w:val="19"/>
        </w:rPr>
        <w:tab/>
        <w:t>Der Einspruch gegen den Strafbefehl:</w:t>
      </w:r>
    </w:p>
    <w:p w14:paraId="5C1A6639" w14:textId="732748C7" w:rsidR="002A1B3C" w:rsidRPr="00787FCE" w:rsidRDefault="002A1B3C" w:rsidP="002A1B3C">
      <w:pPr>
        <w:widowControl/>
        <w:tabs>
          <w:tab w:val="left" w:pos="-720"/>
          <w:tab w:val="left" w:pos="0"/>
          <w:tab w:val="left" w:pos="284"/>
          <w:tab w:val="left" w:pos="567"/>
          <w:tab w:val="left" w:pos="1404"/>
          <w:tab w:val="left" w:pos="1692"/>
          <w:tab w:val="left" w:pos="1980"/>
          <w:tab w:val="left" w:pos="2268"/>
          <w:tab w:val="left" w:pos="2880"/>
        </w:tabs>
        <w:ind w:left="567" w:hanging="567"/>
        <w:jc w:val="both"/>
        <w:rPr>
          <w:rFonts w:ascii="Times New Roman" w:hAnsi="Times New Roman"/>
          <w:spacing w:val="-2"/>
          <w:sz w:val="19"/>
          <w:szCs w:val="19"/>
        </w:rPr>
      </w:pPr>
      <w:r w:rsidRPr="00787FCE">
        <w:rPr>
          <w:rFonts w:ascii="Times New Roman" w:hAnsi="Times New Roman"/>
          <w:b/>
          <w:spacing w:val="-2"/>
          <w:sz w:val="19"/>
          <w:szCs w:val="19"/>
        </w:rPr>
        <w:tab/>
      </w:r>
      <w:r w:rsidRPr="00787FCE">
        <w:rPr>
          <w:rFonts w:ascii="Times New Roman" w:hAnsi="Times New Roman"/>
          <w:spacing w:val="-2"/>
          <w:sz w:val="19"/>
          <w:szCs w:val="19"/>
          <w:u w:val="single"/>
        </w:rPr>
        <w:t>1.</w:t>
      </w:r>
      <w:r w:rsidRPr="00787FCE">
        <w:rPr>
          <w:rFonts w:ascii="Times New Roman" w:hAnsi="Times New Roman"/>
          <w:spacing w:val="-2"/>
          <w:sz w:val="19"/>
          <w:szCs w:val="19"/>
          <w:u w:val="single"/>
        </w:rPr>
        <w:tab/>
        <w:t>Zulässigkeit und Frist:</w:t>
      </w:r>
      <w:r w:rsidRPr="00787FCE">
        <w:rPr>
          <w:rFonts w:ascii="Times New Roman" w:hAnsi="Times New Roman"/>
          <w:spacing w:val="-2"/>
          <w:sz w:val="19"/>
          <w:szCs w:val="19"/>
        </w:rPr>
        <w:t xml:space="preserve"> Der Einspruch kann innerhalb von zwei Wochen nach Zustellung eingelegt werden (§ 410 </w:t>
      </w:r>
      <w:r w:rsidR="00123C96">
        <w:rPr>
          <w:rFonts w:ascii="Times New Roman" w:hAnsi="Times New Roman"/>
          <w:spacing w:val="-2"/>
          <w:sz w:val="19"/>
          <w:szCs w:val="19"/>
        </w:rPr>
        <w:t>I</w:t>
      </w:r>
      <w:r w:rsidRPr="00787FCE">
        <w:rPr>
          <w:rFonts w:ascii="Times New Roman" w:hAnsi="Times New Roman"/>
          <w:spacing w:val="-2"/>
          <w:sz w:val="19"/>
          <w:szCs w:val="19"/>
        </w:rPr>
        <w:t xml:space="preserve"> 1 StPO). Über die Möglichkeit </w:t>
      </w:r>
      <w:r w:rsidR="00041F09">
        <w:rPr>
          <w:rFonts w:ascii="Times New Roman" w:hAnsi="Times New Roman"/>
          <w:spacing w:val="-2"/>
          <w:sz w:val="19"/>
          <w:szCs w:val="19"/>
        </w:rPr>
        <w:t>des Einspruchs</w:t>
      </w:r>
      <w:r w:rsidRPr="00787FCE">
        <w:rPr>
          <w:rFonts w:ascii="Times New Roman" w:hAnsi="Times New Roman"/>
          <w:spacing w:val="-2"/>
          <w:sz w:val="19"/>
          <w:szCs w:val="19"/>
        </w:rPr>
        <w:t xml:space="preserve"> ist der Angeklagte zu belehren (§ 409 </w:t>
      </w:r>
      <w:r w:rsidR="00C400D9">
        <w:rPr>
          <w:rFonts w:ascii="Times New Roman" w:hAnsi="Times New Roman"/>
          <w:spacing w:val="-2"/>
          <w:sz w:val="19"/>
          <w:szCs w:val="19"/>
        </w:rPr>
        <w:t>I</w:t>
      </w:r>
      <w:r w:rsidRPr="00787FCE">
        <w:rPr>
          <w:rFonts w:ascii="Times New Roman" w:hAnsi="Times New Roman"/>
          <w:spacing w:val="-2"/>
          <w:sz w:val="19"/>
          <w:szCs w:val="19"/>
        </w:rPr>
        <w:t xml:space="preserve"> Nr.</w:t>
      </w:r>
      <w:r w:rsidR="00CA61EF">
        <w:rPr>
          <w:rFonts w:ascii="Times New Roman" w:hAnsi="Times New Roman"/>
          <w:spacing w:val="-2"/>
          <w:sz w:val="19"/>
          <w:szCs w:val="19"/>
        </w:rPr>
        <w:t> </w:t>
      </w:r>
      <w:r w:rsidRPr="00787FCE">
        <w:rPr>
          <w:rFonts w:ascii="Times New Roman" w:hAnsi="Times New Roman"/>
          <w:spacing w:val="-2"/>
          <w:sz w:val="19"/>
          <w:szCs w:val="19"/>
        </w:rPr>
        <w:t xml:space="preserve">7 StPO). Der Einspruch kann durch Beschluss ohne Hauptverhandlung verworfen werden, wenn er verspätet oder sonst unzulässig ist. Dagegen ist eine sofortige Beschwerde möglich (§ 411 </w:t>
      </w:r>
      <w:r w:rsidR="00C400D9">
        <w:rPr>
          <w:rFonts w:ascii="Times New Roman" w:hAnsi="Times New Roman"/>
          <w:spacing w:val="-2"/>
          <w:sz w:val="19"/>
          <w:szCs w:val="19"/>
        </w:rPr>
        <w:t>I</w:t>
      </w:r>
      <w:r w:rsidRPr="00787FCE">
        <w:rPr>
          <w:rFonts w:ascii="Times New Roman" w:hAnsi="Times New Roman"/>
          <w:spacing w:val="-2"/>
          <w:sz w:val="19"/>
          <w:szCs w:val="19"/>
        </w:rPr>
        <w:t xml:space="preserve"> 1 StPO).</w:t>
      </w:r>
    </w:p>
    <w:p w14:paraId="7BD076E3" w14:textId="451FE152" w:rsidR="00065A93" w:rsidRPr="00787FCE" w:rsidRDefault="002A1B3C" w:rsidP="00787FCE">
      <w:pPr>
        <w:widowControl/>
        <w:tabs>
          <w:tab w:val="left" w:pos="-720"/>
          <w:tab w:val="left" w:pos="0"/>
          <w:tab w:val="left" w:pos="284"/>
          <w:tab w:val="left" w:pos="567"/>
          <w:tab w:val="left" w:pos="1404"/>
          <w:tab w:val="left" w:pos="1692"/>
          <w:tab w:val="left" w:pos="1980"/>
          <w:tab w:val="left" w:pos="2268"/>
          <w:tab w:val="left" w:pos="2880"/>
        </w:tabs>
        <w:ind w:left="567" w:hanging="567"/>
        <w:jc w:val="both"/>
        <w:rPr>
          <w:rFonts w:ascii="Times New Roman" w:hAnsi="Times New Roman"/>
          <w:spacing w:val="-2"/>
          <w:sz w:val="19"/>
          <w:szCs w:val="19"/>
        </w:rPr>
      </w:pPr>
      <w:r w:rsidRPr="00787FCE">
        <w:rPr>
          <w:rFonts w:ascii="Times New Roman" w:hAnsi="Times New Roman"/>
          <w:spacing w:val="-2"/>
          <w:sz w:val="19"/>
          <w:szCs w:val="19"/>
        </w:rPr>
        <w:tab/>
      </w:r>
      <w:r w:rsidRPr="00787FCE">
        <w:rPr>
          <w:rFonts w:ascii="Times New Roman" w:hAnsi="Times New Roman"/>
          <w:spacing w:val="-2"/>
          <w:sz w:val="19"/>
          <w:szCs w:val="19"/>
          <w:u w:val="single"/>
        </w:rPr>
        <w:t>2.</w:t>
      </w:r>
      <w:r w:rsidRPr="00787FCE">
        <w:rPr>
          <w:rFonts w:ascii="Times New Roman" w:hAnsi="Times New Roman"/>
          <w:spacing w:val="-2"/>
          <w:sz w:val="19"/>
          <w:szCs w:val="19"/>
          <w:u w:val="single"/>
        </w:rPr>
        <w:tab/>
        <w:t>Verfahren nach rechtzeitigem Einspruch:</w:t>
      </w:r>
      <w:r w:rsidRPr="00787FCE">
        <w:rPr>
          <w:rFonts w:ascii="Times New Roman" w:hAnsi="Times New Roman"/>
          <w:spacing w:val="-2"/>
          <w:sz w:val="19"/>
          <w:szCs w:val="19"/>
        </w:rPr>
        <w:t xml:space="preserve"> Es wird ein Termin zur Hauptverhandlung anberaumt (§ 411 </w:t>
      </w:r>
      <w:r w:rsidR="00C400D9">
        <w:rPr>
          <w:rFonts w:ascii="Times New Roman" w:hAnsi="Times New Roman"/>
          <w:spacing w:val="-2"/>
          <w:sz w:val="19"/>
          <w:szCs w:val="19"/>
        </w:rPr>
        <w:t>I</w:t>
      </w:r>
      <w:r w:rsidRPr="00787FCE">
        <w:rPr>
          <w:rFonts w:ascii="Times New Roman" w:hAnsi="Times New Roman"/>
          <w:spacing w:val="-2"/>
          <w:sz w:val="19"/>
          <w:szCs w:val="19"/>
        </w:rPr>
        <w:t xml:space="preserve"> 2 StPO). Der Strafbefehl übernimmt dabei die Funktion des Eröffnungsbeschlusses. Das Hauptverfahren wird </w:t>
      </w:r>
      <w:proofErr w:type="spellStart"/>
      <w:r w:rsidRPr="00787FCE">
        <w:rPr>
          <w:rFonts w:ascii="Times New Roman" w:hAnsi="Times New Roman"/>
          <w:spacing w:val="-2"/>
          <w:sz w:val="19"/>
          <w:szCs w:val="19"/>
        </w:rPr>
        <w:t>grds</w:t>
      </w:r>
      <w:proofErr w:type="spellEnd"/>
      <w:r w:rsidRPr="00787FCE">
        <w:rPr>
          <w:rFonts w:ascii="Times New Roman" w:hAnsi="Times New Roman"/>
          <w:spacing w:val="-2"/>
          <w:sz w:val="19"/>
          <w:szCs w:val="19"/>
        </w:rPr>
        <w:t xml:space="preserve">. nach den allgemeinen Vorschriften durchgeführt (§§ 213 ff. StPO, siehe dazu Arbeitsblatt Nr. 4). Allerdings </w:t>
      </w:r>
      <w:r w:rsidR="00CA61EF">
        <w:rPr>
          <w:rFonts w:ascii="Times New Roman" w:hAnsi="Times New Roman"/>
          <w:spacing w:val="-2"/>
          <w:sz w:val="19"/>
          <w:szCs w:val="19"/>
        </w:rPr>
        <w:t>sind</w:t>
      </w:r>
      <w:r w:rsidR="00CA61EF" w:rsidRPr="00787FCE">
        <w:rPr>
          <w:rFonts w:ascii="Times New Roman" w:hAnsi="Times New Roman"/>
          <w:spacing w:val="-2"/>
          <w:sz w:val="19"/>
          <w:szCs w:val="19"/>
        </w:rPr>
        <w:t xml:space="preserve"> </w:t>
      </w:r>
      <w:r w:rsidRPr="00787FCE">
        <w:rPr>
          <w:rFonts w:ascii="Times New Roman" w:hAnsi="Times New Roman"/>
          <w:spacing w:val="-2"/>
          <w:sz w:val="19"/>
          <w:szCs w:val="19"/>
        </w:rPr>
        <w:t xml:space="preserve">die Unmittelbarkeit der Beweisaufnahme und das Beweisantragsrecht eingeschränkt (§§ 411 </w:t>
      </w:r>
      <w:r w:rsidR="00FE7336">
        <w:rPr>
          <w:rFonts w:ascii="Times New Roman" w:hAnsi="Times New Roman"/>
          <w:spacing w:val="-2"/>
          <w:sz w:val="19"/>
          <w:szCs w:val="19"/>
        </w:rPr>
        <w:t>II</w:t>
      </w:r>
      <w:r w:rsidRPr="00787FCE">
        <w:rPr>
          <w:rFonts w:ascii="Times New Roman" w:hAnsi="Times New Roman"/>
          <w:spacing w:val="-2"/>
          <w:sz w:val="19"/>
          <w:szCs w:val="19"/>
        </w:rPr>
        <w:t xml:space="preserve"> 2, 420 StPO). Das Sachurteil ergeht am Ende der Hauptverhandlung völlig unabhängig vom Strafbefehl. Das Verbot der </w:t>
      </w:r>
      <w:proofErr w:type="spellStart"/>
      <w:r w:rsidRPr="00787FCE">
        <w:rPr>
          <w:rFonts w:ascii="Times New Roman" w:hAnsi="Times New Roman"/>
          <w:spacing w:val="-2"/>
          <w:sz w:val="19"/>
          <w:szCs w:val="19"/>
        </w:rPr>
        <w:t>reformatio</w:t>
      </w:r>
      <w:proofErr w:type="spellEnd"/>
      <w:r w:rsidRPr="00787FCE">
        <w:rPr>
          <w:rFonts w:ascii="Times New Roman" w:hAnsi="Times New Roman"/>
          <w:spacing w:val="-2"/>
          <w:sz w:val="19"/>
          <w:szCs w:val="19"/>
        </w:rPr>
        <w:t xml:space="preserve"> in peius gilt hier</w:t>
      </w:r>
      <w:r w:rsidR="004773C1">
        <w:rPr>
          <w:rFonts w:ascii="Times New Roman" w:hAnsi="Times New Roman"/>
          <w:spacing w:val="-2"/>
          <w:sz w:val="19"/>
          <w:szCs w:val="19"/>
        </w:rPr>
        <w:t>,</w:t>
      </w:r>
      <w:r w:rsidRPr="00787FCE">
        <w:rPr>
          <w:rFonts w:ascii="Times New Roman" w:hAnsi="Times New Roman"/>
          <w:spacing w:val="-2"/>
          <w:sz w:val="19"/>
          <w:szCs w:val="19"/>
        </w:rPr>
        <w:t xml:space="preserve"> anders als im Rechtsmittelverfahren</w:t>
      </w:r>
      <w:r w:rsidR="004773C1">
        <w:rPr>
          <w:rFonts w:ascii="Times New Roman" w:hAnsi="Times New Roman"/>
          <w:spacing w:val="-2"/>
          <w:sz w:val="19"/>
          <w:szCs w:val="19"/>
        </w:rPr>
        <w:t>,</w:t>
      </w:r>
      <w:r w:rsidRPr="00787FCE">
        <w:rPr>
          <w:rFonts w:ascii="Times New Roman" w:hAnsi="Times New Roman"/>
          <w:spacing w:val="-2"/>
          <w:sz w:val="19"/>
          <w:szCs w:val="19"/>
        </w:rPr>
        <w:t xml:space="preserve"> nicht (siehe dazu Arbeitsblatt Nr. 42). Jedoch kann der Angeklagte, wenn er Schlimmeres befürchtet, seinen Einspruch – wie ein Rechtsmittel auch – bis zur Verkündung des Urteils zurücknehmen (§ 411 </w:t>
      </w:r>
      <w:r w:rsidR="00FE7336">
        <w:rPr>
          <w:rFonts w:ascii="Times New Roman" w:hAnsi="Times New Roman"/>
          <w:spacing w:val="-2"/>
          <w:sz w:val="19"/>
          <w:szCs w:val="19"/>
        </w:rPr>
        <w:t>III</w:t>
      </w:r>
      <w:r w:rsidRPr="00787FCE">
        <w:rPr>
          <w:rFonts w:ascii="Times New Roman" w:hAnsi="Times New Roman"/>
          <w:spacing w:val="-2"/>
          <w:sz w:val="19"/>
          <w:szCs w:val="19"/>
        </w:rPr>
        <w:t xml:space="preserve"> 1 StPO). Bei einer Zurücknahme des Einspruchs nach Beginn der Verhandlung ist die Zustimmung der </w:t>
      </w:r>
      <w:proofErr w:type="spellStart"/>
      <w:r w:rsidRPr="00787FCE">
        <w:rPr>
          <w:rFonts w:ascii="Times New Roman" w:hAnsi="Times New Roman"/>
          <w:spacing w:val="-2"/>
          <w:sz w:val="19"/>
          <w:szCs w:val="19"/>
        </w:rPr>
        <w:t>StA</w:t>
      </w:r>
      <w:proofErr w:type="spellEnd"/>
      <w:r w:rsidRPr="00787FCE">
        <w:rPr>
          <w:rFonts w:ascii="Times New Roman" w:hAnsi="Times New Roman"/>
          <w:spacing w:val="-2"/>
          <w:sz w:val="19"/>
          <w:szCs w:val="19"/>
        </w:rPr>
        <w:t xml:space="preserve"> erforderlich (§ 411 </w:t>
      </w:r>
      <w:r w:rsidR="00C400D9">
        <w:rPr>
          <w:rFonts w:ascii="Times New Roman" w:hAnsi="Times New Roman"/>
          <w:spacing w:val="-2"/>
          <w:sz w:val="19"/>
          <w:szCs w:val="19"/>
        </w:rPr>
        <w:t xml:space="preserve">III </w:t>
      </w:r>
      <w:r w:rsidRPr="00787FCE">
        <w:rPr>
          <w:rFonts w:ascii="Times New Roman" w:hAnsi="Times New Roman"/>
          <w:spacing w:val="-2"/>
          <w:sz w:val="19"/>
          <w:szCs w:val="19"/>
        </w:rPr>
        <w:t xml:space="preserve">2 </w:t>
      </w:r>
      <w:proofErr w:type="spellStart"/>
      <w:r w:rsidRPr="00787FCE">
        <w:rPr>
          <w:rFonts w:ascii="Times New Roman" w:hAnsi="Times New Roman"/>
          <w:spacing w:val="-2"/>
          <w:sz w:val="19"/>
          <w:szCs w:val="19"/>
        </w:rPr>
        <w:t>i.V.m</w:t>
      </w:r>
      <w:proofErr w:type="spellEnd"/>
      <w:r w:rsidRPr="00787FCE">
        <w:rPr>
          <w:rFonts w:ascii="Times New Roman" w:hAnsi="Times New Roman"/>
          <w:spacing w:val="-2"/>
          <w:sz w:val="19"/>
          <w:szCs w:val="19"/>
        </w:rPr>
        <w:t>. § 303 StPO). Der Strafbefehl erlangt dann R</w:t>
      </w:r>
      <w:r w:rsidR="00ED5799">
        <w:rPr>
          <w:rFonts w:ascii="Times New Roman" w:hAnsi="Times New Roman"/>
          <w:spacing w:val="-2"/>
          <w:sz w:val="19"/>
          <w:szCs w:val="19"/>
        </w:rPr>
        <w:t xml:space="preserve">echtskraft (§ 410 </w:t>
      </w:r>
      <w:r w:rsidR="00C400D9">
        <w:rPr>
          <w:rFonts w:ascii="Times New Roman" w:hAnsi="Times New Roman"/>
          <w:spacing w:val="-2"/>
          <w:sz w:val="19"/>
          <w:szCs w:val="19"/>
        </w:rPr>
        <w:t>III</w:t>
      </w:r>
      <w:r w:rsidR="00ED5799">
        <w:rPr>
          <w:rFonts w:ascii="Times New Roman" w:hAnsi="Times New Roman"/>
          <w:spacing w:val="-2"/>
          <w:sz w:val="19"/>
          <w:szCs w:val="19"/>
        </w:rPr>
        <w:t xml:space="preserve"> StPO).</w:t>
      </w:r>
    </w:p>
    <w:p w14:paraId="076DEF09" w14:textId="77777777" w:rsidR="00065A93" w:rsidRDefault="00065A93" w:rsidP="002A1B3C">
      <w:pPr>
        <w:widowControl/>
        <w:tabs>
          <w:tab w:val="left" w:pos="-720"/>
          <w:tab w:val="left" w:pos="0"/>
          <w:tab w:val="left" w:pos="284"/>
          <w:tab w:val="left" w:pos="864"/>
          <w:tab w:val="left" w:pos="1116"/>
          <w:tab w:val="left" w:pos="1404"/>
          <w:tab w:val="left" w:pos="1692"/>
          <w:tab w:val="left" w:pos="1980"/>
          <w:tab w:val="left" w:pos="2268"/>
          <w:tab w:val="left" w:pos="2880"/>
        </w:tabs>
        <w:ind w:left="567" w:hanging="567"/>
        <w:jc w:val="both"/>
        <w:rPr>
          <w:rFonts w:ascii="Times New Roman" w:hAnsi="Times New Roman"/>
          <w:b/>
          <w:spacing w:val="-2"/>
          <w:sz w:val="18"/>
        </w:rPr>
      </w:pPr>
    </w:p>
    <w:p w14:paraId="1F77D675" w14:textId="50ED4188" w:rsidR="002A1B3C" w:rsidRPr="00C17D1C" w:rsidRDefault="002A1B3C" w:rsidP="002A1B3C">
      <w:pPr>
        <w:widowControl/>
        <w:tabs>
          <w:tab w:val="left" w:pos="0"/>
          <w:tab w:val="left" w:pos="567"/>
          <w:tab w:val="left" w:pos="864"/>
          <w:tab w:val="left" w:pos="1418"/>
          <w:tab w:val="left" w:pos="1985"/>
          <w:tab w:val="left" w:pos="2127"/>
          <w:tab w:val="left" w:pos="2268"/>
          <w:tab w:val="left" w:pos="2880"/>
        </w:tabs>
        <w:ind w:left="1985" w:hanging="1985"/>
        <w:jc w:val="both"/>
        <w:rPr>
          <w:rFonts w:ascii="Times New Roman" w:hAnsi="Times New Roman"/>
          <w:spacing w:val="-2"/>
          <w:sz w:val="14"/>
          <w:szCs w:val="14"/>
        </w:rPr>
      </w:pPr>
      <w:r w:rsidRPr="00C17D1C">
        <w:rPr>
          <w:rFonts w:ascii="Times New Roman" w:hAnsi="Times New Roman"/>
          <w:b/>
          <w:spacing w:val="-2"/>
          <w:sz w:val="14"/>
          <w:szCs w:val="14"/>
        </w:rPr>
        <w:t>Literatur/Lehrbücher:</w:t>
      </w:r>
      <w:r w:rsidRPr="00C17D1C">
        <w:rPr>
          <w:rFonts w:ascii="Times New Roman" w:hAnsi="Times New Roman"/>
          <w:b/>
          <w:spacing w:val="-2"/>
          <w:sz w:val="14"/>
          <w:szCs w:val="14"/>
        </w:rPr>
        <w:tab/>
      </w:r>
      <w:r w:rsidR="00150ACB" w:rsidRPr="00C17D1C">
        <w:rPr>
          <w:rFonts w:ascii="Times New Roman" w:hAnsi="Times New Roman"/>
          <w:i/>
          <w:spacing w:val="-2"/>
          <w:sz w:val="14"/>
          <w:szCs w:val="14"/>
        </w:rPr>
        <w:t>Heinrich/Reinbacher</w:t>
      </w:r>
      <w:r w:rsidR="00150ACB" w:rsidRPr="00C17D1C">
        <w:rPr>
          <w:rFonts w:ascii="Times New Roman" w:hAnsi="Times New Roman"/>
          <w:spacing w:val="-2"/>
          <w:sz w:val="14"/>
          <w:szCs w:val="14"/>
        </w:rPr>
        <w:t>, Examinatorium Strafprozessrecht</w:t>
      </w:r>
      <w:r w:rsidR="00BA5E07">
        <w:rPr>
          <w:rFonts w:ascii="Times New Roman" w:hAnsi="Times New Roman"/>
          <w:spacing w:val="-2"/>
          <w:sz w:val="14"/>
          <w:szCs w:val="14"/>
        </w:rPr>
        <w:t xml:space="preserve">, </w:t>
      </w:r>
      <w:r w:rsidR="00AB7FD6">
        <w:rPr>
          <w:rFonts w:ascii="Times New Roman" w:hAnsi="Times New Roman"/>
          <w:spacing w:val="-2"/>
          <w:sz w:val="14"/>
          <w:szCs w:val="14"/>
        </w:rPr>
        <w:t>4</w:t>
      </w:r>
      <w:r w:rsidR="00BA5E07">
        <w:rPr>
          <w:rFonts w:ascii="Times New Roman" w:hAnsi="Times New Roman"/>
          <w:spacing w:val="-2"/>
          <w:sz w:val="14"/>
          <w:szCs w:val="14"/>
        </w:rPr>
        <w:t>. Auflage 20</w:t>
      </w:r>
      <w:r w:rsidR="005D4482">
        <w:rPr>
          <w:rFonts w:ascii="Times New Roman" w:hAnsi="Times New Roman"/>
          <w:spacing w:val="-2"/>
          <w:sz w:val="14"/>
          <w:szCs w:val="14"/>
        </w:rPr>
        <w:t>2</w:t>
      </w:r>
      <w:r w:rsidR="00AB7FD6">
        <w:rPr>
          <w:rFonts w:ascii="Times New Roman" w:hAnsi="Times New Roman"/>
          <w:spacing w:val="-2"/>
          <w:sz w:val="14"/>
          <w:szCs w:val="14"/>
        </w:rPr>
        <w:t>3</w:t>
      </w:r>
      <w:r w:rsidR="00150ACB" w:rsidRPr="00C17D1C">
        <w:rPr>
          <w:rFonts w:ascii="Times New Roman" w:hAnsi="Times New Roman"/>
          <w:spacing w:val="-2"/>
          <w:sz w:val="14"/>
          <w:szCs w:val="14"/>
        </w:rPr>
        <w:t>, Problem 47.</w:t>
      </w:r>
    </w:p>
    <w:p w14:paraId="536B0418" w14:textId="46B0A594" w:rsidR="002A1B3C" w:rsidRPr="00C17D1C" w:rsidRDefault="002A1B3C" w:rsidP="004A7BE2">
      <w:pPr>
        <w:widowControl/>
        <w:tabs>
          <w:tab w:val="left" w:pos="0"/>
          <w:tab w:val="left" w:pos="567"/>
          <w:tab w:val="left" w:pos="864"/>
          <w:tab w:val="left" w:pos="1418"/>
          <w:tab w:val="left" w:pos="2127"/>
          <w:tab w:val="left" w:pos="2268"/>
          <w:tab w:val="left" w:pos="2880"/>
        </w:tabs>
        <w:ind w:left="1418" w:hanging="1418"/>
        <w:jc w:val="both"/>
        <w:rPr>
          <w:rFonts w:ascii="Times New Roman" w:hAnsi="Times New Roman"/>
          <w:spacing w:val="-2"/>
          <w:sz w:val="14"/>
          <w:szCs w:val="14"/>
        </w:rPr>
      </w:pPr>
      <w:r w:rsidRPr="00C17D1C">
        <w:rPr>
          <w:rFonts w:ascii="Times New Roman" w:hAnsi="Times New Roman"/>
          <w:b/>
          <w:spacing w:val="-2"/>
          <w:sz w:val="14"/>
          <w:szCs w:val="14"/>
        </w:rPr>
        <w:t>Literatur/Aufsätze:</w:t>
      </w:r>
      <w:r w:rsidRPr="00C17D1C">
        <w:rPr>
          <w:rFonts w:ascii="Times New Roman" w:hAnsi="Times New Roman"/>
          <w:b/>
          <w:spacing w:val="-2"/>
          <w:sz w:val="14"/>
          <w:szCs w:val="14"/>
        </w:rPr>
        <w:tab/>
      </w:r>
      <w:r w:rsidRPr="00C17D1C">
        <w:rPr>
          <w:rFonts w:ascii="Times New Roman" w:hAnsi="Times New Roman"/>
          <w:i/>
          <w:spacing w:val="-2"/>
          <w:sz w:val="14"/>
          <w:szCs w:val="14"/>
        </w:rPr>
        <w:t>Ambos</w:t>
      </w:r>
      <w:r w:rsidRPr="00C17D1C">
        <w:rPr>
          <w:rFonts w:ascii="Times New Roman" w:hAnsi="Times New Roman"/>
          <w:spacing w:val="-2"/>
          <w:sz w:val="14"/>
          <w:szCs w:val="14"/>
        </w:rPr>
        <w:t xml:space="preserve">, Verfahrensverkürzung zwischen </w:t>
      </w:r>
      <w:proofErr w:type="spellStart"/>
      <w:r w:rsidRPr="00C17D1C">
        <w:rPr>
          <w:rFonts w:ascii="Times New Roman" w:hAnsi="Times New Roman"/>
          <w:spacing w:val="-2"/>
          <w:sz w:val="14"/>
          <w:szCs w:val="14"/>
        </w:rPr>
        <w:t>Prozeßökonomie</w:t>
      </w:r>
      <w:proofErr w:type="spellEnd"/>
      <w:r w:rsidRPr="00C17D1C">
        <w:rPr>
          <w:rFonts w:ascii="Times New Roman" w:hAnsi="Times New Roman"/>
          <w:spacing w:val="-2"/>
          <w:sz w:val="14"/>
          <w:szCs w:val="14"/>
        </w:rPr>
        <w:t xml:space="preserve"> und „fair trial“ – Eine Untersuchung zum Strafbefehlsverfahren und zum beschleunigten Verfahren, JURA 1998, 281; </w:t>
      </w:r>
      <w:r w:rsidR="00CA61EF" w:rsidRPr="00630EAE">
        <w:rPr>
          <w:rFonts w:ascii="Times New Roman" w:hAnsi="Times New Roman"/>
          <w:i/>
          <w:iCs/>
          <w:spacing w:val="-2"/>
          <w:sz w:val="14"/>
          <w:szCs w:val="14"/>
        </w:rPr>
        <w:t>Dinter/David</w:t>
      </w:r>
      <w:r w:rsidR="00CA61EF">
        <w:rPr>
          <w:rFonts w:ascii="Times New Roman" w:hAnsi="Times New Roman"/>
          <w:spacing w:val="-2"/>
          <w:sz w:val="14"/>
          <w:szCs w:val="14"/>
        </w:rPr>
        <w:t xml:space="preserve">, Das Strafbefehlsverfahren in der mündlichen Prüfung des Assessorexamens, JA 2012, 281; </w:t>
      </w:r>
      <w:r w:rsidR="00811C22" w:rsidRPr="00041F09">
        <w:rPr>
          <w:rFonts w:ascii="Times New Roman" w:hAnsi="Times New Roman"/>
          <w:bCs/>
          <w:i/>
          <w:iCs/>
          <w:spacing w:val="-2"/>
          <w:sz w:val="14"/>
          <w:szCs w:val="14"/>
        </w:rPr>
        <w:t>Huber</w:t>
      </w:r>
      <w:r w:rsidR="00811C22">
        <w:rPr>
          <w:rFonts w:ascii="Times New Roman" w:hAnsi="Times New Roman"/>
          <w:bCs/>
          <w:spacing w:val="-2"/>
          <w:sz w:val="14"/>
          <w:szCs w:val="14"/>
        </w:rPr>
        <w:t>, Grundwissen – Strafproz</w:t>
      </w:r>
      <w:r w:rsidR="008C675F">
        <w:rPr>
          <w:rFonts w:ascii="Times New Roman" w:hAnsi="Times New Roman"/>
          <w:bCs/>
          <w:spacing w:val="-2"/>
          <w:sz w:val="14"/>
          <w:szCs w:val="14"/>
        </w:rPr>
        <w:t>e</w:t>
      </w:r>
      <w:r w:rsidR="00811C22">
        <w:rPr>
          <w:rFonts w:ascii="Times New Roman" w:hAnsi="Times New Roman"/>
          <w:bCs/>
          <w:spacing w:val="-2"/>
          <w:sz w:val="14"/>
          <w:szCs w:val="14"/>
        </w:rPr>
        <w:t xml:space="preserve">ssrecht: Verfahren bei Strafbefehlen, </w:t>
      </w:r>
      <w:proofErr w:type="spellStart"/>
      <w:r w:rsidR="00811C22">
        <w:rPr>
          <w:rFonts w:ascii="Times New Roman" w:hAnsi="Times New Roman"/>
          <w:bCs/>
          <w:spacing w:val="-2"/>
          <w:sz w:val="14"/>
          <w:szCs w:val="14"/>
        </w:rPr>
        <w:t>JuS</w:t>
      </w:r>
      <w:proofErr w:type="spellEnd"/>
      <w:r w:rsidR="00811C22">
        <w:rPr>
          <w:rFonts w:ascii="Times New Roman" w:hAnsi="Times New Roman"/>
          <w:bCs/>
          <w:spacing w:val="-2"/>
          <w:sz w:val="14"/>
          <w:szCs w:val="14"/>
        </w:rPr>
        <w:t xml:space="preserve"> 2019, 666; </w:t>
      </w:r>
      <w:r w:rsidRPr="00C17D1C">
        <w:rPr>
          <w:rFonts w:ascii="Times New Roman" w:hAnsi="Times New Roman"/>
          <w:i/>
          <w:spacing w:val="-2"/>
          <w:sz w:val="14"/>
          <w:szCs w:val="14"/>
        </w:rPr>
        <w:t>Ranft</w:t>
      </w:r>
      <w:r w:rsidRPr="00C17D1C">
        <w:rPr>
          <w:rFonts w:ascii="Times New Roman" w:hAnsi="Times New Roman"/>
          <w:spacing w:val="-2"/>
          <w:sz w:val="14"/>
          <w:szCs w:val="14"/>
        </w:rPr>
        <w:t xml:space="preserve">, Grundzüge des Strafbefehlsverfahrens, </w:t>
      </w:r>
      <w:proofErr w:type="spellStart"/>
      <w:r w:rsidRPr="00C17D1C">
        <w:rPr>
          <w:rFonts w:ascii="Times New Roman" w:hAnsi="Times New Roman"/>
          <w:spacing w:val="-2"/>
          <w:sz w:val="14"/>
          <w:szCs w:val="14"/>
        </w:rPr>
        <w:t>JuS</w:t>
      </w:r>
      <w:proofErr w:type="spellEnd"/>
      <w:r w:rsidRPr="00C17D1C">
        <w:rPr>
          <w:rFonts w:ascii="Times New Roman" w:hAnsi="Times New Roman"/>
          <w:spacing w:val="-2"/>
          <w:sz w:val="14"/>
          <w:szCs w:val="14"/>
        </w:rPr>
        <w:t xml:space="preserve"> 2000, 633; </w:t>
      </w:r>
      <w:r w:rsidRPr="00C17D1C">
        <w:rPr>
          <w:rFonts w:ascii="Times New Roman" w:hAnsi="Times New Roman"/>
          <w:i/>
          <w:spacing w:val="-2"/>
          <w:sz w:val="14"/>
          <w:szCs w:val="14"/>
        </w:rPr>
        <w:t>Rau/</w:t>
      </w:r>
      <w:proofErr w:type="spellStart"/>
      <w:r w:rsidRPr="00C17D1C">
        <w:rPr>
          <w:rFonts w:ascii="Times New Roman" w:hAnsi="Times New Roman"/>
          <w:i/>
          <w:spacing w:val="-2"/>
          <w:sz w:val="14"/>
          <w:szCs w:val="14"/>
        </w:rPr>
        <w:t>Zschieschack</w:t>
      </w:r>
      <w:proofErr w:type="spellEnd"/>
      <w:r w:rsidRPr="00C17D1C">
        <w:rPr>
          <w:rFonts w:ascii="Times New Roman" w:hAnsi="Times New Roman"/>
          <w:spacing w:val="-2"/>
          <w:sz w:val="14"/>
          <w:szCs w:val="14"/>
        </w:rPr>
        <w:t xml:space="preserve">, Reaktionsmöglichkeiten der Staatsanwaltschaft auf „verfahrenswidrige“ Strafbefehle, </w:t>
      </w:r>
      <w:proofErr w:type="spellStart"/>
      <w:r w:rsidRPr="00C17D1C">
        <w:rPr>
          <w:rFonts w:ascii="Times New Roman" w:hAnsi="Times New Roman"/>
          <w:spacing w:val="-2"/>
          <w:sz w:val="14"/>
          <w:szCs w:val="14"/>
        </w:rPr>
        <w:t>JuS</w:t>
      </w:r>
      <w:proofErr w:type="spellEnd"/>
      <w:r w:rsidRPr="00C17D1C">
        <w:rPr>
          <w:rFonts w:ascii="Times New Roman" w:hAnsi="Times New Roman"/>
          <w:spacing w:val="-2"/>
          <w:sz w:val="14"/>
          <w:szCs w:val="14"/>
        </w:rPr>
        <w:t xml:space="preserve"> 2005, 803</w:t>
      </w:r>
      <w:r w:rsidR="00ED1DA6" w:rsidRPr="00C17D1C">
        <w:rPr>
          <w:rFonts w:ascii="Times New Roman" w:hAnsi="Times New Roman"/>
          <w:spacing w:val="-2"/>
          <w:sz w:val="14"/>
          <w:szCs w:val="14"/>
        </w:rPr>
        <w:t xml:space="preserve">; </w:t>
      </w:r>
      <w:r w:rsidR="0000400E" w:rsidRPr="00C17D1C">
        <w:rPr>
          <w:rFonts w:ascii="Times New Roman" w:hAnsi="Times New Roman"/>
          <w:i/>
          <w:spacing w:val="-2"/>
          <w:sz w:val="14"/>
          <w:szCs w:val="14"/>
        </w:rPr>
        <w:t>Schmuck/</w:t>
      </w:r>
      <w:proofErr w:type="spellStart"/>
      <w:r w:rsidR="0000400E" w:rsidRPr="00C17D1C">
        <w:rPr>
          <w:rFonts w:ascii="Times New Roman" w:hAnsi="Times New Roman"/>
          <w:i/>
          <w:spacing w:val="-2"/>
          <w:sz w:val="14"/>
          <w:szCs w:val="14"/>
        </w:rPr>
        <w:t>Leipner</w:t>
      </w:r>
      <w:proofErr w:type="spellEnd"/>
      <w:r w:rsidR="0000400E" w:rsidRPr="00C17D1C">
        <w:rPr>
          <w:rFonts w:ascii="Times New Roman" w:hAnsi="Times New Roman"/>
          <w:spacing w:val="-2"/>
          <w:sz w:val="14"/>
          <w:szCs w:val="14"/>
        </w:rPr>
        <w:t>, § 411 II 1 StPO und Befangenheitsantrag, NJOZ 2012, 2153</w:t>
      </w:r>
      <w:r w:rsidR="002E1434">
        <w:rPr>
          <w:rFonts w:ascii="Times New Roman" w:hAnsi="Times New Roman"/>
          <w:spacing w:val="-2"/>
          <w:sz w:val="14"/>
          <w:szCs w:val="14"/>
        </w:rPr>
        <w:t xml:space="preserve">; </w:t>
      </w:r>
      <w:r w:rsidR="00C668B9" w:rsidRPr="00202B91">
        <w:rPr>
          <w:rFonts w:ascii="Times New Roman" w:hAnsi="Times New Roman"/>
          <w:i/>
          <w:spacing w:val="-2"/>
          <w:sz w:val="14"/>
          <w:szCs w:val="14"/>
        </w:rPr>
        <w:t>Staudinger</w:t>
      </w:r>
      <w:r w:rsidR="00C668B9">
        <w:rPr>
          <w:rFonts w:ascii="Times New Roman" w:hAnsi="Times New Roman"/>
          <w:spacing w:val="-2"/>
          <w:sz w:val="14"/>
          <w:szCs w:val="14"/>
        </w:rPr>
        <w:t>, Das (gescheiterte) Strafbefehlsverfahren, JA 2021, 159.</w:t>
      </w:r>
    </w:p>
    <w:p w14:paraId="4B88F265" w14:textId="77777777" w:rsidR="002A1B3C" w:rsidRPr="00C17D1C" w:rsidRDefault="002A1B3C" w:rsidP="002A1B3C">
      <w:pPr>
        <w:widowControl/>
        <w:tabs>
          <w:tab w:val="left" w:pos="0"/>
          <w:tab w:val="left" w:pos="567"/>
          <w:tab w:val="left" w:pos="864"/>
          <w:tab w:val="left" w:pos="1418"/>
          <w:tab w:val="left" w:pos="1985"/>
          <w:tab w:val="left" w:pos="2127"/>
          <w:tab w:val="left" w:pos="2268"/>
          <w:tab w:val="left" w:pos="2880"/>
        </w:tabs>
        <w:ind w:left="1985" w:hanging="1985"/>
        <w:jc w:val="both"/>
        <w:rPr>
          <w:rFonts w:ascii="Times New Roman" w:hAnsi="Times New Roman"/>
          <w:spacing w:val="-2"/>
          <w:sz w:val="14"/>
          <w:szCs w:val="14"/>
        </w:rPr>
      </w:pPr>
      <w:r w:rsidRPr="00C17D1C">
        <w:rPr>
          <w:rFonts w:ascii="Times New Roman" w:hAnsi="Times New Roman"/>
          <w:b/>
          <w:spacing w:val="-2"/>
          <w:sz w:val="14"/>
          <w:szCs w:val="14"/>
        </w:rPr>
        <w:t>Literatur/Fälle:</w:t>
      </w:r>
      <w:r w:rsidRPr="00C17D1C">
        <w:rPr>
          <w:rFonts w:ascii="Times New Roman" w:hAnsi="Times New Roman"/>
          <w:b/>
          <w:spacing w:val="-2"/>
          <w:sz w:val="14"/>
          <w:szCs w:val="14"/>
        </w:rPr>
        <w:tab/>
      </w:r>
      <w:proofErr w:type="spellStart"/>
      <w:r w:rsidRPr="00C17D1C">
        <w:rPr>
          <w:rFonts w:ascii="Times New Roman" w:hAnsi="Times New Roman"/>
          <w:i/>
          <w:spacing w:val="-2"/>
          <w:sz w:val="14"/>
          <w:szCs w:val="14"/>
        </w:rPr>
        <w:t>Proppe</w:t>
      </w:r>
      <w:proofErr w:type="spellEnd"/>
      <w:r w:rsidRPr="00C17D1C">
        <w:rPr>
          <w:rFonts w:ascii="Times New Roman" w:hAnsi="Times New Roman"/>
          <w:spacing w:val="-2"/>
          <w:sz w:val="14"/>
          <w:szCs w:val="14"/>
        </w:rPr>
        <w:t xml:space="preserve">, Manipulierter </w:t>
      </w:r>
      <w:proofErr w:type="gramStart"/>
      <w:r w:rsidRPr="00C17D1C">
        <w:rPr>
          <w:rFonts w:ascii="Times New Roman" w:hAnsi="Times New Roman"/>
          <w:spacing w:val="-2"/>
          <w:sz w:val="14"/>
          <w:szCs w:val="14"/>
        </w:rPr>
        <w:t>Einzahlungsbeleg?,</w:t>
      </w:r>
      <w:proofErr w:type="gramEnd"/>
      <w:r w:rsidRPr="00C17D1C">
        <w:rPr>
          <w:rFonts w:ascii="Times New Roman" w:hAnsi="Times New Roman"/>
          <w:spacing w:val="-2"/>
          <w:sz w:val="14"/>
          <w:szCs w:val="14"/>
        </w:rPr>
        <w:t xml:space="preserve"> JA 2000, 491.</w:t>
      </w:r>
    </w:p>
    <w:p w14:paraId="5FC7F930" w14:textId="77777777" w:rsidR="002A1B3C" w:rsidRPr="00C17D1C" w:rsidRDefault="002A1B3C" w:rsidP="004A7BE2">
      <w:pPr>
        <w:widowControl/>
        <w:tabs>
          <w:tab w:val="left" w:pos="0"/>
          <w:tab w:val="left" w:pos="576"/>
          <w:tab w:val="left" w:pos="864"/>
          <w:tab w:val="left" w:pos="1418"/>
          <w:tab w:val="left" w:pos="2127"/>
          <w:tab w:val="left" w:pos="2268"/>
          <w:tab w:val="left" w:pos="2880"/>
        </w:tabs>
        <w:ind w:left="1418" w:hanging="1418"/>
        <w:jc w:val="both"/>
        <w:outlineLvl w:val="0"/>
        <w:rPr>
          <w:rFonts w:ascii="Times New Roman" w:hAnsi="Times New Roman"/>
          <w:spacing w:val="-2"/>
          <w:sz w:val="14"/>
          <w:szCs w:val="14"/>
        </w:rPr>
      </w:pPr>
      <w:r w:rsidRPr="00C17D1C">
        <w:rPr>
          <w:rFonts w:ascii="Times New Roman" w:hAnsi="Times New Roman"/>
          <w:b/>
          <w:spacing w:val="-2"/>
          <w:sz w:val="14"/>
          <w:szCs w:val="14"/>
        </w:rPr>
        <w:t>Rechtsprechung:</w:t>
      </w:r>
      <w:r w:rsidRPr="00C17D1C">
        <w:rPr>
          <w:rFonts w:ascii="Times New Roman" w:hAnsi="Times New Roman"/>
          <w:b/>
          <w:spacing w:val="-2"/>
          <w:sz w:val="14"/>
          <w:szCs w:val="14"/>
        </w:rPr>
        <w:tab/>
      </w:r>
      <w:r w:rsidR="007E31D8">
        <w:rPr>
          <w:rFonts w:ascii="Times New Roman" w:hAnsi="Times New Roman"/>
          <w:b/>
          <w:spacing w:val="-2"/>
          <w:sz w:val="14"/>
          <w:szCs w:val="14"/>
        </w:rPr>
        <w:t xml:space="preserve">BVerfG StV 2017, 775 </w:t>
      </w:r>
      <w:r w:rsidR="007E31D8" w:rsidRPr="00041F09">
        <w:rPr>
          <w:rFonts w:ascii="Times New Roman" w:hAnsi="Times New Roman"/>
          <w:spacing w:val="-2"/>
          <w:sz w:val="14"/>
          <w:szCs w:val="14"/>
        </w:rPr>
        <w:t>–</w:t>
      </w:r>
      <w:r w:rsidR="007E31D8" w:rsidRPr="007E31D8">
        <w:rPr>
          <w:rFonts w:ascii="Times New Roman" w:hAnsi="Times New Roman"/>
          <w:spacing w:val="-2"/>
          <w:sz w:val="14"/>
          <w:szCs w:val="14"/>
        </w:rPr>
        <w:t>Einspruch gegen Strafbefehl</w:t>
      </w:r>
      <w:r w:rsidR="007E31D8">
        <w:rPr>
          <w:rFonts w:ascii="Times New Roman" w:hAnsi="Times New Roman"/>
          <w:spacing w:val="-2"/>
          <w:sz w:val="14"/>
          <w:szCs w:val="14"/>
        </w:rPr>
        <w:t xml:space="preserve"> (</w:t>
      </w:r>
      <w:r w:rsidR="007E31D8" w:rsidRPr="007E31D8">
        <w:rPr>
          <w:rFonts w:ascii="Times New Roman" w:hAnsi="Times New Roman"/>
          <w:spacing w:val="-2"/>
          <w:sz w:val="14"/>
          <w:szCs w:val="14"/>
        </w:rPr>
        <w:t xml:space="preserve">Zustellung </w:t>
      </w:r>
      <w:r w:rsidR="007E31D8">
        <w:rPr>
          <w:rFonts w:ascii="Times New Roman" w:hAnsi="Times New Roman"/>
          <w:spacing w:val="-2"/>
          <w:sz w:val="14"/>
          <w:szCs w:val="14"/>
        </w:rPr>
        <w:t>eines</w:t>
      </w:r>
      <w:r w:rsidR="007E31D8" w:rsidRPr="007E31D8">
        <w:rPr>
          <w:rFonts w:ascii="Times New Roman" w:hAnsi="Times New Roman"/>
          <w:spacing w:val="-2"/>
          <w:sz w:val="14"/>
          <w:szCs w:val="14"/>
        </w:rPr>
        <w:t xml:space="preserve"> Strafbefehls ohne erforderliche Übersetzung</w:t>
      </w:r>
      <w:r w:rsidR="007E31D8">
        <w:rPr>
          <w:rFonts w:ascii="Times New Roman" w:hAnsi="Times New Roman"/>
          <w:spacing w:val="-2"/>
          <w:sz w:val="14"/>
          <w:szCs w:val="14"/>
        </w:rPr>
        <w:t>,</w:t>
      </w:r>
      <w:r w:rsidR="007E31D8" w:rsidRPr="007E31D8">
        <w:rPr>
          <w:rFonts w:ascii="Times New Roman" w:hAnsi="Times New Roman"/>
          <w:spacing w:val="-2"/>
          <w:sz w:val="14"/>
          <w:szCs w:val="14"/>
        </w:rPr>
        <w:t xml:space="preserve"> Pflicht des Gerichts zur Kenntnisnahme des Vortrags der Beteiligten</w:t>
      </w:r>
      <w:r w:rsidR="007E31D8">
        <w:rPr>
          <w:rFonts w:ascii="Times New Roman" w:hAnsi="Times New Roman"/>
          <w:spacing w:val="-2"/>
          <w:sz w:val="14"/>
          <w:szCs w:val="14"/>
        </w:rPr>
        <w:t xml:space="preserve">); </w:t>
      </w:r>
      <w:r w:rsidR="007E31D8">
        <w:rPr>
          <w:rFonts w:ascii="Times New Roman" w:hAnsi="Times New Roman"/>
          <w:b/>
          <w:spacing w:val="-2"/>
          <w:sz w:val="14"/>
          <w:szCs w:val="14"/>
        </w:rPr>
        <w:t xml:space="preserve">BGH NStZ-RR 2019, 187 </w:t>
      </w:r>
      <w:r w:rsidR="007E31D8" w:rsidRPr="00041F09">
        <w:rPr>
          <w:rFonts w:ascii="Times New Roman" w:hAnsi="Times New Roman"/>
          <w:spacing w:val="-2"/>
          <w:sz w:val="14"/>
          <w:szCs w:val="14"/>
        </w:rPr>
        <w:t>– Unzulänglicher Strafbefehl</w:t>
      </w:r>
      <w:r w:rsidR="007E31D8" w:rsidRPr="00A60870">
        <w:rPr>
          <w:rFonts w:ascii="Times New Roman" w:hAnsi="Times New Roman"/>
          <w:spacing w:val="-2"/>
          <w:sz w:val="14"/>
          <w:szCs w:val="14"/>
        </w:rPr>
        <w:t xml:space="preserve"> (</w:t>
      </w:r>
      <w:r w:rsidR="007E31D8">
        <w:rPr>
          <w:rFonts w:ascii="Times New Roman" w:hAnsi="Times New Roman"/>
          <w:spacing w:val="-2"/>
          <w:sz w:val="14"/>
          <w:szCs w:val="14"/>
        </w:rPr>
        <w:t>k</w:t>
      </w:r>
      <w:r w:rsidR="007E31D8" w:rsidRPr="007E31D8">
        <w:rPr>
          <w:rFonts w:ascii="Times New Roman" w:hAnsi="Times New Roman"/>
          <w:spacing w:val="-2"/>
          <w:sz w:val="14"/>
          <w:szCs w:val="14"/>
        </w:rPr>
        <w:t>eine anderweitige Rechtshängigkeit bei mangels Konkretisierung unwirksamen Strafbefehl (vgl. § 409 I 1 Nr. 3 StPO)</w:t>
      </w:r>
      <w:r w:rsidR="007E31D8" w:rsidRPr="00041F09">
        <w:rPr>
          <w:rFonts w:ascii="Times New Roman" w:hAnsi="Times New Roman"/>
          <w:spacing w:val="-2"/>
          <w:sz w:val="14"/>
          <w:szCs w:val="14"/>
        </w:rPr>
        <w:t>;</w:t>
      </w:r>
      <w:r w:rsidR="007E31D8">
        <w:rPr>
          <w:rFonts w:ascii="Times New Roman" w:hAnsi="Times New Roman"/>
          <w:b/>
          <w:spacing w:val="-2"/>
          <w:sz w:val="14"/>
          <w:szCs w:val="14"/>
        </w:rPr>
        <w:t xml:space="preserve"> </w:t>
      </w:r>
      <w:r w:rsidR="00041F09" w:rsidRPr="00C17D1C">
        <w:rPr>
          <w:rFonts w:ascii="Times New Roman" w:hAnsi="Times New Roman"/>
          <w:b/>
          <w:spacing w:val="-2"/>
          <w:sz w:val="14"/>
          <w:szCs w:val="14"/>
        </w:rPr>
        <w:t xml:space="preserve">OLG Hamm StV 2008, 401 </w:t>
      </w:r>
      <w:r w:rsidR="00041F09" w:rsidRPr="00C17D1C">
        <w:rPr>
          <w:rFonts w:ascii="Times New Roman" w:hAnsi="Times New Roman"/>
          <w:spacing w:val="-2"/>
          <w:sz w:val="14"/>
          <w:szCs w:val="14"/>
        </w:rPr>
        <w:t>–</w:t>
      </w:r>
      <w:r w:rsidR="00041F09" w:rsidRPr="00C17D1C">
        <w:rPr>
          <w:rFonts w:ascii="Times New Roman" w:hAnsi="Times New Roman"/>
          <w:b/>
          <w:spacing w:val="-2"/>
          <w:sz w:val="14"/>
          <w:szCs w:val="14"/>
        </w:rPr>
        <w:t xml:space="preserve"> </w:t>
      </w:r>
      <w:r w:rsidR="00041F09" w:rsidRPr="00C17D1C">
        <w:rPr>
          <w:rFonts w:ascii="Times New Roman" w:hAnsi="Times New Roman"/>
          <w:spacing w:val="-2"/>
          <w:sz w:val="14"/>
          <w:szCs w:val="14"/>
        </w:rPr>
        <w:t xml:space="preserve">Aussage in Abwesenheit (Feststellung zu der Einlassung des Angeklagten auch über den Verteidiger im Berufungsurteil nötig); </w:t>
      </w:r>
      <w:r w:rsidRPr="00C17D1C">
        <w:rPr>
          <w:rFonts w:ascii="Times New Roman" w:hAnsi="Times New Roman"/>
          <w:b/>
          <w:spacing w:val="-2"/>
          <w:sz w:val="14"/>
          <w:szCs w:val="14"/>
        </w:rPr>
        <w:t xml:space="preserve">OLG Oldenburg JA 2006, 902 </w:t>
      </w:r>
      <w:r w:rsidRPr="00C17D1C">
        <w:rPr>
          <w:rFonts w:ascii="Times New Roman" w:hAnsi="Times New Roman"/>
          <w:spacing w:val="-2"/>
          <w:sz w:val="14"/>
          <w:szCs w:val="14"/>
        </w:rPr>
        <w:t>–</w:t>
      </w:r>
      <w:r w:rsidRPr="00C17D1C">
        <w:rPr>
          <w:rFonts w:ascii="Times New Roman" w:hAnsi="Times New Roman"/>
          <w:b/>
          <w:spacing w:val="-2"/>
          <w:sz w:val="14"/>
          <w:szCs w:val="14"/>
        </w:rPr>
        <w:t xml:space="preserve"> </w:t>
      </w:r>
      <w:r w:rsidRPr="00C17D1C">
        <w:rPr>
          <w:rFonts w:ascii="Times New Roman" w:hAnsi="Times New Roman"/>
          <w:spacing w:val="-2"/>
          <w:sz w:val="14"/>
          <w:szCs w:val="14"/>
        </w:rPr>
        <w:t>Mangel des Strafbefehls (Prozesshindernis für das folgende Verfahren beim Fehlen der Tatbezeichnung im Strafbefehl)</w:t>
      </w:r>
      <w:r w:rsidR="00DD3EB3" w:rsidRPr="00C17D1C">
        <w:rPr>
          <w:rFonts w:ascii="Times New Roman" w:hAnsi="Times New Roman"/>
          <w:spacing w:val="-2"/>
          <w:sz w:val="14"/>
          <w:szCs w:val="14"/>
        </w:rPr>
        <w:t xml:space="preserve">; </w:t>
      </w:r>
      <w:r w:rsidR="00DD3EB3" w:rsidRPr="00C17D1C">
        <w:rPr>
          <w:rFonts w:ascii="Times New Roman" w:hAnsi="Times New Roman"/>
          <w:b/>
          <w:spacing w:val="-2"/>
          <w:sz w:val="14"/>
          <w:szCs w:val="14"/>
        </w:rPr>
        <w:t>OLG Stuttgart StV 2009, 12</w:t>
      </w:r>
      <w:r w:rsidR="00DD3EB3" w:rsidRPr="00C17D1C">
        <w:rPr>
          <w:rFonts w:ascii="Times New Roman" w:hAnsi="Times New Roman"/>
          <w:spacing w:val="-2"/>
          <w:sz w:val="14"/>
          <w:szCs w:val="14"/>
        </w:rPr>
        <w:t xml:space="preserve"> – Verwerfung des Einspruchs trotz notwendiger Verteidigerbestellung (Anforderungen an eine genügende Entschuldigung gem. §§ 412 S. 1, 329 I </w:t>
      </w:r>
      <w:r w:rsidR="00CC2E87" w:rsidRPr="00C17D1C">
        <w:rPr>
          <w:rFonts w:ascii="Times New Roman" w:hAnsi="Times New Roman"/>
          <w:spacing w:val="-2"/>
          <w:sz w:val="14"/>
          <w:szCs w:val="14"/>
        </w:rPr>
        <w:t xml:space="preserve">S. </w:t>
      </w:r>
      <w:r w:rsidR="00DD3EB3" w:rsidRPr="00C17D1C">
        <w:rPr>
          <w:rFonts w:ascii="Times New Roman" w:hAnsi="Times New Roman"/>
          <w:spacing w:val="-2"/>
          <w:sz w:val="14"/>
          <w:szCs w:val="14"/>
        </w:rPr>
        <w:t>1 StPO)</w:t>
      </w:r>
      <w:r w:rsidR="006A6F56" w:rsidRPr="00C17D1C">
        <w:rPr>
          <w:rFonts w:ascii="Times New Roman" w:hAnsi="Times New Roman"/>
          <w:spacing w:val="-2"/>
          <w:sz w:val="14"/>
          <w:szCs w:val="14"/>
        </w:rPr>
        <w:t>.</w:t>
      </w:r>
    </w:p>
    <w:sectPr w:rsidR="002A1B3C" w:rsidRPr="00C17D1C">
      <w:pgSz w:w="11906" w:h="16838"/>
      <w:pgMar w:top="566" w:right="566" w:bottom="288" w:left="1134" w:header="566"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738E" w14:textId="77777777" w:rsidR="00451AC8" w:rsidRDefault="00451AC8">
      <w:pPr>
        <w:widowControl/>
        <w:spacing w:line="-20" w:lineRule="auto"/>
      </w:pPr>
    </w:p>
  </w:endnote>
  <w:endnote w:type="continuationSeparator" w:id="0">
    <w:p w14:paraId="5CA7BAF7" w14:textId="77777777" w:rsidR="00451AC8" w:rsidRDefault="00451AC8">
      <w:r>
        <w:t xml:space="preserve"> </w:t>
      </w:r>
    </w:p>
  </w:endnote>
  <w:endnote w:type="continuationNotice" w:id="1">
    <w:p w14:paraId="3DC61D90" w14:textId="77777777" w:rsidR="00451AC8" w:rsidRDefault="00451AC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9027" w14:textId="77777777" w:rsidR="00451AC8" w:rsidRDefault="00451AC8">
      <w:r>
        <w:separator/>
      </w:r>
    </w:p>
  </w:footnote>
  <w:footnote w:type="continuationSeparator" w:id="0">
    <w:p w14:paraId="1682D858" w14:textId="77777777" w:rsidR="00451AC8" w:rsidRDefault="00451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FC615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2E328A"/>
    <w:multiLevelType w:val="hybridMultilevel"/>
    <w:tmpl w:val="9CAC0790"/>
    <w:lvl w:ilvl="0" w:tplc="0316B5EE">
      <w:start w:val="7"/>
      <w:numFmt w:val="decimal"/>
      <w:lvlText w:val="%1."/>
      <w:lvlJc w:val="left"/>
      <w:pPr>
        <w:tabs>
          <w:tab w:val="num" w:pos="720"/>
        </w:tabs>
        <w:ind w:left="720" w:hanging="360"/>
      </w:pPr>
      <w:rPr>
        <w:rFonts w:hint="default"/>
      </w:rPr>
    </w:lvl>
    <w:lvl w:ilvl="1" w:tplc="ED9C0FEE" w:tentative="1">
      <w:start w:val="1"/>
      <w:numFmt w:val="lowerLetter"/>
      <w:lvlText w:val="%2."/>
      <w:lvlJc w:val="left"/>
      <w:pPr>
        <w:tabs>
          <w:tab w:val="num" w:pos="1440"/>
        </w:tabs>
        <w:ind w:left="1440" w:hanging="360"/>
      </w:pPr>
    </w:lvl>
    <w:lvl w:ilvl="2" w:tplc="69208302" w:tentative="1">
      <w:start w:val="1"/>
      <w:numFmt w:val="lowerRoman"/>
      <w:lvlText w:val="%3."/>
      <w:lvlJc w:val="right"/>
      <w:pPr>
        <w:tabs>
          <w:tab w:val="num" w:pos="2160"/>
        </w:tabs>
        <w:ind w:left="2160" w:hanging="180"/>
      </w:pPr>
    </w:lvl>
    <w:lvl w:ilvl="3" w:tplc="7CC63EFE" w:tentative="1">
      <w:start w:val="1"/>
      <w:numFmt w:val="decimal"/>
      <w:lvlText w:val="%4."/>
      <w:lvlJc w:val="left"/>
      <w:pPr>
        <w:tabs>
          <w:tab w:val="num" w:pos="2880"/>
        </w:tabs>
        <w:ind w:left="2880" w:hanging="360"/>
      </w:pPr>
    </w:lvl>
    <w:lvl w:ilvl="4" w:tplc="E438DE98" w:tentative="1">
      <w:start w:val="1"/>
      <w:numFmt w:val="lowerLetter"/>
      <w:lvlText w:val="%5."/>
      <w:lvlJc w:val="left"/>
      <w:pPr>
        <w:tabs>
          <w:tab w:val="num" w:pos="3600"/>
        </w:tabs>
        <w:ind w:left="3600" w:hanging="360"/>
      </w:pPr>
    </w:lvl>
    <w:lvl w:ilvl="5" w:tplc="0B10AD78" w:tentative="1">
      <w:start w:val="1"/>
      <w:numFmt w:val="lowerRoman"/>
      <w:lvlText w:val="%6."/>
      <w:lvlJc w:val="right"/>
      <w:pPr>
        <w:tabs>
          <w:tab w:val="num" w:pos="4320"/>
        </w:tabs>
        <w:ind w:left="4320" w:hanging="180"/>
      </w:pPr>
    </w:lvl>
    <w:lvl w:ilvl="6" w:tplc="670CD0EA" w:tentative="1">
      <w:start w:val="1"/>
      <w:numFmt w:val="decimal"/>
      <w:lvlText w:val="%7."/>
      <w:lvlJc w:val="left"/>
      <w:pPr>
        <w:tabs>
          <w:tab w:val="num" w:pos="5040"/>
        </w:tabs>
        <w:ind w:left="5040" w:hanging="360"/>
      </w:pPr>
    </w:lvl>
    <w:lvl w:ilvl="7" w:tplc="2496FA42" w:tentative="1">
      <w:start w:val="1"/>
      <w:numFmt w:val="lowerLetter"/>
      <w:lvlText w:val="%8."/>
      <w:lvlJc w:val="left"/>
      <w:pPr>
        <w:tabs>
          <w:tab w:val="num" w:pos="5760"/>
        </w:tabs>
        <w:ind w:left="5760" w:hanging="360"/>
      </w:pPr>
    </w:lvl>
    <w:lvl w:ilvl="8" w:tplc="3F527FEC" w:tentative="1">
      <w:start w:val="1"/>
      <w:numFmt w:val="lowerRoman"/>
      <w:lvlText w:val="%9."/>
      <w:lvlJc w:val="right"/>
      <w:pPr>
        <w:tabs>
          <w:tab w:val="num" w:pos="6480"/>
        </w:tabs>
        <w:ind w:left="6480" w:hanging="180"/>
      </w:pPr>
    </w:lvl>
  </w:abstractNum>
  <w:abstractNum w:abstractNumId="2" w15:restartNumberingAfterBreak="0">
    <w:nsid w:val="1B07234A"/>
    <w:multiLevelType w:val="hybridMultilevel"/>
    <w:tmpl w:val="5C8601E0"/>
    <w:lvl w:ilvl="0" w:tplc="C2920236">
      <w:start w:val="7"/>
      <w:numFmt w:val="decimal"/>
      <w:lvlText w:val="%1."/>
      <w:lvlJc w:val="left"/>
      <w:pPr>
        <w:tabs>
          <w:tab w:val="num" w:pos="720"/>
        </w:tabs>
        <w:ind w:left="720" w:hanging="360"/>
      </w:pPr>
      <w:rPr>
        <w:rFonts w:hint="default"/>
      </w:rPr>
    </w:lvl>
    <w:lvl w:ilvl="1" w:tplc="0942A20C" w:tentative="1">
      <w:start w:val="1"/>
      <w:numFmt w:val="lowerLetter"/>
      <w:lvlText w:val="%2."/>
      <w:lvlJc w:val="left"/>
      <w:pPr>
        <w:tabs>
          <w:tab w:val="num" w:pos="1440"/>
        </w:tabs>
        <w:ind w:left="1440" w:hanging="360"/>
      </w:pPr>
    </w:lvl>
    <w:lvl w:ilvl="2" w:tplc="1C8A2BCE" w:tentative="1">
      <w:start w:val="1"/>
      <w:numFmt w:val="lowerRoman"/>
      <w:lvlText w:val="%3."/>
      <w:lvlJc w:val="right"/>
      <w:pPr>
        <w:tabs>
          <w:tab w:val="num" w:pos="2160"/>
        </w:tabs>
        <w:ind w:left="2160" w:hanging="180"/>
      </w:pPr>
    </w:lvl>
    <w:lvl w:ilvl="3" w:tplc="019283CA" w:tentative="1">
      <w:start w:val="1"/>
      <w:numFmt w:val="decimal"/>
      <w:lvlText w:val="%4."/>
      <w:lvlJc w:val="left"/>
      <w:pPr>
        <w:tabs>
          <w:tab w:val="num" w:pos="2880"/>
        </w:tabs>
        <w:ind w:left="2880" w:hanging="360"/>
      </w:pPr>
    </w:lvl>
    <w:lvl w:ilvl="4" w:tplc="3C527C12" w:tentative="1">
      <w:start w:val="1"/>
      <w:numFmt w:val="lowerLetter"/>
      <w:lvlText w:val="%5."/>
      <w:lvlJc w:val="left"/>
      <w:pPr>
        <w:tabs>
          <w:tab w:val="num" w:pos="3600"/>
        </w:tabs>
        <w:ind w:left="3600" w:hanging="360"/>
      </w:pPr>
    </w:lvl>
    <w:lvl w:ilvl="5" w:tplc="4A787134" w:tentative="1">
      <w:start w:val="1"/>
      <w:numFmt w:val="lowerRoman"/>
      <w:lvlText w:val="%6."/>
      <w:lvlJc w:val="right"/>
      <w:pPr>
        <w:tabs>
          <w:tab w:val="num" w:pos="4320"/>
        </w:tabs>
        <w:ind w:left="4320" w:hanging="180"/>
      </w:pPr>
    </w:lvl>
    <w:lvl w:ilvl="6" w:tplc="625CD520" w:tentative="1">
      <w:start w:val="1"/>
      <w:numFmt w:val="decimal"/>
      <w:lvlText w:val="%7."/>
      <w:lvlJc w:val="left"/>
      <w:pPr>
        <w:tabs>
          <w:tab w:val="num" w:pos="5040"/>
        </w:tabs>
        <w:ind w:left="5040" w:hanging="360"/>
      </w:pPr>
    </w:lvl>
    <w:lvl w:ilvl="7" w:tplc="CC1A7A9A" w:tentative="1">
      <w:start w:val="1"/>
      <w:numFmt w:val="lowerLetter"/>
      <w:lvlText w:val="%8."/>
      <w:lvlJc w:val="left"/>
      <w:pPr>
        <w:tabs>
          <w:tab w:val="num" w:pos="5760"/>
        </w:tabs>
        <w:ind w:left="5760" w:hanging="360"/>
      </w:pPr>
    </w:lvl>
    <w:lvl w:ilvl="8" w:tplc="D5EE9566" w:tentative="1">
      <w:start w:val="1"/>
      <w:numFmt w:val="lowerRoman"/>
      <w:lvlText w:val="%9."/>
      <w:lvlJc w:val="right"/>
      <w:pPr>
        <w:tabs>
          <w:tab w:val="num" w:pos="6480"/>
        </w:tabs>
        <w:ind w:left="6480" w:hanging="180"/>
      </w:pPr>
    </w:lvl>
  </w:abstractNum>
  <w:abstractNum w:abstractNumId="3" w15:restartNumberingAfterBreak="0">
    <w:nsid w:val="299D36D4"/>
    <w:multiLevelType w:val="singleLevel"/>
    <w:tmpl w:val="365CF8AC"/>
    <w:lvl w:ilvl="0">
      <w:start w:val="3"/>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4" w15:restartNumberingAfterBreak="0">
    <w:nsid w:val="2C4A3C27"/>
    <w:multiLevelType w:val="hybridMultilevel"/>
    <w:tmpl w:val="513AB054"/>
    <w:lvl w:ilvl="0" w:tplc="2A2AF0BA">
      <w:start w:val="7"/>
      <w:numFmt w:val="decimal"/>
      <w:lvlText w:val="%1."/>
      <w:lvlJc w:val="left"/>
      <w:pPr>
        <w:tabs>
          <w:tab w:val="num" w:pos="720"/>
        </w:tabs>
        <w:ind w:left="720" w:hanging="360"/>
      </w:pPr>
      <w:rPr>
        <w:rFonts w:hint="default"/>
      </w:rPr>
    </w:lvl>
    <w:lvl w:ilvl="1" w:tplc="CC0210D4" w:tentative="1">
      <w:start w:val="1"/>
      <w:numFmt w:val="lowerLetter"/>
      <w:lvlText w:val="%2."/>
      <w:lvlJc w:val="left"/>
      <w:pPr>
        <w:tabs>
          <w:tab w:val="num" w:pos="1440"/>
        </w:tabs>
        <w:ind w:left="1440" w:hanging="360"/>
      </w:pPr>
    </w:lvl>
    <w:lvl w:ilvl="2" w:tplc="12C20E3A" w:tentative="1">
      <w:start w:val="1"/>
      <w:numFmt w:val="lowerRoman"/>
      <w:lvlText w:val="%3."/>
      <w:lvlJc w:val="right"/>
      <w:pPr>
        <w:tabs>
          <w:tab w:val="num" w:pos="2160"/>
        </w:tabs>
        <w:ind w:left="2160" w:hanging="180"/>
      </w:pPr>
    </w:lvl>
    <w:lvl w:ilvl="3" w:tplc="4B56AF0C" w:tentative="1">
      <w:start w:val="1"/>
      <w:numFmt w:val="decimal"/>
      <w:lvlText w:val="%4."/>
      <w:lvlJc w:val="left"/>
      <w:pPr>
        <w:tabs>
          <w:tab w:val="num" w:pos="2880"/>
        </w:tabs>
        <w:ind w:left="2880" w:hanging="360"/>
      </w:pPr>
    </w:lvl>
    <w:lvl w:ilvl="4" w:tplc="DEAA989A" w:tentative="1">
      <w:start w:val="1"/>
      <w:numFmt w:val="lowerLetter"/>
      <w:lvlText w:val="%5."/>
      <w:lvlJc w:val="left"/>
      <w:pPr>
        <w:tabs>
          <w:tab w:val="num" w:pos="3600"/>
        </w:tabs>
        <w:ind w:left="3600" w:hanging="360"/>
      </w:pPr>
    </w:lvl>
    <w:lvl w:ilvl="5" w:tplc="DB0E38EE" w:tentative="1">
      <w:start w:val="1"/>
      <w:numFmt w:val="lowerRoman"/>
      <w:lvlText w:val="%6."/>
      <w:lvlJc w:val="right"/>
      <w:pPr>
        <w:tabs>
          <w:tab w:val="num" w:pos="4320"/>
        </w:tabs>
        <w:ind w:left="4320" w:hanging="180"/>
      </w:pPr>
    </w:lvl>
    <w:lvl w:ilvl="6" w:tplc="63484AF8" w:tentative="1">
      <w:start w:val="1"/>
      <w:numFmt w:val="decimal"/>
      <w:lvlText w:val="%7."/>
      <w:lvlJc w:val="left"/>
      <w:pPr>
        <w:tabs>
          <w:tab w:val="num" w:pos="5040"/>
        </w:tabs>
        <w:ind w:left="5040" w:hanging="360"/>
      </w:pPr>
    </w:lvl>
    <w:lvl w:ilvl="7" w:tplc="8DEE8C32" w:tentative="1">
      <w:start w:val="1"/>
      <w:numFmt w:val="lowerLetter"/>
      <w:lvlText w:val="%8."/>
      <w:lvlJc w:val="left"/>
      <w:pPr>
        <w:tabs>
          <w:tab w:val="num" w:pos="5760"/>
        </w:tabs>
        <w:ind w:left="5760" w:hanging="360"/>
      </w:pPr>
    </w:lvl>
    <w:lvl w:ilvl="8" w:tplc="DBDC43E4" w:tentative="1">
      <w:start w:val="1"/>
      <w:numFmt w:val="lowerRoman"/>
      <w:lvlText w:val="%9."/>
      <w:lvlJc w:val="right"/>
      <w:pPr>
        <w:tabs>
          <w:tab w:val="num" w:pos="6480"/>
        </w:tabs>
        <w:ind w:left="6480" w:hanging="180"/>
      </w:pPr>
    </w:lvl>
  </w:abstractNum>
  <w:abstractNum w:abstractNumId="5" w15:restartNumberingAfterBreak="0">
    <w:nsid w:val="376E2D9D"/>
    <w:multiLevelType w:val="hybridMultilevel"/>
    <w:tmpl w:val="2ED030A2"/>
    <w:lvl w:ilvl="0" w:tplc="EA08EDB6">
      <w:start w:val="2"/>
      <w:numFmt w:val="bullet"/>
      <w:lvlText w:val="–"/>
      <w:lvlJc w:val="left"/>
      <w:pPr>
        <w:tabs>
          <w:tab w:val="num" w:pos="645"/>
        </w:tabs>
        <w:ind w:left="645" w:hanging="360"/>
      </w:pPr>
      <w:rPr>
        <w:rFonts w:ascii="Times New Roman" w:eastAsia="Times New Roman" w:hAnsi="Times New Roman" w:cs="Times New Roman" w:hint="default"/>
        <w:b/>
      </w:rPr>
    </w:lvl>
    <w:lvl w:ilvl="1" w:tplc="196489AC">
      <w:start w:val="1"/>
      <w:numFmt w:val="bullet"/>
      <w:lvlText w:val="o"/>
      <w:lvlJc w:val="left"/>
      <w:pPr>
        <w:tabs>
          <w:tab w:val="num" w:pos="1365"/>
        </w:tabs>
        <w:ind w:left="1365" w:hanging="360"/>
      </w:pPr>
      <w:rPr>
        <w:rFonts w:ascii="Courier New" w:hAnsi="Courier New" w:cs="Wingdings" w:hint="default"/>
      </w:rPr>
    </w:lvl>
    <w:lvl w:ilvl="2" w:tplc="F9E8C630" w:tentative="1">
      <w:start w:val="1"/>
      <w:numFmt w:val="bullet"/>
      <w:lvlText w:val=""/>
      <w:lvlJc w:val="left"/>
      <w:pPr>
        <w:tabs>
          <w:tab w:val="num" w:pos="2085"/>
        </w:tabs>
        <w:ind w:left="2085" w:hanging="360"/>
      </w:pPr>
      <w:rPr>
        <w:rFonts w:ascii="Wingdings" w:hAnsi="Wingdings" w:hint="default"/>
      </w:rPr>
    </w:lvl>
    <w:lvl w:ilvl="3" w:tplc="A8C2C05A" w:tentative="1">
      <w:start w:val="1"/>
      <w:numFmt w:val="bullet"/>
      <w:lvlText w:val=""/>
      <w:lvlJc w:val="left"/>
      <w:pPr>
        <w:tabs>
          <w:tab w:val="num" w:pos="2805"/>
        </w:tabs>
        <w:ind w:left="2805" w:hanging="360"/>
      </w:pPr>
      <w:rPr>
        <w:rFonts w:ascii="Symbol" w:hAnsi="Symbol" w:hint="default"/>
      </w:rPr>
    </w:lvl>
    <w:lvl w:ilvl="4" w:tplc="E96A3106" w:tentative="1">
      <w:start w:val="1"/>
      <w:numFmt w:val="bullet"/>
      <w:lvlText w:val="o"/>
      <w:lvlJc w:val="left"/>
      <w:pPr>
        <w:tabs>
          <w:tab w:val="num" w:pos="3525"/>
        </w:tabs>
        <w:ind w:left="3525" w:hanging="360"/>
      </w:pPr>
      <w:rPr>
        <w:rFonts w:ascii="Courier New" w:hAnsi="Courier New" w:cs="Wingdings" w:hint="default"/>
      </w:rPr>
    </w:lvl>
    <w:lvl w:ilvl="5" w:tplc="214231F6" w:tentative="1">
      <w:start w:val="1"/>
      <w:numFmt w:val="bullet"/>
      <w:lvlText w:val=""/>
      <w:lvlJc w:val="left"/>
      <w:pPr>
        <w:tabs>
          <w:tab w:val="num" w:pos="4245"/>
        </w:tabs>
        <w:ind w:left="4245" w:hanging="360"/>
      </w:pPr>
      <w:rPr>
        <w:rFonts w:ascii="Wingdings" w:hAnsi="Wingdings" w:hint="default"/>
      </w:rPr>
    </w:lvl>
    <w:lvl w:ilvl="6" w:tplc="F3C45B2C" w:tentative="1">
      <w:start w:val="1"/>
      <w:numFmt w:val="bullet"/>
      <w:lvlText w:val=""/>
      <w:lvlJc w:val="left"/>
      <w:pPr>
        <w:tabs>
          <w:tab w:val="num" w:pos="4965"/>
        </w:tabs>
        <w:ind w:left="4965" w:hanging="360"/>
      </w:pPr>
      <w:rPr>
        <w:rFonts w:ascii="Symbol" w:hAnsi="Symbol" w:hint="default"/>
      </w:rPr>
    </w:lvl>
    <w:lvl w:ilvl="7" w:tplc="40DA38BE" w:tentative="1">
      <w:start w:val="1"/>
      <w:numFmt w:val="bullet"/>
      <w:lvlText w:val="o"/>
      <w:lvlJc w:val="left"/>
      <w:pPr>
        <w:tabs>
          <w:tab w:val="num" w:pos="5685"/>
        </w:tabs>
        <w:ind w:left="5685" w:hanging="360"/>
      </w:pPr>
      <w:rPr>
        <w:rFonts w:ascii="Courier New" w:hAnsi="Courier New" w:cs="Wingdings" w:hint="default"/>
      </w:rPr>
    </w:lvl>
    <w:lvl w:ilvl="8" w:tplc="3716C5BC" w:tentative="1">
      <w:start w:val="1"/>
      <w:numFmt w:val="bullet"/>
      <w:lvlText w:val=""/>
      <w:lvlJc w:val="left"/>
      <w:pPr>
        <w:tabs>
          <w:tab w:val="num" w:pos="6405"/>
        </w:tabs>
        <w:ind w:left="6405" w:hanging="360"/>
      </w:pPr>
      <w:rPr>
        <w:rFonts w:ascii="Wingdings" w:hAnsi="Wingdings" w:hint="default"/>
      </w:rPr>
    </w:lvl>
  </w:abstractNum>
  <w:abstractNum w:abstractNumId="6" w15:restartNumberingAfterBreak="0">
    <w:nsid w:val="43525504"/>
    <w:multiLevelType w:val="singleLevel"/>
    <w:tmpl w:val="8D88FF0A"/>
    <w:lvl w:ilvl="0">
      <w:start w:val="4"/>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7" w15:restartNumberingAfterBreak="0">
    <w:nsid w:val="75C96C3A"/>
    <w:multiLevelType w:val="singleLevel"/>
    <w:tmpl w:val="58BA3870"/>
    <w:lvl w:ilvl="0">
      <w:start w:val="6"/>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num w:numId="1" w16cid:durableId="2053338355">
    <w:abstractNumId w:val="3"/>
  </w:num>
  <w:num w:numId="2" w16cid:durableId="498037436">
    <w:abstractNumId w:val="6"/>
  </w:num>
  <w:num w:numId="3" w16cid:durableId="1767379411">
    <w:abstractNumId w:val="7"/>
  </w:num>
  <w:num w:numId="4" w16cid:durableId="1634141387">
    <w:abstractNumId w:val="5"/>
  </w:num>
  <w:num w:numId="5" w16cid:durableId="2036424239">
    <w:abstractNumId w:val="4"/>
  </w:num>
  <w:num w:numId="6" w16cid:durableId="1421097547">
    <w:abstractNumId w:val="2"/>
  </w:num>
  <w:num w:numId="7" w16cid:durableId="510687459">
    <w:abstractNumId w:val="1"/>
  </w:num>
  <w:num w:numId="8" w16cid:durableId="823160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51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C2"/>
    <w:rsid w:val="0000400E"/>
    <w:rsid w:val="00041F09"/>
    <w:rsid w:val="00065A93"/>
    <w:rsid w:val="00123C96"/>
    <w:rsid w:val="00133CA1"/>
    <w:rsid w:val="001341B0"/>
    <w:rsid w:val="00150ACB"/>
    <w:rsid w:val="00167150"/>
    <w:rsid w:val="00182EE6"/>
    <w:rsid w:val="001C128B"/>
    <w:rsid w:val="001C2A04"/>
    <w:rsid w:val="001D1F62"/>
    <w:rsid w:val="001D7BD1"/>
    <w:rsid w:val="00202B91"/>
    <w:rsid w:val="00246232"/>
    <w:rsid w:val="0026502D"/>
    <w:rsid w:val="00266A69"/>
    <w:rsid w:val="00273D1B"/>
    <w:rsid w:val="0028102C"/>
    <w:rsid w:val="002A1B3C"/>
    <w:rsid w:val="002D1775"/>
    <w:rsid w:val="002E1434"/>
    <w:rsid w:val="0034206A"/>
    <w:rsid w:val="003D29D5"/>
    <w:rsid w:val="003F3016"/>
    <w:rsid w:val="004220E8"/>
    <w:rsid w:val="00422C08"/>
    <w:rsid w:val="0043061C"/>
    <w:rsid w:val="00444A7F"/>
    <w:rsid w:val="00451AC8"/>
    <w:rsid w:val="00471904"/>
    <w:rsid w:val="004773C1"/>
    <w:rsid w:val="004A2995"/>
    <w:rsid w:val="004A7BE2"/>
    <w:rsid w:val="00501957"/>
    <w:rsid w:val="00513DE5"/>
    <w:rsid w:val="005172E9"/>
    <w:rsid w:val="00586B4E"/>
    <w:rsid w:val="00592577"/>
    <w:rsid w:val="005C179E"/>
    <w:rsid w:val="005D4482"/>
    <w:rsid w:val="00614A99"/>
    <w:rsid w:val="00630EAE"/>
    <w:rsid w:val="0068438E"/>
    <w:rsid w:val="006A6F56"/>
    <w:rsid w:val="006B5C8D"/>
    <w:rsid w:val="006E00E0"/>
    <w:rsid w:val="00701B60"/>
    <w:rsid w:val="00733CAA"/>
    <w:rsid w:val="00787FCE"/>
    <w:rsid w:val="007944DC"/>
    <w:rsid w:val="007A48FD"/>
    <w:rsid w:val="007C79B0"/>
    <w:rsid w:val="007E31D8"/>
    <w:rsid w:val="00811C22"/>
    <w:rsid w:val="00814B4A"/>
    <w:rsid w:val="00846024"/>
    <w:rsid w:val="00870A74"/>
    <w:rsid w:val="008C675F"/>
    <w:rsid w:val="008F0C87"/>
    <w:rsid w:val="00923510"/>
    <w:rsid w:val="00A2698A"/>
    <w:rsid w:val="00A44343"/>
    <w:rsid w:val="00A513DB"/>
    <w:rsid w:val="00A60870"/>
    <w:rsid w:val="00AA16BF"/>
    <w:rsid w:val="00AA4513"/>
    <w:rsid w:val="00AB7FD6"/>
    <w:rsid w:val="00AD1869"/>
    <w:rsid w:val="00AD47F3"/>
    <w:rsid w:val="00AD6A87"/>
    <w:rsid w:val="00B86F89"/>
    <w:rsid w:val="00BA5E07"/>
    <w:rsid w:val="00BC22A0"/>
    <w:rsid w:val="00C17D1C"/>
    <w:rsid w:val="00C400D9"/>
    <w:rsid w:val="00C47DE0"/>
    <w:rsid w:val="00C6544D"/>
    <w:rsid w:val="00C668B9"/>
    <w:rsid w:val="00CA5AB8"/>
    <w:rsid w:val="00CA61EF"/>
    <w:rsid w:val="00CC2E87"/>
    <w:rsid w:val="00CE367C"/>
    <w:rsid w:val="00CE4124"/>
    <w:rsid w:val="00D236A3"/>
    <w:rsid w:val="00D32ACD"/>
    <w:rsid w:val="00D6739C"/>
    <w:rsid w:val="00DD3EB3"/>
    <w:rsid w:val="00E336E8"/>
    <w:rsid w:val="00EC38C2"/>
    <w:rsid w:val="00ED1DA6"/>
    <w:rsid w:val="00ED5799"/>
    <w:rsid w:val="00EE3274"/>
    <w:rsid w:val="00F11393"/>
    <w:rsid w:val="00F473A6"/>
    <w:rsid w:val="00F52AD6"/>
    <w:rsid w:val="00F53C99"/>
    <w:rsid w:val="00F8026B"/>
    <w:rsid w:val="00FE7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44C28"/>
  <w15:chartTrackingRefBased/>
  <w15:docId w15:val="{0EF16FC4-4475-4AD2-8D1C-1C43A496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overflowPunct w:val="0"/>
      <w:autoSpaceDE w:val="0"/>
      <w:autoSpaceDN w:val="0"/>
      <w:adjustRightInd w:val="0"/>
      <w:textAlignment w:val="baseline"/>
    </w:pPr>
    <w:rPr>
      <w:rFonts w:ascii="Dutch Roman 12pt" w:hAnsi="Dutch Roman 12pt"/>
      <w:sz w:val="24"/>
    </w:rPr>
  </w:style>
  <w:style w:type="paragraph" w:styleId="berschrift1">
    <w:name w:val="heading 1"/>
    <w:basedOn w:val="Standard"/>
    <w:next w:val="Standard"/>
    <w:qFormat/>
    <w:pPr>
      <w:keepNext/>
      <w:widowControl/>
      <w:tabs>
        <w:tab w:val="right" w:pos="10206"/>
      </w:tabs>
      <w:jc w:val="both"/>
      <w:outlineLvl w:val="0"/>
    </w:pPr>
    <w:rPr>
      <w:rFonts w:ascii="Times New Roman" w:hAnsi="Times New Roman"/>
      <w:b/>
      <w:spacing w:val="-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style>
  <w:style w:type="character" w:styleId="Endnotenzeichen">
    <w:name w:val="endnote reference"/>
    <w:semiHidden/>
    <w:rPr>
      <w:vertAlign w:val="superscript"/>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klein">
    <w:name w:val="klein"/>
    <w:rPr>
      <w:rFonts w:ascii="Arial Narrow" w:hAnsi="Arial Narrow"/>
      <w:noProof w:val="0"/>
      <w:sz w:val="16"/>
      <w:lang w:val="en-US"/>
    </w:rPr>
  </w:style>
  <w:style w:type="character" w:customStyle="1" w:styleId="berschr-1">
    <w:name w:val="Überschr-1"/>
    <w:rPr>
      <w:rFonts w:ascii="Dutch Roman 12pt" w:hAnsi="Dutch Roman 12pt"/>
      <w:noProof w:val="0"/>
      <w:sz w:val="24"/>
      <w:lang w:val="en-US"/>
    </w:rPr>
  </w:style>
  <w:style w:type="character" w:customStyle="1" w:styleId="berschr-2">
    <w:name w:val="Überschr-2"/>
    <w:rPr>
      <w:rFonts w:ascii="Dutch Roman 12pt" w:hAnsi="Dutch Roman 12pt"/>
      <w:noProof w:val="0"/>
      <w:sz w:val="24"/>
      <w:lang w:val="en-US"/>
    </w:rPr>
  </w:style>
  <w:style w:type="character" w:customStyle="1" w:styleId="berschr-3">
    <w:name w:val="Überschr-3"/>
    <w:rPr>
      <w:rFonts w:ascii="Dutch Roman 12pt" w:hAnsi="Dutch Roman 12pt"/>
      <w:noProof w:val="0"/>
      <w:sz w:val="24"/>
      <w:lang w:val="en-US"/>
    </w:rPr>
  </w:style>
  <w:style w:type="character" w:customStyle="1" w:styleId="berschr-4">
    <w:name w:val="Überschr-4"/>
    <w:rPr>
      <w:rFonts w:ascii="Dutch Roman 12pt" w:hAnsi="Dutch Roman 12pt"/>
      <w:noProof w:val="0"/>
      <w:sz w:val="24"/>
      <w:lang w:val="en-US"/>
    </w:rPr>
  </w:style>
  <w:style w:type="character" w:customStyle="1" w:styleId="berschr-5">
    <w:name w:val="Überschr-5"/>
    <w:rPr>
      <w:rFonts w:ascii="Dutch Roman 12pt" w:hAnsi="Dutch Roman 12pt"/>
      <w:noProof w:val="0"/>
      <w:sz w:val="24"/>
      <w:lang w:val="en-US"/>
    </w:rPr>
  </w:style>
  <w:style w:type="character" w:customStyle="1" w:styleId="Kopftext">
    <w:name w:val="Kopftext"/>
    <w:rPr>
      <w:rFonts w:ascii="Dutch Roman 12pt" w:hAnsi="Dutch Roman 12pt"/>
      <w:noProof w:val="0"/>
      <w:sz w:val="24"/>
      <w:lang w:val="en-US"/>
    </w:rPr>
  </w:style>
  <w:style w:type="paragraph" w:styleId="Verzeichnis1">
    <w:name w:val="toc 1"/>
    <w:basedOn w:val="Standard"/>
    <w:next w:val="Standard"/>
    <w:semiHidden/>
    <w:pPr>
      <w:tabs>
        <w:tab w:val="right" w:leader="dot" w:pos="9360"/>
      </w:tabs>
      <w:suppressAutoHyphens/>
      <w:spacing w:before="480"/>
      <w:ind w:left="720" w:right="720" w:hanging="720"/>
    </w:pPr>
    <w:rPr>
      <w:lang w:val="en-US"/>
    </w:rPr>
  </w:style>
  <w:style w:type="paragraph" w:styleId="Verzeichnis2">
    <w:name w:val="toc 2"/>
    <w:basedOn w:val="Standard"/>
    <w:next w:val="Standard"/>
    <w:semiHidden/>
    <w:pPr>
      <w:tabs>
        <w:tab w:val="right" w:leader="dot" w:pos="9360"/>
      </w:tabs>
      <w:suppressAutoHyphens/>
      <w:ind w:left="720" w:right="720"/>
    </w:pPr>
    <w:rPr>
      <w:lang w:val="en-US"/>
    </w:rPr>
  </w:style>
  <w:style w:type="paragraph" w:styleId="Verzeichnis3">
    <w:name w:val="toc 3"/>
    <w:basedOn w:val="Standard"/>
    <w:next w:val="Standard"/>
    <w:semiHidden/>
    <w:pPr>
      <w:tabs>
        <w:tab w:val="right" w:leader="dot" w:pos="9360"/>
      </w:tabs>
      <w:suppressAutoHyphens/>
      <w:ind w:left="720" w:right="720"/>
    </w:pPr>
    <w:rPr>
      <w:lang w:val="en-US"/>
    </w:rPr>
  </w:style>
  <w:style w:type="paragraph" w:styleId="Verzeichnis4">
    <w:name w:val="toc 4"/>
    <w:basedOn w:val="Standard"/>
    <w:next w:val="Standard"/>
    <w:semiHidden/>
    <w:pPr>
      <w:tabs>
        <w:tab w:val="right" w:leader="dot" w:pos="9360"/>
      </w:tabs>
      <w:suppressAutoHyphens/>
      <w:ind w:left="720" w:right="720"/>
    </w:pPr>
    <w:rPr>
      <w:lang w:val="en-US"/>
    </w:rPr>
  </w:style>
  <w:style w:type="paragraph" w:styleId="Verzeichnis5">
    <w:name w:val="toc 5"/>
    <w:basedOn w:val="Standard"/>
    <w:next w:val="Standard"/>
    <w:semiHidden/>
    <w:pPr>
      <w:tabs>
        <w:tab w:val="right" w:leader="dot" w:pos="9360"/>
      </w:tabs>
      <w:suppressAutoHyphens/>
      <w:ind w:left="720" w:right="720"/>
    </w:pPr>
    <w:rPr>
      <w:lang w:val="en-US"/>
    </w:rPr>
  </w:style>
  <w:style w:type="paragraph" w:styleId="Verzeichnis6">
    <w:name w:val="toc 6"/>
    <w:basedOn w:val="Standard"/>
    <w:next w:val="Standard"/>
    <w:semiHidden/>
    <w:pPr>
      <w:tabs>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right" w:pos="9360"/>
      </w:tabs>
      <w:suppressAutoHyphens/>
      <w:ind w:left="720" w:hanging="720"/>
    </w:pPr>
    <w:rPr>
      <w:lang w:val="en-US"/>
    </w:rPr>
  </w:style>
  <w:style w:type="paragraph" w:styleId="Verzeichnis9">
    <w:name w:val="toc 9"/>
    <w:basedOn w:val="Standard"/>
    <w:next w:val="Standard"/>
    <w:semiHidden/>
    <w:pPr>
      <w:tabs>
        <w:tab w:val="right" w:leader="dot" w:pos="9360"/>
      </w:tabs>
      <w:suppressAutoHyphens/>
      <w:ind w:left="720" w:hanging="720"/>
    </w:pPr>
    <w:rPr>
      <w:lang w:val="en-US"/>
    </w:rPr>
  </w:style>
  <w:style w:type="paragraph" w:styleId="Index1">
    <w:name w:val="index 1"/>
    <w:basedOn w:val="Standard"/>
    <w:next w:val="Standard"/>
    <w:semiHidden/>
    <w:pPr>
      <w:tabs>
        <w:tab w:val="right" w:leader="dot" w:pos="9360"/>
      </w:tabs>
      <w:suppressAutoHyphens/>
      <w:ind w:left="720" w:hanging="720"/>
    </w:pPr>
    <w:rPr>
      <w:lang w:val="en-US"/>
    </w:rPr>
  </w:style>
  <w:style w:type="paragraph" w:styleId="Index2">
    <w:name w:val="index 2"/>
    <w:basedOn w:val="Standard"/>
    <w:next w:val="Standard"/>
    <w:semiHidden/>
    <w:pPr>
      <w:tabs>
        <w:tab w:val="right" w:leader="dot" w:pos="9360"/>
      </w:tabs>
      <w:suppressAutoHyphens/>
      <w:ind w:left="720"/>
    </w:pPr>
    <w:rPr>
      <w:lang w:val="en-US"/>
    </w:rPr>
  </w:style>
  <w:style w:type="paragraph" w:styleId="RGV-berschrift">
    <w:name w:val="toa heading"/>
    <w:basedOn w:val="Standard"/>
    <w:semiHidden/>
    <w:pPr>
      <w:tabs>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Dokumentstruktur">
    <w:name w:val="Document Map"/>
    <w:basedOn w:val="Standard"/>
    <w:semiHidden/>
    <w:rsid w:val="00D10B2C"/>
    <w:pPr>
      <w:shd w:val="clear" w:color="auto" w:fill="000080"/>
    </w:pPr>
    <w:rPr>
      <w:rFonts w:ascii="Tahoma" w:hAnsi="Tahoma" w:cs="Tahoma"/>
      <w:sz w:val="20"/>
    </w:rPr>
  </w:style>
  <w:style w:type="paragraph" w:styleId="Sprechblasentext">
    <w:name w:val="Balloon Text"/>
    <w:basedOn w:val="Standard"/>
    <w:semiHidden/>
    <w:rsid w:val="00EC7B33"/>
    <w:rPr>
      <w:rFonts w:ascii="Tahoma" w:hAnsi="Tahoma" w:cs="Tahoma"/>
      <w:sz w:val="16"/>
      <w:szCs w:val="16"/>
    </w:rPr>
  </w:style>
  <w:style w:type="character" w:styleId="Kommentarzeichen">
    <w:name w:val="annotation reference"/>
    <w:uiPriority w:val="99"/>
    <w:semiHidden/>
    <w:unhideWhenUsed/>
    <w:rsid w:val="006B5C8D"/>
    <w:rPr>
      <w:sz w:val="18"/>
      <w:szCs w:val="18"/>
    </w:rPr>
  </w:style>
  <w:style w:type="paragraph" w:styleId="Kommentartext">
    <w:name w:val="annotation text"/>
    <w:basedOn w:val="Standard"/>
    <w:link w:val="KommentartextZchn"/>
    <w:uiPriority w:val="99"/>
    <w:semiHidden/>
    <w:unhideWhenUsed/>
    <w:rsid w:val="006B5C8D"/>
    <w:rPr>
      <w:szCs w:val="24"/>
    </w:rPr>
  </w:style>
  <w:style w:type="character" w:customStyle="1" w:styleId="KommentartextZchn">
    <w:name w:val="Kommentartext Zchn"/>
    <w:link w:val="Kommentartext"/>
    <w:uiPriority w:val="99"/>
    <w:semiHidden/>
    <w:rsid w:val="006B5C8D"/>
    <w:rPr>
      <w:rFonts w:ascii="Dutch Roman 12pt" w:hAnsi="Dutch Roman 12pt"/>
      <w:sz w:val="24"/>
      <w:szCs w:val="24"/>
    </w:rPr>
  </w:style>
  <w:style w:type="paragraph" w:styleId="Kommentarthema">
    <w:name w:val="annotation subject"/>
    <w:basedOn w:val="Kommentartext"/>
    <w:next w:val="Kommentartext"/>
    <w:link w:val="KommentarthemaZchn"/>
    <w:uiPriority w:val="99"/>
    <w:semiHidden/>
    <w:unhideWhenUsed/>
    <w:rsid w:val="006B5C8D"/>
    <w:rPr>
      <w:b/>
      <w:bCs/>
      <w:sz w:val="20"/>
      <w:szCs w:val="20"/>
    </w:rPr>
  </w:style>
  <w:style w:type="character" w:customStyle="1" w:styleId="KommentarthemaZchn">
    <w:name w:val="Kommentarthema Zchn"/>
    <w:link w:val="Kommentarthema"/>
    <w:uiPriority w:val="99"/>
    <w:semiHidden/>
    <w:rsid w:val="006B5C8D"/>
    <w:rPr>
      <w:rFonts w:ascii="Dutch Roman 12pt" w:hAnsi="Dutch Roman 12pt"/>
      <w:b/>
      <w:bCs/>
      <w:sz w:val="24"/>
      <w:szCs w:val="24"/>
    </w:rPr>
  </w:style>
  <w:style w:type="paragraph" w:styleId="berarbeitung">
    <w:name w:val="Revision"/>
    <w:hidden/>
    <w:uiPriority w:val="71"/>
    <w:rsid w:val="001D7BD1"/>
    <w:rPr>
      <w:rFonts w:ascii="Dutch Roman 12pt" w:hAnsi="Dutch Roman 12p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152CA-AC08-4E63-84B6-5A635243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962</Words>
  <Characters>6065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09. Kausalität [VorlAT]</vt:lpstr>
    </vt:vector>
  </TitlesOfParts>
  <Company>Humboldt Universität zu Berlin</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Kausalität [VorlAT]</dc:title>
  <dc:subject/>
  <dc:creator>Professor Dr. Bernd Heinrich</dc:creator>
  <cp:keywords/>
  <dc:description/>
  <cp:lastModifiedBy>Judith Schult</cp:lastModifiedBy>
  <cp:revision>2</cp:revision>
  <cp:lastPrinted>2020-10-21T15:37:00Z</cp:lastPrinted>
  <dcterms:created xsi:type="dcterms:W3CDTF">2024-10-10T15:48:00Z</dcterms:created>
  <dcterms:modified xsi:type="dcterms:W3CDTF">2024-10-10T15:48:00Z</dcterms:modified>
</cp:coreProperties>
</file>