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B94F" w14:textId="6BEB7249" w:rsidR="00FF0CD7" w:rsidRDefault="00FF0CD7" w:rsidP="00FA2FC4">
      <w:pPr>
        <w:framePr w:w="9642" w:h="1417" w:hSpace="240" w:vSpace="120" w:wrap="auto" w:vAnchor="text" w:hAnchor="page" w:x="1495" w:y="416"/>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 51</w:t>
      </w:r>
    </w:p>
    <w:p w14:paraId="093FDE59" w14:textId="77777777" w:rsidR="00FF0CD7" w:rsidRPr="00FE60E2" w:rsidRDefault="00FF0CD7" w:rsidP="00FA2FC4">
      <w:pPr>
        <w:framePr w:w="9642" w:h="1417" w:hSpace="240" w:vSpace="120" w:wrap="auto" w:vAnchor="text" w:hAnchor="page" w:x="1495" w:y="416"/>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52"/>
          <w:szCs w:val="52"/>
        </w:rPr>
      </w:pPr>
      <w:r w:rsidRPr="00FE60E2">
        <w:rPr>
          <w:b/>
          <w:spacing w:val="-7"/>
          <w:sz w:val="52"/>
          <w:szCs w:val="52"/>
        </w:rPr>
        <w:t>Ne bis in idem</w:t>
      </w:r>
    </w:p>
    <w:p w14:paraId="7241BD38" w14:textId="77777777" w:rsidR="00FF0CD7" w:rsidRDefault="00FF0CD7" w:rsidP="00FF0CD7">
      <w:pPr>
        <w:pStyle w:val="Beschriftung"/>
        <w:framePr w:w="9642" w:h="1417" w:hSpace="240" w:vSpace="120" w:wrap="auto" w:vAnchor="text" w:hAnchor="page" w:x="1495" w:y="416"/>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Pr>
          <w:rFonts w:ascii="Times New Roman" w:hAnsi="Times New Roman"/>
          <w:vanish/>
          <w:spacing w:val="-7"/>
          <w:sz w:val="60"/>
        </w:rPr>
        <w:instrText>SEQ Text_Box  \* ARABIC</w:instrText>
      </w:r>
      <w:r>
        <w:rPr>
          <w:rFonts w:ascii="Times New Roman" w:hAnsi="Times New Roman"/>
          <w:vanish/>
          <w:spacing w:val="-7"/>
          <w:sz w:val="60"/>
        </w:rPr>
        <w:fldChar w:fldCharType="separate"/>
      </w:r>
      <w:r w:rsidR="002E4EBE">
        <w:rPr>
          <w:rFonts w:ascii="Times New Roman" w:hAnsi="Times New Roman"/>
          <w:noProof/>
          <w:vanish/>
          <w:spacing w:val="-7"/>
          <w:sz w:val="60"/>
        </w:rPr>
        <w:t>1</w:t>
      </w:r>
      <w:r>
        <w:rPr>
          <w:rFonts w:ascii="Times New Roman" w:hAnsi="Times New Roman"/>
          <w:vanish/>
          <w:spacing w:val="-7"/>
          <w:sz w:val="60"/>
        </w:rPr>
        <w:fldChar w:fldCharType="end"/>
      </w:r>
    </w:p>
    <w:p w14:paraId="5F04F2B8" w14:textId="251757F3" w:rsidR="00086198" w:rsidRDefault="00086198">
      <w:pPr>
        <w:tabs>
          <w:tab w:val="right" w:pos="10206"/>
        </w:tabs>
        <w:jc w:val="both"/>
        <w:rPr>
          <w:b/>
          <w:spacing w:val="-3"/>
        </w:rPr>
      </w:pPr>
      <w:r>
        <w:rPr>
          <w:b/>
          <w:spacing w:val="-3"/>
        </w:rPr>
        <w:t xml:space="preserve">Prof. Dr. </w:t>
      </w:r>
      <w:r w:rsidR="0067027F">
        <w:rPr>
          <w:b/>
          <w:spacing w:val="-3"/>
        </w:rPr>
        <w:t xml:space="preserve">Dr. h.c. </w:t>
      </w:r>
      <w:r>
        <w:rPr>
          <w:b/>
          <w:spacing w:val="-3"/>
        </w:rPr>
        <w:t>Bernd Heinrich/</w:t>
      </w:r>
      <w:r w:rsidR="0075182F">
        <w:rPr>
          <w:b/>
          <w:spacing w:val="-3"/>
        </w:rPr>
        <w:t>Prof</w:t>
      </w:r>
      <w:r w:rsidR="00982BB2">
        <w:rPr>
          <w:b/>
          <w:spacing w:val="-3"/>
        </w:rPr>
        <w:t xml:space="preserve">. </w:t>
      </w:r>
      <w:r>
        <w:rPr>
          <w:b/>
          <w:spacing w:val="-3"/>
        </w:rPr>
        <w:t>Dr. Tobias Reinbacher</w:t>
      </w:r>
      <w:r>
        <w:rPr>
          <w:b/>
          <w:spacing w:val="-3"/>
        </w:rPr>
        <w:tab/>
        <w:t xml:space="preserve">Stand: 1. </w:t>
      </w:r>
      <w:r w:rsidR="00A0379A">
        <w:rPr>
          <w:b/>
          <w:spacing w:val="-3"/>
        </w:rPr>
        <w:t>Oktober</w:t>
      </w:r>
      <w:r w:rsidR="00C60C5B">
        <w:rPr>
          <w:b/>
          <w:spacing w:val="-3"/>
        </w:rPr>
        <w:t xml:space="preserve"> </w:t>
      </w:r>
      <w:r w:rsidR="006800AF">
        <w:rPr>
          <w:b/>
          <w:spacing w:val="-3"/>
        </w:rPr>
        <w:t>202</w:t>
      </w:r>
      <w:r w:rsidR="006823F4">
        <w:rPr>
          <w:b/>
          <w:spacing w:val="-3"/>
        </w:rPr>
        <w:t>4</w:t>
      </w:r>
    </w:p>
    <w:p w14:paraId="5BE073E7" w14:textId="77777777" w:rsidR="00086198" w:rsidRPr="00EA0A2A" w:rsidRDefault="00086198" w:rsidP="00086198">
      <w:pPr>
        <w:widowControl/>
        <w:tabs>
          <w:tab w:val="left" w:pos="0"/>
          <w:tab w:val="left" w:pos="567"/>
          <w:tab w:val="left" w:pos="864"/>
          <w:tab w:val="left" w:pos="1418"/>
          <w:tab w:val="left" w:pos="1985"/>
          <w:tab w:val="left" w:pos="2127"/>
          <w:tab w:val="left" w:pos="2268"/>
          <w:tab w:val="left" w:pos="2880"/>
        </w:tabs>
        <w:jc w:val="both"/>
        <w:rPr>
          <w:rFonts w:ascii="Times New Roman" w:hAnsi="Times New Roman"/>
          <w:b/>
          <w:spacing w:val="-2"/>
          <w:sz w:val="18"/>
          <w:szCs w:val="18"/>
        </w:rPr>
      </w:pPr>
    </w:p>
    <w:p w14:paraId="4CCB56CF" w14:textId="42AB1437" w:rsidR="00086198" w:rsidRPr="00AB7276" w:rsidRDefault="00086198" w:rsidP="00086198">
      <w:pPr>
        <w:widowControl/>
        <w:tabs>
          <w:tab w:val="left" w:pos="-720"/>
          <w:tab w:val="left" w:pos="567"/>
          <w:tab w:val="left" w:pos="864"/>
          <w:tab w:val="left" w:pos="1116"/>
          <w:tab w:val="left" w:pos="1404"/>
          <w:tab w:val="left" w:pos="1692"/>
          <w:tab w:val="left" w:pos="1980"/>
          <w:tab w:val="left" w:pos="2268"/>
          <w:tab w:val="left" w:pos="2880"/>
        </w:tabs>
        <w:ind w:left="426" w:right="-93" w:hanging="426"/>
        <w:jc w:val="both"/>
        <w:rPr>
          <w:rFonts w:ascii="Times New Roman" w:hAnsi="Times New Roman"/>
          <w:spacing w:val="-2"/>
          <w:sz w:val="20"/>
          <w:szCs w:val="20"/>
        </w:rPr>
      </w:pPr>
      <w:r w:rsidRPr="00AB7276">
        <w:rPr>
          <w:rFonts w:ascii="Times New Roman" w:hAnsi="Times New Roman"/>
          <w:b/>
          <w:spacing w:val="-2"/>
          <w:sz w:val="20"/>
          <w:szCs w:val="20"/>
        </w:rPr>
        <w:t>I.</w:t>
      </w:r>
      <w:r w:rsidRPr="00AB7276">
        <w:rPr>
          <w:rFonts w:ascii="Times New Roman" w:hAnsi="Times New Roman"/>
          <w:b/>
          <w:spacing w:val="-2"/>
          <w:sz w:val="20"/>
          <w:szCs w:val="20"/>
        </w:rPr>
        <w:tab/>
        <w:t>Allgemeines:</w:t>
      </w:r>
      <w:r w:rsidRPr="00AB7276">
        <w:rPr>
          <w:rFonts w:ascii="Times New Roman" w:hAnsi="Times New Roman"/>
          <w:spacing w:val="-2"/>
          <w:sz w:val="20"/>
          <w:szCs w:val="20"/>
        </w:rPr>
        <w:t xml:space="preserve"> Schon im älteren römischen Prozessrecht war der Grundsatz „ne bis in idem“ (lat., „nicht zweimal wegen derselben Tat“) anerkannt, welcher besagt, dass die </w:t>
      </w:r>
      <w:r w:rsidR="006823F4">
        <w:rPr>
          <w:rFonts w:ascii="Times New Roman" w:hAnsi="Times New Roman"/>
          <w:spacing w:val="-2"/>
          <w:sz w:val="20"/>
          <w:szCs w:val="20"/>
        </w:rPr>
        <w:t xml:space="preserve">wiederholte </w:t>
      </w:r>
      <w:r w:rsidRPr="00AB7276">
        <w:rPr>
          <w:rFonts w:ascii="Times New Roman" w:hAnsi="Times New Roman"/>
          <w:spacing w:val="-2"/>
          <w:sz w:val="20"/>
          <w:szCs w:val="20"/>
        </w:rPr>
        <w:t>Verfolgung des Täters wegen derselben Tat ausgeschlossen ist. Heute verbietet Art.</w:t>
      </w:r>
      <w:r w:rsidR="006823F4">
        <w:rPr>
          <w:rFonts w:ascii="Times New Roman" w:hAnsi="Times New Roman"/>
          <w:spacing w:val="-2"/>
          <w:sz w:val="20"/>
          <w:szCs w:val="20"/>
        </w:rPr>
        <w:t> </w:t>
      </w:r>
      <w:r w:rsidRPr="00AB7276">
        <w:rPr>
          <w:rFonts w:ascii="Times New Roman" w:hAnsi="Times New Roman"/>
          <w:spacing w:val="-2"/>
          <w:sz w:val="20"/>
          <w:szCs w:val="20"/>
        </w:rPr>
        <w:t xml:space="preserve">103 </w:t>
      </w:r>
      <w:r w:rsidR="00942BD7" w:rsidRPr="00AB7276">
        <w:rPr>
          <w:rFonts w:ascii="Times New Roman" w:hAnsi="Times New Roman"/>
          <w:spacing w:val="-2"/>
          <w:sz w:val="20"/>
          <w:szCs w:val="20"/>
        </w:rPr>
        <w:t>III</w:t>
      </w:r>
      <w:r w:rsidRPr="00AB7276">
        <w:rPr>
          <w:rFonts w:ascii="Times New Roman" w:hAnsi="Times New Roman"/>
          <w:spacing w:val="-2"/>
          <w:sz w:val="20"/>
          <w:szCs w:val="20"/>
        </w:rPr>
        <w:t xml:space="preserve"> GG dem Wortlaut nach nur die Doppel</w:t>
      </w:r>
      <w:r w:rsidRPr="00AB7276">
        <w:rPr>
          <w:rFonts w:ascii="Times New Roman" w:hAnsi="Times New Roman"/>
          <w:i/>
          <w:spacing w:val="-2"/>
          <w:sz w:val="20"/>
          <w:szCs w:val="20"/>
        </w:rPr>
        <w:t>bestrafung</w:t>
      </w:r>
      <w:r w:rsidRPr="00AB7276">
        <w:rPr>
          <w:rFonts w:ascii="Times New Roman" w:hAnsi="Times New Roman"/>
          <w:spacing w:val="-2"/>
          <w:sz w:val="20"/>
          <w:szCs w:val="20"/>
        </w:rPr>
        <w:t xml:space="preserve">, jedoch muss dies für jede rechtskräftige Entscheidung, also auch einen Freispruch, gelten, da dem Betroffenen die doppelte Belastung durch ein Verfahren erspart werden soll. Daraus folgt das Verfahrenshindernis des </w:t>
      </w:r>
      <w:r w:rsidR="00C60C5B" w:rsidRPr="00AB7276">
        <w:rPr>
          <w:rFonts w:ascii="Times New Roman" w:hAnsi="Times New Roman"/>
          <w:b/>
          <w:spacing w:val="-2"/>
          <w:sz w:val="20"/>
          <w:szCs w:val="20"/>
        </w:rPr>
        <w:t>Strafklageverbrauchs</w:t>
      </w:r>
      <w:r w:rsidR="003B3E7D" w:rsidRPr="00AB7276">
        <w:rPr>
          <w:rFonts w:ascii="Times New Roman" w:hAnsi="Times New Roman"/>
          <w:spacing w:val="-2"/>
          <w:sz w:val="20"/>
          <w:szCs w:val="20"/>
        </w:rPr>
        <w:t xml:space="preserve"> (</w:t>
      </w:r>
      <w:r w:rsidRPr="00AB7276">
        <w:rPr>
          <w:rFonts w:ascii="Times New Roman" w:hAnsi="Times New Roman"/>
          <w:spacing w:val="-2"/>
          <w:sz w:val="20"/>
          <w:szCs w:val="20"/>
        </w:rPr>
        <w:t>sog. Sperrwirkung</w:t>
      </w:r>
      <w:r w:rsidR="003B3E7D" w:rsidRPr="00AB7276">
        <w:rPr>
          <w:rFonts w:ascii="Times New Roman" w:hAnsi="Times New Roman"/>
          <w:spacing w:val="-2"/>
          <w:sz w:val="20"/>
          <w:szCs w:val="20"/>
        </w:rPr>
        <w:t>)</w:t>
      </w:r>
      <w:r w:rsidRPr="00AB7276">
        <w:rPr>
          <w:rFonts w:ascii="Times New Roman" w:hAnsi="Times New Roman"/>
          <w:spacing w:val="-2"/>
          <w:sz w:val="20"/>
          <w:szCs w:val="20"/>
        </w:rPr>
        <w:t>, das in allen Instanzen von Amts wegen zu beachten ist.</w:t>
      </w:r>
    </w:p>
    <w:p w14:paraId="2FCE20A3" w14:textId="77777777" w:rsidR="00086198" w:rsidRPr="00AB7276" w:rsidRDefault="00086198" w:rsidP="00086198">
      <w:pPr>
        <w:widowControl/>
        <w:tabs>
          <w:tab w:val="left" w:pos="-720"/>
          <w:tab w:val="left" w:pos="567"/>
          <w:tab w:val="left" w:pos="864"/>
          <w:tab w:val="left" w:pos="1116"/>
          <w:tab w:val="left" w:pos="1404"/>
          <w:tab w:val="left" w:pos="1692"/>
          <w:tab w:val="left" w:pos="1980"/>
          <w:tab w:val="left" w:pos="2268"/>
          <w:tab w:val="left" w:pos="2880"/>
        </w:tabs>
        <w:spacing w:before="120"/>
        <w:ind w:left="426" w:right="-93" w:hanging="426"/>
        <w:jc w:val="both"/>
        <w:rPr>
          <w:rFonts w:ascii="Times New Roman" w:hAnsi="Times New Roman"/>
          <w:spacing w:val="-2"/>
          <w:sz w:val="20"/>
          <w:szCs w:val="20"/>
        </w:rPr>
      </w:pPr>
      <w:r w:rsidRPr="00AB7276">
        <w:rPr>
          <w:rFonts w:ascii="Times New Roman" w:hAnsi="Times New Roman"/>
          <w:b/>
          <w:spacing w:val="-2"/>
          <w:sz w:val="20"/>
          <w:szCs w:val="20"/>
        </w:rPr>
        <w:t>II.</w:t>
      </w:r>
      <w:r w:rsidRPr="00AB7276">
        <w:rPr>
          <w:rFonts w:ascii="Times New Roman" w:hAnsi="Times New Roman"/>
          <w:b/>
          <w:spacing w:val="-2"/>
          <w:sz w:val="20"/>
          <w:szCs w:val="20"/>
        </w:rPr>
        <w:tab/>
        <w:t xml:space="preserve">Begründung: </w:t>
      </w:r>
      <w:r w:rsidRPr="00AB7276">
        <w:rPr>
          <w:rFonts w:ascii="Times New Roman" w:hAnsi="Times New Roman"/>
          <w:spacing w:val="-2"/>
          <w:sz w:val="20"/>
          <w:szCs w:val="20"/>
        </w:rPr>
        <w:t>Die Sperrwirkung findet ihre Rechtfertigung im Gedanken der materiellen Gerechtigkeit und der Verhältnismäßigkeit. Es ist anerkannt, dass die individuelle Schuld durch die Strafe getilgt wird. Eine erneute Verfolgung eines Freigesprochenen wäre zudem mit dem Gebot der Rechtssicherheit nicht vereinbar.</w:t>
      </w:r>
    </w:p>
    <w:p w14:paraId="11C6D41A" w14:textId="1E88C7F2" w:rsidR="00086198" w:rsidRPr="00AB7276" w:rsidRDefault="00086198" w:rsidP="00086198">
      <w:pPr>
        <w:widowControl/>
        <w:tabs>
          <w:tab w:val="left" w:pos="-720"/>
          <w:tab w:val="left" w:pos="288"/>
          <w:tab w:val="left" w:pos="567"/>
          <w:tab w:val="left" w:pos="864"/>
          <w:tab w:val="left" w:pos="1116"/>
          <w:tab w:val="left" w:pos="1404"/>
          <w:tab w:val="left" w:pos="1692"/>
          <w:tab w:val="left" w:pos="1980"/>
          <w:tab w:val="left" w:pos="2268"/>
          <w:tab w:val="left" w:pos="2880"/>
        </w:tabs>
        <w:spacing w:before="120"/>
        <w:ind w:left="426" w:right="-93" w:hanging="426"/>
        <w:jc w:val="both"/>
        <w:rPr>
          <w:rFonts w:ascii="Times New Roman" w:hAnsi="Times New Roman"/>
          <w:spacing w:val="-2"/>
          <w:sz w:val="20"/>
          <w:szCs w:val="20"/>
        </w:rPr>
      </w:pPr>
      <w:r w:rsidRPr="00AB7276">
        <w:rPr>
          <w:rFonts w:ascii="Times New Roman" w:hAnsi="Times New Roman"/>
          <w:b/>
          <w:spacing w:val="-2"/>
          <w:sz w:val="20"/>
          <w:szCs w:val="20"/>
        </w:rPr>
        <w:t>III.</w:t>
      </w:r>
      <w:r w:rsidRPr="00AB7276">
        <w:rPr>
          <w:rFonts w:ascii="Times New Roman" w:hAnsi="Times New Roman"/>
          <w:b/>
          <w:spacing w:val="-2"/>
          <w:sz w:val="20"/>
          <w:szCs w:val="20"/>
        </w:rPr>
        <w:tab/>
      </w:r>
      <w:r w:rsidR="0067027F">
        <w:rPr>
          <w:rFonts w:ascii="Times New Roman" w:hAnsi="Times New Roman"/>
          <w:b/>
          <w:spacing w:val="-2"/>
          <w:sz w:val="20"/>
          <w:szCs w:val="20"/>
        </w:rPr>
        <w:t xml:space="preserve">   </w:t>
      </w:r>
      <w:r w:rsidRPr="00AB7276">
        <w:rPr>
          <w:rFonts w:ascii="Times New Roman" w:hAnsi="Times New Roman"/>
          <w:b/>
          <w:spacing w:val="-2"/>
          <w:sz w:val="20"/>
          <w:szCs w:val="20"/>
        </w:rPr>
        <w:t xml:space="preserve">Tatbegriff: </w:t>
      </w:r>
      <w:r w:rsidRPr="00AB7276">
        <w:rPr>
          <w:rFonts w:ascii="Times New Roman" w:hAnsi="Times New Roman"/>
          <w:spacing w:val="-2"/>
          <w:sz w:val="20"/>
          <w:szCs w:val="20"/>
        </w:rPr>
        <w:t>Es muss sich um eine</w:t>
      </w:r>
      <w:r w:rsidRPr="00AB7276">
        <w:rPr>
          <w:rFonts w:ascii="Times New Roman" w:hAnsi="Times New Roman"/>
          <w:b/>
          <w:spacing w:val="-2"/>
          <w:sz w:val="20"/>
          <w:szCs w:val="20"/>
        </w:rPr>
        <w:t xml:space="preserve"> Tat im prozessualen Sinne </w:t>
      </w:r>
      <w:r w:rsidRPr="00AB7276">
        <w:rPr>
          <w:rFonts w:ascii="Times New Roman" w:hAnsi="Times New Roman"/>
          <w:spacing w:val="-2"/>
          <w:sz w:val="20"/>
          <w:szCs w:val="20"/>
        </w:rPr>
        <w:t>handeln.</w:t>
      </w:r>
      <w:r w:rsidRPr="00AB7276">
        <w:rPr>
          <w:rFonts w:ascii="Times New Roman" w:hAnsi="Times New Roman"/>
          <w:b/>
          <w:spacing w:val="-2"/>
          <w:sz w:val="20"/>
          <w:szCs w:val="20"/>
        </w:rPr>
        <w:t xml:space="preserve"> </w:t>
      </w:r>
      <w:r w:rsidRPr="00AB7276">
        <w:rPr>
          <w:rFonts w:ascii="Times New Roman" w:hAnsi="Times New Roman"/>
          <w:spacing w:val="-2"/>
          <w:sz w:val="20"/>
          <w:szCs w:val="20"/>
        </w:rPr>
        <w:t xml:space="preserve">Darunter fällt </w:t>
      </w:r>
      <w:r w:rsidRPr="00AB7276">
        <w:rPr>
          <w:rFonts w:ascii="Times New Roman" w:hAnsi="Times New Roman"/>
          <w:b/>
          <w:spacing w:val="-2"/>
          <w:sz w:val="20"/>
          <w:szCs w:val="20"/>
        </w:rPr>
        <w:t>das gesamte Verhalten des Beschuldigten</w:t>
      </w:r>
      <w:r w:rsidRPr="00AB7276">
        <w:rPr>
          <w:rFonts w:ascii="Times New Roman" w:hAnsi="Times New Roman"/>
          <w:spacing w:val="-2"/>
          <w:sz w:val="20"/>
          <w:szCs w:val="20"/>
        </w:rPr>
        <w:t xml:space="preserve">, soweit es mit dem durch die Strafverfolgungsorgane bezeichneten </w:t>
      </w:r>
      <w:r w:rsidRPr="00AB7276">
        <w:rPr>
          <w:rFonts w:ascii="Times New Roman" w:hAnsi="Times New Roman"/>
          <w:b/>
          <w:spacing w:val="-2"/>
          <w:sz w:val="20"/>
          <w:szCs w:val="20"/>
        </w:rPr>
        <w:t>geschichtlichen Vorkommnis nach der Auffassung des Lebens einen einheitlichen Vorgang</w:t>
      </w:r>
      <w:r w:rsidRPr="00AB7276">
        <w:rPr>
          <w:rFonts w:ascii="Times New Roman" w:hAnsi="Times New Roman"/>
          <w:spacing w:val="-2"/>
          <w:sz w:val="20"/>
          <w:szCs w:val="20"/>
        </w:rPr>
        <w:t xml:space="preserve"> bildet. Zur Bestimmung eines solchen einheitlichen geschichtlichen Vorgangs sind folgende Kriterien entscheidend: Tatort, Tatzeit, Tatobjekt und Angriffsrichtung. Dieser Tatbegriff ist </w:t>
      </w:r>
      <w:r w:rsidRPr="00AB7276">
        <w:rPr>
          <w:rFonts w:ascii="Times New Roman" w:hAnsi="Times New Roman"/>
          <w:b/>
          <w:spacing w:val="-2"/>
          <w:sz w:val="20"/>
          <w:szCs w:val="20"/>
        </w:rPr>
        <w:t>nicht</w:t>
      </w:r>
      <w:r w:rsidRPr="00AB7276">
        <w:rPr>
          <w:rFonts w:ascii="Times New Roman" w:hAnsi="Times New Roman"/>
          <w:spacing w:val="-2"/>
          <w:sz w:val="20"/>
          <w:szCs w:val="20"/>
        </w:rPr>
        <w:t xml:space="preserve"> identisch mit dem Begriff der Tat im materiellen Sinne, der im Rahmen der Konkurrenzen (§§</w:t>
      </w:r>
      <w:r w:rsidR="006823F4">
        <w:rPr>
          <w:rFonts w:ascii="Times New Roman" w:hAnsi="Times New Roman"/>
          <w:spacing w:val="-2"/>
          <w:sz w:val="20"/>
          <w:szCs w:val="20"/>
        </w:rPr>
        <w:t> </w:t>
      </w:r>
      <w:r w:rsidRPr="00AB7276">
        <w:rPr>
          <w:rFonts w:ascii="Times New Roman" w:hAnsi="Times New Roman"/>
          <w:spacing w:val="-2"/>
          <w:sz w:val="20"/>
          <w:szCs w:val="20"/>
        </w:rPr>
        <w:t xml:space="preserve">52, 53 StGB) von Bedeutung ist. Insofern kann der Tatbegriff im prozessualen Sinne als der umfassendere Begriff bezeichnet werden. Der Tatbegriff bestimmt nicht nur den Prozessgegenstand, sondern auch den Umfang der materiellen </w:t>
      </w:r>
      <w:r w:rsidRPr="00AB7276">
        <w:rPr>
          <w:rFonts w:ascii="Times New Roman" w:hAnsi="Times New Roman"/>
          <w:b/>
          <w:spacing w:val="-2"/>
          <w:sz w:val="20"/>
          <w:szCs w:val="20"/>
        </w:rPr>
        <w:t xml:space="preserve">Rechtskraft </w:t>
      </w:r>
      <w:r w:rsidRPr="00AB7276">
        <w:rPr>
          <w:rFonts w:ascii="Times New Roman" w:hAnsi="Times New Roman"/>
          <w:spacing w:val="-2"/>
          <w:sz w:val="20"/>
          <w:szCs w:val="20"/>
        </w:rPr>
        <w:t>eines Urteils.</w:t>
      </w:r>
    </w:p>
    <w:p w14:paraId="13C3967B" w14:textId="2498A180" w:rsidR="00086198" w:rsidRPr="00AB7276" w:rsidRDefault="00086198" w:rsidP="00086198">
      <w:pPr>
        <w:widowControl/>
        <w:tabs>
          <w:tab w:val="left" w:pos="-720"/>
          <w:tab w:val="left" w:pos="288"/>
          <w:tab w:val="left" w:pos="567"/>
          <w:tab w:val="left" w:pos="864"/>
          <w:tab w:val="left" w:pos="1116"/>
          <w:tab w:val="left" w:pos="1404"/>
          <w:tab w:val="left" w:pos="1692"/>
          <w:tab w:val="left" w:pos="1980"/>
          <w:tab w:val="left" w:pos="2268"/>
          <w:tab w:val="left" w:pos="2880"/>
        </w:tabs>
        <w:spacing w:before="120"/>
        <w:ind w:left="426" w:right="-93" w:hanging="426"/>
        <w:jc w:val="both"/>
        <w:rPr>
          <w:rFonts w:ascii="Times New Roman" w:hAnsi="Times New Roman"/>
          <w:spacing w:val="-2"/>
          <w:sz w:val="20"/>
          <w:szCs w:val="20"/>
        </w:rPr>
      </w:pPr>
      <w:r w:rsidRPr="00AB7276">
        <w:rPr>
          <w:rFonts w:ascii="Times New Roman" w:hAnsi="Times New Roman"/>
          <w:b/>
          <w:spacing w:val="-4"/>
          <w:sz w:val="20"/>
          <w:szCs w:val="20"/>
        </w:rPr>
        <w:t>IV.</w:t>
      </w:r>
      <w:r w:rsidRPr="00AB7276">
        <w:rPr>
          <w:rFonts w:ascii="Times New Roman" w:hAnsi="Times New Roman"/>
          <w:b/>
          <w:spacing w:val="-2"/>
          <w:sz w:val="20"/>
          <w:szCs w:val="20"/>
        </w:rPr>
        <w:tab/>
      </w:r>
      <w:r w:rsidRPr="00AB7276">
        <w:rPr>
          <w:rFonts w:ascii="Times New Roman" w:hAnsi="Times New Roman"/>
          <w:b/>
          <w:spacing w:val="-2"/>
          <w:sz w:val="20"/>
          <w:szCs w:val="20"/>
        </w:rPr>
        <w:tab/>
        <w:t xml:space="preserve">Durchbrechung des Grundsatzes: </w:t>
      </w:r>
      <w:r w:rsidRPr="00AB7276">
        <w:rPr>
          <w:rFonts w:ascii="Times New Roman" w:hAnsi="Times New Roman"/>
          <w:spacing w:val="-2"/>
          <w:sz w:val="20"/>
          <w:szCs w:val="20"/>
        </w:rPr>
        <w:t xml:space="preserve">Die Möglichkeit der </w:t>
      </w:r>
      <w:r w:rsidRPr="00AB7276">
        <w:rPr>
          <w:rFonts w:ascii="Times New Roman" w:hAnsi="Times New Roman"/>
          <w:b/>
          <w:spacing w:val="-2"/>
          <w:sz w:val="20"/>
          <w:szCs w:val="20"/>
        </w:rPr>
        <w:t>Wiederaufnahme</w:t>
      </w:r>
      <w:r w:rsidRPr="00AB7276">
        <w:rPr>
          <w:rFonts w:ascii="Times New Roman" w:hAnsi="Times New Roman"/>
          <w:spacing w:val="-2"/>
          <w:sz w:val="20"/>
          <w:szCs w:val="20"/>
        </w:rPr>
        <w:t xml:space="preserve"> des Verfahrens (siehe dazu Arbeitsblatt Nr. 50) durchbricht jedoch diesen Grundsatz, welche allerdings nur in den engen Grenzen des §</w:t>
      </w:r>
      <w:r w:rsidR="006823F4">
        <w:rPr>
          <w:rFonts w:ascii="Times New Roman" w:hAnsi="Times New Roman"/>
          <w:spacing w:val="-2"/>
          <w:sz w:val="20"/>
          <w:szCs w:val="20"/>
        </w:rPr>
        <w:t> </w:t>
      </w:r>
      <w:r w:rsidRPr="00AB7276">
        <w:rPr>
          <w:rFonts w:ascii="Times New Roman" w:hAnsi="Times New Roman"/>
          <w:spacing w:val="-2"/>
          <w:sz w:val="20"/>
          <w:szCs w:val="20"/>
        </w:rPr>
        <w:t>362 StPO zu Lasten des Angeklagten möglich ist.</w:t>
      </w:r>
    </w:p>
    <w:p w14:paraId="5170A687" w14:textId="77777777" w:rsidR="00086198" w:rsidRPr="00AB7276" w:rsidRDefault="00086198" w:rsidP="00086198">
      <w:pPr>
        <w:widowControl/>
        <w:tabs>
          <w:tab w:val="left" w:pos="-720"/>
          <w:tab w:val="left" w:pos="567"/>
          <w:tab w:val="left" w:pos="864"/>
          <w:tab w:val="left" w:pos="1116"/>
          <w:tab w:val="left" w:pos="1404"/>
          <w:tab w:val="left" w:pos="1692"/>
          <w:tab w:val="left" w:pos="1980"/>
          <w:tab w:val="left" w:pos="2268"/>
          <w:tab w:val="left" w:pos="2880"/>
        </w:tabs>
        <w:spacing w:before="120"/>
        <w:ind w:left="426" w:right="-93" w:hanging="426"/>
        <w:jc w:val="both"/>
        <w:rPr>
          <w:rFonts w:ascii="Times New Roman" w:hAnsi="Times New Roman"/>
          <w:spacing w:val="-2"/>
          <w:sz w:val="20"/>
          <w:szCs w:val="20"/>
        </w:rPr>
      </w:pPr>
      <w:r w:rsidRPr="00AB7276">
        <w:rPr>
          <w:rFonts w:ascii="Times New Roman" w:hAnsi="Times New Roman"/>
          <w:b/>
          <w:spacing w:val="-2"/>
          <w:sz w:val="20"/>
          <w:szCs w:val="20"/>
        </w:rPr>
        <w:t xml:space="preserve">V. </w:t>
      </w:r>
      <w:r w:rsidRPr="00AB7276">
        <w:rPr>
          <w:rFonts w:ascii="Times New Roman" w:hAnsi="Times New Roman"/>
          <w:b/>
          <w:spacing w:val="-2"/>
          <w:sz w:val="20"/>
          <w:szCs w:val="20"/>
        </w:rPr>
        <w:tab/>
        <w:t>Ausländische Gerichtsurteile:</w:t>
      </w:r>
      <w:r w:rsidR="00567B01" w:rsidRPr="00AB7276">
        <w:rPr>
          <w:rFonts w:ascii="Times New Roman" w:hAnsi="Times New Roman"/>
          <w:b/>
          <w:spacing w:val="-2"/>
          <w:sz w:val="20"/>
          <w:szCs w:val="20"/>
        </w:rPr>
        <w:t xml:space="preserve"> </w:t>
      </w:r>
      <w:r w:rsidRPr="00AB7276">
        <w:rPr>
          <w:rFonts w:ascii="Times New Roman" w:hAnsi="Times New Roman"/>
          <w:spacing w:val="-2"/>
          <w:sz w:val="20"/>
          <w:szCs w:val="20"/>
        </w:rPr>
        <w:t xml:space="preserve">Auch wenn der Grundsatz „ne bis in idem“ zu den allgemeinen Regeln des Völkerrechts gehört, verhindert er </w:t>
      </w:r>
      <w:proofErr w:type="spellStart"/>
      <w:r w:rsidRPr="00AB7276">
        <w:rPr>
          <w:rFonts w:ascii="Times New Roman" w:hAnsi="Times New Roman"/>
          <w:spacing w:val="-2"/>
          <w:sz w:val="20"/>
          <w:szCs w:val="20"/>
        </w:rPr>
        <w:t>grds</w:t>
      </w:r>
      <w:proofErr w:type="spellEnd"/>
      <w:r w:rsidRPr="00AB7276">
        <w:rPr>
          <w:rFonts w:ascii="Times New Roman" w:hAnsi="Times New Roman"/>
          <w:spacing w:val="-2"/>
          <w:sz w:val="20"/>
          <w:szCs w:val="20"/>
        </w:rPr>
        <w:t xml:space="preserve">. nur die Doppelbestrafung </w:t>
      </w:r>
      <w:r w:rsidRPr="00AB7276">
        <w:rPr>
          <w:rFonts w:ascii="Times New Roman" w:hAnsi="Times New Roman"/>
          <w:b/>
          <w:spacing w:val="-2"/>
          <w:sz w:val="20"/>
          <w:szCs w:val="20"/>
        </w:rPr>
        <w:t>im selben Staat</w:t>
      </w:r>
      <w:r w:rsidRPr="00AB7276">
        <w:rPr>
          <w:rFonts w:ascii="Times New Roman" w:hAnsi="Times New Roman"/>
          <w:spacing w:val="-2"/>
          <w:sz w:val="20"/>
          <w:szCs w:val="20"/>
        </w:rPr>
        <w:t>. Aufgrund der zunehmenden Bedeutung des Internationalen Strafrechts werden die durch zwischenstaatliche Vereinbarungen getroffenen Ausnahmen immer wichtiger und häufiger.</w:t>
      </w:r>
    </w:p>
    <w:p w14:paraId="69B16B92" w14:textId="0E7861FA" w:rsidR="00086198" w:rsidRPr="00AB7276" w:rsidRDefault="00086198" w:rsidP="00086198">
      <w:pPr>
        <w:widowControl/>
        <w:tabs>
          <w:tab w:val="left" w:pos="-720"/>
          <w:tab w:val="left" w:pos="851"/>
          <w:tab w:val="left" w:pos="1116"/>
          <w:tab w:val="left" w:pos="1404"/>
          <w:tab w:val="left" w:pos="1692"/>
          <w:tab w:val="left" w:pos="1980"/>
          <w:tab w:val="left" w:pos="2268"/>
          <w:tab w:val="left" w:pos="2880"/>
        </w:tabs>
        <w:ind w:left="851" w:right="-93" w:hanging="425"/>
        <w:jc w:val="both"/>
        <w:rPr>
          <w:rFonts w:ascii="Times New Roman" w:hAnsi="Times New Roman"/>
          <w:spacing w:val="-2"/>
          <w:sz w:val="20"/>
          <w:szCs w:val="20"/>
          <w:lang w:bidi="de-DE"/>
        </w:rPr>
      </w:pPr>
      <w:r w:rsidRPr="00AB7276">
        <w:rPr>
          <w:rFonts w:ascii="Times New Roman" w:hAnsi="Times New Roman"/>
          <w:spacing w:val="-2"/>
          <w:sz w:val="20"/>
          <w:szCs w:val="20"/>
          <w:u w:val="single"/>
        </w:rPr>
        <w:t xml:space="preserve">1. </w:t>
      </w:r>
      <w:r w:rsidRPr="00AB7276">
        <w:rPr>
          <w:rFonts w:ascii="Times New Roman" w:hAnsi="Times New Roman"/>
          <w:spacing w:val="-2"/>
          <w:sz w:val="20"/>
          <w:szCs w:val="20"/>
          <w:u w:val="single"/>
        </w:rPr>
        <w:tab/>
        <w:t>Art.</w:t>
      </w:r>
      <w:r w:rsidR="006823F4">
        <w:rPr>
          <w:rFonts w:ascii="Times New Roman" w:hAnsi="Times New Roman"/>
          <w:spacing w:val="-2"/>
          <w:sz w:val="20"/>
          <w:szCs w:val="20"/>
          <w:u w:val="single"/>
        </w:rPr>
        <w:t> </w:t>
      </w:r>
      <w:r w:rsidRPr="00AB7276">
        <w:rPr>
          <w:rFonts w:ascii="Times New Roman" w:hAnsi="Times New Roman"/>
          <w:spacing w:val="-2"/>
          <w:sz w:val="20"/>
          <w:szCs w:val="20"/>
          <w:u w:val="single"/>
        </w:rPr>
        <w:t>54 Schengener Durchführungsübereinkommen:</w:t>
      </w:r>
      <w:r w:rsidRPr="00AB7276">
        <w:rPr>
          <w:rFonts w:ascii="Times New Roman" w:hAnsi="Times New Roman"/>
          <w:spacing w:val="-2"/>
          <w:sz w:val="20"/>
          <w:szCs w:val="20"/>
        </w:rPr>
        <w:t xml:space="preserve"> Danach darf ein Straftäter nicht in einem Vertragsstaat wegen derselben Tat verfolgt werden, </w:t>
      </w:r>
      <w:r w:rsidR="00875C0A" w:rsidRPr="00AB7276">
        <w:rPr>
          <w:rFonts w:ascii="Times New Roman" w:hAnsi="Times New Roman"/>
          <w:spacing w:val="-2"/>
          <w:sz w:val="20"/>
          <w:szCs w:val="20"/>
        </w:rPr>
        <w:t xml:space="preserve">die </w:t>
      </w:r>
      <w:r w:rsidRPr="00AB7276">
        <w:rPr>
          <w:rFonts w:ascii="Times New Roman" w:hAnsi="Times New Roman"/>
          <w:spacing w:val="-2"/>
          <w:sz w:val="20"/>
          <w:szCs w:val="20"/>
        </w:rPr>
        <w:t>in einem anderen Vertragsstaat bereits rechtskräftig</w:t>
      </w:r>
      <w:r w:rsidRPr="00AB7276">
        <w:rPr>
          <w:rFonts w:ascii="Times New Roman" w:hAnsi="Times New Roman"/>
          <w:spacing w:val="-2"/>
          <w:sz w:val="20"/>
          <w:szCs w:val="20"/>
          <w:lang w:bidi="de-DE"/>
        </w:rPr>
        <w:t xml:space="preserve"> abgeurteilt worden ist. Im Fall einer Verurteilung muss die Sanktion bereits vollstreckt worden sein, gerade vollstreckt werden oder nach dem Recht des Urteilsstaats nicht mehr vollstreckt werden können. Auch verfahrensabschließende Entscheidungen der </w:t>
      </w:r>
      <w:proofErr w:type="spellStart"/>
      <w:r w:rsidRPr="00AB7276">
        <w:rPr>
          <w:rFonts w:ascii="Times New Roman" w:hAnsi="Times New Roman"/>
          <w:spacing w:val="-2"/>
          <w:sz w:val="20"/>
          <w:szCs w:val="20"/>
          <w:lang w:bidi="de-DE"/>
        </w:rPr>
        <w:t>StA</w:t>
      </w:r>
      <w:proofErr w:type="spellEnd"/>
      <w:r w:rsidRPr="00AB7276">
        <w:rPr>
          <w:rFonts w:ascii="Times New Roman" w:hAnsi="Times New Roman"/>
          <w:spacing w:val="-2"/>
          <w:sz w:val="20"/>
          <w:szCs w:val="20"/>
          <w:lang w:bidi="de-DE"/>
        </w:rPr>
        <w:t xml:space="preserve"> verbrauchen die Strafklage.</w:t>
      </w:r>
    </w:p>
    <w:p w14:paraId="5678BAC5" w14:textId="3B536952" w:rsidR="00086198" w:rsidRPr="00AB7276" w:rsidRDefault="00086198" w:rsidP="00086198">
      <w:pPr>
        <w:widowControl/>
        <w:tabs>
          <w:tab w:val="left" w:pos="-720"/>
          <w:tab w:val="left" w:pos="851"/>
          <w:tab w:val="left" w:pos="1116"/>
          <w:tab w:val="left" w:pos="1404"/>
          <w:tab w:val="left" w:pos="1692"/>
          <w:tab w:val="left" w:pos="1980"/>
          <w:tab w:val="left" w:pos="2268"/>
          <w:tab w:val="left" w:pos="2880"/>
        </w:tabs>
        <w:ind w:left="851" w:right="-93" w:hanging="425"/>
        <w:jc w:val="both"/>
        <w:rPr>
          <w:rFonts w:ascii="Times New Roman" w:hAnsi="Times New Roman"/>
          <w:spacing w:val="-2"/>
          <w:sz w:val="20"/>
          <w:szCs w:val="20"/>
        </w:rPr>
      </w:pPr>
      <w:r w:rsidRPr="00AB7276">
        <w:rPr>
          <w:rFonts w:ascii="Times New Roman" w:hAnsi="Times New Roman"/>
          <w:spacing w:val="-2"/>
          <w:sz w:val="20"/>
          <w:szCs w:val="20"/>
          <w:u w:val="single"/>
        </w:rPr>
        <w:t xml:space="preserve">2. </w:t>
      </w:r>
      <w:r w:rsidRPr="00AB7276">
        <w:rPr>
          <w:rFonts w:ascii="Times New Roman" w:hAnsi="Times New Roman"/>
          <w:spacing w:val="-2"/>
          <w:sz w:val="20"/>
          <w:szCs w:val="20"/>
          <w:u w:val="single"/>
        </w:rPr>
        <w:tab/>
        <w:t>Art.</w:t>
      </w:r>
      <w:r w:rsidR="006823F4">
        <w:rPr>
          <w:rFonts w:ascii="Times New Roman" w:hAnsi="Times New Roman"/>
          <w:spacing w:val="-2"/>
          <w:sz w:val="20"/>
          <w:szCs w:val="20"/>
          <w:u w:val="single"/>
        </w:rPr>
        <w:t> </w:t>
      </w:r>
      <w:r w:rsidRPr="00AB7276">
        <w:rPr>
          <w:rFonts w:ascii="Times New Roman" w:hAnsi="Times New Roman"/>
          <w:spacing w:val="-2"/>
          <w:sz w:val="20"/>
          <w:szCs w:val="20"/>
          <w:u w:val="single"/>
        </w:rPr>
        <w:t>50 EU-Grundrecht</w:t>
      </w:r>
      <w:r w:rsidR="00DA1E25" w:rsidRPr="00AB7276">
        <w:rPr>
          <w:rFonts w:ascii="Times New Roman" w:hAnsi="Times New Roman"/>
          <w:spacing w:val="-2"/>
          <w:sz w:val="20"/>
          <w:szCs w:val="20"/>
          <w:u w:val="single"/>
        </w:rPr>
        <w:t>e</w:t>
      </w:r>
      <w:r w:rsidRPr="00AB7276">
        <w:rPr>
          <w:rFonts w:ascii="Times New Roman" w:hAnsi="Times New Roman"/>
          <w:spacing w:val="-2"/>
          <w:sz w:val="20"/>
          <w:szCs w:val="20"/>
          <w:u w:val="single"/>
        </w:rPr>
        <w:t>charta:</w:t>
      </w:r>
      <w:r w:rsidRPr="00AB7276">
        <w:rPr>
          <w:rFonts w:ascii="Times New Roman" w:hAnsi="Times New Roman"/>
          <w:spacing w:val="-2"/>
          <w:sz w:val="20"/>
          <w:szCs w:val="20"/>
        </w:rPr>
        <w:t xml:space="preserve"> Auch die EU-Grundrechtscharta sieht vor, dass </w:t>
      </w:r>
      <w:r w:rsidRPr="00AB7276">
        <w:rPr>
          <w:rFonts w:ascii="Times New Roman" w:hAnsi="Times New Roman"/>
          <w:spacing w:val="-2"/>
          <w:sz w:val="20"/>
          <w:szCs w:val="20"/>
          <w:lang w:bidi="de-DE"/>
        </w:rPr>
        <w:t xml:space="preserve">niemand wegen einer Straftat, derentwegen er bereits in der EU nach dem Gesetz rechtskräftig verurteilt oder freigesprochen worden ist, in einem Strafverfahren erneut verfolgt oder bestraft werden darf. Die EU-Grundrechtscharta ist mit dem </w:t>
      </w:r>
      <w:r w:rsidRPr="00AB7276">
        <w:rPr>
          <w:rFonts w:ascii="Times New Roman" w:hAnsi="Times New Roman"/>
          <w:b/>
          <w:spacing w:val="-2"/>
          <w:sz w:val="20"/>
          <w:szCs w:val="20"/>
          <w:lang w:bidi="de-DE"/>
        </w:rPr>
        <w:t>Vertrag von Lissabon</w:t>
      </w:r>
      <w:r w:rsidRPr="00AB7276">
        <w:rPr>
          <w:rFonts w:ascii="Times New Roman" w:hAnsi="Times New Roman"/>
          <w:spacing w:val="-2"/>
          <w:sz w:val="20"/>
          <w:szCs w:val="20"/>
          <w:lang w:bidi="de-DE"/>
        </w:rPr>
        <w:t xml:space="preserve"> gemäß Art. 6 I EUV in Kraft getreten.</w:t>
      </w:r>
    </w:p>
    <w:p w14:paraId="70A205A2" w14:textId="09FC3CCB" w:rsidR="00086198" w:rsidRPr="00AB7276" w:rsidRDefault="00086198" w:rsidP="00086198">
      <w:pPr>
        <w:widowControl/>
        <w:tabs>
          <w:tab w:val="left" w:pos="-720"/>
          <w:tab w:val="left" w:pos="851"/>
          <w:tab w:val="left" w:pos="1116"/>
          <w:tab w:val="left" w:pos="1404"/>
          <w:tab w:val="left" w:pos="1692"/>
          <w:tab w:val="left" w:pos="1980"/>
          <w:tab w:val="left" w:pos="2268"/>
          <w:tab w:val="left" w:pos="2880"/>
        </w:tabs>
        <w:ind w:left="851" w:right="-93" w:hanging="425"/>
        <w:jc w:val="both"/>
        <w:rPr>
          <w:rFonts w:ascii="Times New Roman" w:hAnsi="Times New Roman"/>
          <w:spacing w:val="-2"/>
          <w:sz w:val="20"/>
          <w:szCs w:val="20"/>
        </w:rPr>
      </w:pPr>
      <w:r w:rsidRPr="00AB7276">
        <w:rPr>
          <w:rFonts w:ascii="Times New Roman" w:hAnsi="Times New Roman"/>
          <w:spacing w:val="-2"/>
          <w:sz w:val="20"/>
          <w:szCs w:val="20"/>
          <w:u w:val="single"/>
        </w:rPr>
        <w:t xml:space="preserve">3. </w:t>
      </w:r>
      <w:r w:rsidRPr="00AB7276">
        <w:rPr>
          <w:rFonts w:ascii="Times New Roman" w:hAnsi="Times New Roman"/>
          <w:spacing w:val="-2"/>
          <w:sz w:val="20"/>
          <w:szCs w:val="20"/>
          <w:u w:val="single"/>
        </w:rPr>
        <w:tab/>
        <w:t>Art.</w:t>
      </w:r>
      <w:r w:rsidR="006823F4">
        <w:rPr>
          <w:rFonts w:ascii="Times New Roman" w:hAnsi="Times New Roman"/>
          <w:spacing w:val="-2"/>
          <w:sz w:val="20"/>
          <w:szCs w:val="20"/>
          <w:u w:val="single"/>
        </w:rPr>
        <w:t> </w:t>
      </w:r>
      <w:r w:rsidRPr="00AB7276">
        <w:rPr>
          <w:rFonts w:ascii="Times New Roman" w:hAnsi="Times New Roman"/>
          <w:spacing w:val="-2"/>
          <w:sz w:val="20"/>
          <w:szCs w:val="20"/>
          <w:u w:val="single"/>
        </w:rPr>
        <w:t>VII (8) NATO-Truppenstatut:</w:t>
      </w:r>
      <w:r w:rsidRPr="00AB7276">
        <w:rPr>
          <w:rFonts w:ascii="Times New Roman" w:hAnsi="Times New Roman"/>
          <w:spacing w:val="-2"/>
          <w:sz w:val="20"/>
          <w:szCs w:val="20"/>
        </w:rPr>
        <w:t xml:space="preserve"> Diese Bestimmung bezieht sich auf Straftaten ausländischer Truppenangehöriger und </w:t>
      </w:r>
      <w:r w:rsidRPr="00AB7276">
        <w:rPr>
          <w:rFonts w:ascii="Times New Roman" w:hAnsi="Times New Roman"/>
          <w:spacing w:val="-2"/>
          <w:sz w:val="20"/>
          <w:szCs w:val="20"/>
          <w:lang w:bidi="de-DE"/>
        </w:rPr>
        <w:t>schließt deshalb nicht aus, dass die Militärbehörden des Entsendestaates ein Mitglied der Truppe dieses Staates wegen eines Dienstvergehens belangen, deretwegen von den Behörden einer anderen Vertragspartei ein Strafverfahren gegen dieses Mitglied durchgeführt wurde.</w:t>
      </w:r>
    </w:p>
    <w:p w14:paraId="12BF118A" w14:textId="2CB4EE98" w:rsidR="00086198" w:rsidRPr="00AB7276" w:rsidRDefault="00086198" w:rsidP="000F472F">
      <w:pPr>
        <w:widowControl/>
        <w:tabs>
          <w:tab w:val="left" w:pos="-720"/>
          <w:tab w:val="left" w:pos="864"/>
          <w:tab w:val="left" w:pos="1116"/>
          <w:tab w:val="left" w:pos="1418"/>
          <w:tab w:val="left" w:pos="1692"/>
          <w:tab w:val="left" w:pos="1985"/>
          <w:tab w:val="left" w:pos="2268"/>
          <w:tab w:val="left" w:pos="2880"/>
        </w:tabs>
        <w:ind w:left="851" w:right="-93" w:hanging="425"/>
        <w:jc w:val="both"/>
        <w:rPr>
          <w:rFonts w:ascii="Times New Roman" w:hAnsi="Times New Roman"/>
          <w:b/>
          <w:spacing w:val="-2"/>
          <w:sz w:val="20"/>
          <w:szCs w:val="20"/>
        </w:rPr>
      </w:pPr>
      <w:r w:rsidRPr="00AB7276">
        <w:rPr>
          <w:rFonts w:ascii="Times New Roman" w:hAnsi="Times New Roman"/>
          <w:spacing w:val="-2"/>
          <w:sz w:val="20"/>
          <w:szCs w:val="20"/>
          <w:u w:val="single"/>
        </w:rPr>
        <w:t xml:space="preserve">4. </w:t>
      </w:r>
      <w:r w:rsidRPr="00AB7276">
        <w:rPr>
          <w:rFonts w:ascii="Times New Roman" w:hAnsi="Times New Roman"/>
          <w:spacing w:val="-2"/>
          <w:sz w:val="20"/>
          <w:szCs w:val="20"/>
          <w:u w:val="single"/>
        </w:rPr>
        <w:tab/>
        <w:t>Art.</w:t>
      </w:r>
      <w:r w:rsidR="006823F4">
        <w:rPr>
          <w:rFonts w:ascii="Times New Roman" w:hAnsi="Times New Roman"/>
          <w:spacing w:val="-2"/>
          <w:sz w:val="20"/>
          <w:szCs w:val="20"/>
          <w:u w:val="single"/>
        </w:rPr>
        <w:t> </w:t>
      </w:r>
      <w:r w:rsidRPr="00AB7276">
        <w:rPr>
          <w:rFonts w:ascii="Times New Roman" w:hAnsi="Times New Roman"/>
          <w:spacing w:val="-2"/>
          <w:sz w:val="20"/>
          <w:szCs w:val="20"/>
          <w:u w:val="single"/>
        </w:rPr>
        <w:t>20 IStGH-Statut:</w:t>
      </w:r>
      <w:r w:rsidRPr="00AB7276">
        <w:rPr>
          <w:rFonts w:ascii="Times New Roman" w:hAnsi="Times New Roman"/>
          <w:spacing w:val="-2"/>
          <w:sz w:val="20"/>
          <w:szCs w:val="20"/>
        </w:rPr>
        <w:t xml:space="preserve"> Auch für das Verhältnis des Internationalen Strafgerichtshofes zu anderen Gerichten findet sich eine „ne bis in idem“-Bestimmung.</w:t>
      </w:r>
    </w:p>
    <w:p w14:paraId="47108E02" w14:textId="77777777" w:rsidR="00086198" w:rsidRPr="005B3D8D" w:rsidRDefault="00086198" w:rsidP="005B3D8D">
      <w:pPr>
        <w:widowControl/>
        <w:tabs>
          <w:tab w:val="left" w:pos="0"/>
          <w:tab w:val="left" w:pos="567"/>
          <w:tab w:val="left" w:pos="864"/>
          <w:tab w:val="left" w:pos="1418"/>
          <w:tab w:val="left" w:pos="1985"/>
          <w:tab w:val="left" w:pos="2127"/>
          <w:tab w:val="left" w:pos="2268"/>
          <w:tab w:val="left" w:pos="2880"/>
        </w:tabs>
        <w:ind w:left="1985" w:right="-93" w:hanging="1985"/>
        <w:jc w:val="both"/>
        <w:rPr>
          <w:rFonts w:ascii="Times New Roman" w:hAnsi="Times New Roman"/>
          <w:b/>
          <w:spacing w:val="-2"/>
          <w:sz w:val="15"/>
          <w:szCs w:val="15"/>
        </w:rPr>
      </w:pPr>
    </w:p>
    <w:p w14:paraId="6124C960" w14:textId="7CD7B192" w:rsidR="00086198" w:rsidRPr="00AB7276" w:rsidRDefault="00086198" w:rsidP="005B3D8D">
      <w:pPr>
        <w:widowControl/>
        <w:tabs>
          <w:tab w:val="left" w:pos="0"/>
          <w:tab w:val="left" w:pos="567"/>
          <w:tab w:val="left" w:pos="864"/>
          <w:tab w:val="left" w:pos="1418"/>
          <w:tab w:val="left" w:pos="1985"/>
          <w:tab w:val="left" w:pos="2127"/>
          <w:tab w:val="left" w:pos="2268"/>
          <w:tab w:val="left" w:pos="2880"/>
        </w:tabs>
        <w:spacing w:line="211" w:lineRule="auto"/>
        <w:ind w:left="1985" w:right="-91" w:hanging="1985"/>
        <w:jc w:val="both"/>
        <w:rPr>
          <w:rFonts w:ascii="Times New Roman" w:hAnsi="Times New Roman"/>
          <w:spacing w:val="-2"/>
          <w:sz w:val="16"/>
          <w:szCs w:val="16"/>
        </w:rPr>
      </w:pPr>
      <w:r w:rsidRPr="00AB7276">
        <w:rPr>
          <w:rFonts w:ascii="Times New Roman" w:hAnsi="Times New Roman"/>
          <w:b/>
          <w:spacing w:val="-2"/>
          <w:sz w:val="16"/>
          <w:szCs w:val="16"/>
        </w:rPr>
        <w:t>Literatur/Lehrbücher:</w:t>
      </w:r>
      <w:r w:rsidRPr="00AB7276">
        <w:rPr>
          <w:rFonts w:ascii="Times New Roman" w:hAnsi="Times New Roman"/>
          <w:b/>
          <w:spacing w:val="-2"/>
          <w:sz w:val="16"/>
          <w:szCs w:val="16"/>
        </w:rPr>
        <w:tab/>
      </w:r>
      <w:r w:rsidR="00DA1E25" w:rsidRPr="00AB7276">
        <w:rPr>
          <w:rFonts w:ascii="Times New Roman" w:hAnsi="Times New Roman"/>
          <w:i/>
          <w:spacing w:val="-2"/>
          <w:sz w:val="16"/>
          <w:szCs w:val="16"/>
        </w:rPr>
        <w:t>Heinrich/Reinbacher</w:t>
      </w:r>
      <w:r w:rsidR="00DA1E25" w:rsidRPr="00AB7276">
        <w:rPr>
          <w:rFonts w:ascii="Times New Roman" w:hAnsi="Times New Roman"/>
          <w:spacing w:val="-2"/>
          <w:sz w:val="16"/>
          <w:szCs w:val="16"/>
        </w:rPr>
        <w:t>, Examinatorium Strafprozessrecht</w:t>
      </w:r>
      <w:r w:rsidR="00BF1DA2" w:rsidRPr="00AB7276">
        <w:rPr>
          <w:rFonts w:ascii="Times New Roman" w:hAnsi="Times New Roman"/>
          <w:spacing w:val="-2"/>
          <w:sz w:val="16"/>
          <w:szCs w:val="16"/>
        </w:rPr>
        <w:t xml:space="preserve">, </w:t>
      </w:r>
      <w:r w:rsidR="00EF090D" w:rsidRPr="00AB7276">
        <w:rPr>
          <w:rFonts w:ascii="Times New Roman" w:hAnsi="Times New Roman"/>
          <w:spacing w:val="-2"/>
          <w:sz w:val="16"/>
          <w:szCs w:val="16"/>
        </w:rPr>
        <w:t>4</w:t>
      </w:r>
      <w:r w:rsidR="00BF1DA2" w:rsidRPr="00AB7276">
        <w:rPr>
          <w:rFonts w:ascii="Times New Roman" w:hAnsi="Times New Roman"/>
          <w:spacing w:val="-2"/>
          <w:sz w:val="16"/>
          <w:szCs w:val="16"/>
        </w:rPr>
        <w:t>. Auflage</w:t>
      </w:r>
      <w:r w:rsidR="005B3D8D" w:rsidRPr="00AB7276">
        <w:rPr>
          <w:rFonts w:ascii="Times New Roman" w:hAnsi="Times New Roman"/>
          <w:spacing w:val="-2"/>
          <w:sz w:val="16"/>
          <w:szCs w:val="16"/>
        </w:rPr>
        <w:t xml:space="preserve"> 202</w:t>
      </w:r>
      <w:r w:rsidR="00EF090D" w:rsidRPr="00AB7276">
        <w:rPr>
          <w:rFonts w:ascii="Times New Roman" w:hAnsi="Times New Roman"/>
          <w:spacing w:val="-2"/>
          <w:sz w:val="16"/>
          <w:szCs w:val="16"/>
        </w:rPr>
        <w:t>3</w:t>
      </w:r>
      <w:r w:rsidR="00DA1E25" w:rsidRPr="00AB7276">
        <w:rPr>
          <w:rFonts w:ascii="Times New Roman" w:hAnsi="Times New Roman"/>
          <w:spacing w:val="-2"/>
          <w:sz w:val="16"/>
          <w:szCs w:val="16"/>
        </w:rPr>
        <w:t>, Problem 51.</w:t>
      </w:r>
    </w:p>
    <w:p w14:paraId="5B4E623B" w14:textId="609448C4" w:rsidR="00086198" w:rsidRPr="00AB7276" w:rsidRDefault="00086198" w:rsidP="005B3D8D">
      <w:pPr>
        <w:widowControl/>
        <w:tabs>
          <w:tab w:val="left" w:pos="0"/>
          <w:tab w:val="left" w:pos="567"/>
          <w:tab w:val="left" w:pos="864"/>
          <w:tab w:val="left" w:pos="1418"/>
          <w:tab w:val="left" w:pos="1985"/>
          <w:tab w:val="left" w:pos="2127"/>
          <w:tab w:val="left" w:pos="2268"/>
          <w:tab w:val="left" w:pos="2880"/>
        </w:tabs>
        <w:spacing w:line="211" w:lineRule="auto"/>
        <w:ind w:left="1985" w:right="-91" w:hanging="1985"/>
        <w:jc w:val="both"/>
        <w:rPr>
          <w:rFonts w:ascii="Times New Roman" w:hAnsi="Times New Roman"/>
          <w:spacing w:val="-2"/>
          <w:sz w:val="16"/>
          <w:szCs w:val="16"/>
        </w:rPr>
      </w:pPr>
      <w:r w:rsidRPr="00AB7276">
        <w:rPr>
          <w:rFonts w:ascii="Times New Roman" w:hAnsi="Times New Roman"/>
          <w:b/>
          <w:spacing w:val="-2"/>
          <w:sz w:val="16"/>
          <w:szCs w:val="16"/>
        </w:rPr>
        <w:t>Literatur/Aufsätze:</w:t>
      </w:r>
      <w:r w:rsidRPr="00AB7276">
        <w:rPr>
          <w:rFonts w:ascii="Times New Roman" w:hAnsi="Times New Roman"/>
          <w:b/>
          <w:spacing w:val="-2"/>
          <w:sz w:val="16"/>
          <w:szCs w:val="16"/>
        </w:rPr>
        <w:tab/>
      </w:r>
      <w:r w:rsidR="0084448E" w:rsidRPr="00AB7276">
        <w:rPr>
          <w:rFonts w:ascii="Times New Roman" w:hAnsi="Times New Roman"/>
          <w:b/>
          <w:spacing w:val="-2"/>
          <w:sz w:val="16"/>
          <w:szCs w:val="16"/>
        </w:rPr>
        <w:tab/>
      </w:r>
      <w:r w:rsidR="003B3E7D" w:rsidRPr="00AB7276">
        <w:rPr>
          <w:rFonts w:ascii="Times New Roman" w:hAnsi="Times New Roman"/>
          <w:bCs/>
          <w:i/>
          <w:iCs/>
          <w:spacing w:val="-2"/>
          <w:sz w:val="16"/>
          <w:szCs w:val="16"/>
        </w:rPr>
        <w:t>Aust/Schmidt,</w:t>
      </w:r>
      <w:r w:rsidR="003B3E7D">
        <w:rPr>
          <w:rFonts w:ascii="Times New Roman" w:hAnsi="Times New Roman"/>
          <w:b/>
          <w:spacing w:val="-2"/>
          <w:sz w:val="16"/>
          <w:szCs w:val="16"/>
        </w:rPr>
        <w:t xml:space="preserve"> </w:t>
      </w:r>
      <w:r w:rsidR="003B3E7D" w:rsidRPr="00AB7276">
        <w:rPr>
          <w:rFonts w:ascii="Times New Roman" w:hAnsi="Times New Roman"/>
          <w:bCs/>
          <w:spacing w:val="-2"/>
          <w:sz w:val="16"/>
          <w:szCs w:val="16"/>
        </w:rPr>
        <w:t>Ne bis in idem und Wiederaufnahme, ZRP 2020, 251;</w:t>
      </w:r>
      <w:r w:rsidR="003B3E7D">
        <w:rPr>
          <w:rFonts w:ascii="Times New Roman" w:hAnsi="Times New Roman"/>
          <w:b/>
          <w:spacing w:val="-2"/>
          <w:sz w:val="16"/>
          <w:szCs w:val="16"/>
        </w:rPr>
        <w:t xml:space="preserve"> </w:t>
      </w:r>
      <w:r w:rsidR="00097DB7" w:rsidRPr="00AB7276">
        <w:rPr>
          <w:rFonts w:ascii="Times New Roman" w:hAnsi="Times New Roman"/>
          <w:i/>
          <w:spacing w:val="-2"/>
          <w:sz w:val="16"/>
          <w:szCs w:val="16"/>
        </w:rPr>
        <w:t>Bechtel</w:t>
      </w:r>
      <w:r w:rsidR="00097DB7" w:rsidRPr="00AB7276">
        <w:rPr>
          <w:rFonts w:ascii="Times New Roman" w:hAnsi="Times New Roman"/>
          <w:spacing w:val="-2"/>
          <w:sz w:val="16"/>
          <w:szCs w:val="16"/>
        </w:rPr>
        <w:t>, Der prozessuale Tatbegriff und seine Bedeutung für die Bestimmung wichtiger Verfahrenshindernisse, JA 2022, 199;</w:t>
      </w:r>
      <w:r w:rsidR="00097DB7" w:rsidRPr="00AB7276">
        <w:rPr>
          <w:rFonts w:ascii="Times New Roman" w:hAnsi="Times New Roman"/>
          <w:b/>
          <w:spacing w:val="-2"/>
          <w:sz w:val="16"/>
          <w:szCs w:val="16"/>
        </w:rPr>
        <w:t xml:space="preserve"> </w:t>
      </w:r>
      <w:r w:rsidR="002B4893" w:rsidRPr="00AB7276">
        <w:rPr>
          <w:rFonts w:ascii="Times New Roman" w:hAnsi="Times New Roman"/>
          <w:bCs/>
          <w:i/>
          <w:spacing w:val="-2"/>
          <w:sz w:val="16"/>
          <w:szCs w:val="16"/>
        </w:rPr>
        <w:t>Burchard/Brodowski</w:t>
      </w:r>
      <w:r w:rsidR="002B4893" w:rsidRPr="00AB7276">
        <w:rPr>
          <w:rFonts w:ascii="Times New Roman" w:hAnsi="Times New Roman"/>
          <w:bCs/>
          <w:spacing w:val="-2"/>
          <w:sz w:val="16"/>
          <w:szCs w:val="16"/>
        </w:rPr>
        <w:t xml:space="preserve">, </w:t>
      </w:r>
      <w:r w:rsidR="002B4893" w:rsidRPr="00AB7276">
        <w:rPr>
          <w:rFonts w:ascii="Times New Roman" w:hAnsi="Times New Roman"/>
          <w:spacing w:val="-2"/>
          <w:sz w:val="16"/>
          <w:szCs w:val="16"/>
        </w:rPr>
        <w:t>Art. 50 Charta der Grundrechte der Europäischen Union und das europäische ne bis in idem nach dem Vertrag von Lissabon,</w:t>
      </w:r>
      <w:r w:rsidR="002B4893" w:rsidRPr="00AB7276">
        <w:rPr>
          <w:rFonts w:ascii="Times New Roman" w:hAnsi="Times New Roman"/>
          <w:bCs/>
          <w:spacing w:val="-2"/>
          <w:sz w:val="16"/>
          <w:szCs w:val="16"/>
        </w:rPr>
        <w:t xml:space="preserve"> </w:t>
      </w:r>
      <w:proofErr w:type="spellStart"/>
      <w:r w:rsidR="002B4893" w:rsidRPr="00AB7276">
        <w:rPr>
          <w:rFonts w:ascii="Times New Roman" w:hAnsi="Times New Roman"/>
          <w:bCs/>
          <w:spacing w:val="-2"/>
          <w:sz w:val="16"/>
          <w:szCs w:val="16"/>
        </w:rPr>
        <w:t>StraFo</w:t>
      </w:r>
      <w:proofErr w:type="spellEnd"/>
      <w:r w:rsidR="002B4893" w:rsidRPr="00AB7276">
        <w:rPr>
          <w:rFonts w:ascii="Times New Roman" w:hAnsi="Times New Roman"/>
          <w:bCs/>
          <w:spacing w:val="-2"/>
          <w:sz w:val="16"/>
          <w:szCs w:val="16"/>
        </w:rPr>
        <w:t xml:space="preserve"> 2010, 179; </w:t>
      </w:r>
      <w:r w:rsidR="002B4893" w:rsidRPr="00AB7276">
        <w:rPr>
          <w:rFonts w:ascii="Times New Roman" w:hAnsi="Times New Roman"/>
          <w:bCs/>
          <w:i/>
          <w:spacing w:val="-2"/>
          <w:sz w:val="16"/>
          <w:szCs w:val="16"/>
        </w:rPr>
        <w:t>Gaede</w:t>
      </w:r>
      <w:r w:rsidR="002B4893" w:rsidRPr="00AB7276">
        <w:rPr>
          <w:rFonts w:ascii="Times New Roman" w:hAnsi="Times New Roman"/>
          <w:bCs/>
          <w:spacing w:val="-2"/>
          <w:sz w:val="16"/>
          <w:szCs w:val="16"/>
        </w:rPr>
        <w:t>, Transnationales „ne bis in idem“ auf schwachem grundrechtlichem Fundament, NJW 2014, 2990;</w:t>
      </w:r>
      <w:r w:rsidR="002B4893" w:rsidRPr="00AB7276">
        <w:rPr>
          <w:rFonts w:ascii="Times New Roman" w:hAnsi="Times New Roman"/>
          <w:b/>
          <w:bCs/>
          <w:spacing w:val="-2"/>
          <w:sz w:val="16"/>
          <w:szCs w:val="16"/>
        </w:rPr>
        <w:t xml:space="preserve"> </w:t>
      </w:r>
      <w:r w:rsidR="003F0434" w:rsidRPr="00AB7276">
        <w:rPr>
          <w:rFonts w:ascii="Times New Roman" w:hAnsi="Times New Roman"/>
          <w:bCs/>
          <w:i/>
          <w:spacing w:val="-2"/>
          <w:sz w:val="16"/>
          <w:szCs w:val="16"/>
        </w:rPr>
        <w:t>Hoppen/</w:t>
      </w:r>
      <w:r w:rsidR="00ED3A97" w:rsidRPr="00AB7276">
        <w:rPr>
          <w:rFonts w:ascii="Times New Roman" w:hAnsi="Times New Roman"/>
          <w:bCs/>
          <w:i/>
          <w:spacing w:val="-2"/>
          <w:sz w:val="16"/>
          <w:szCs w:val="16"/>
        </w:rPr>
        <w:t>Jansen</w:t>
      </w:r>
      <w:r w:rsidR="00ED3A97" w:rsidRPr="00AB7276">
        <w:rPr>
          <w:rFonts w:ascii="Times New Roman" w:hAnsi="Times New Roman"/>
          <w:bCs/>
          <w:spacing w:val="-2"/>
          <w:sz w:val="16"/>
          <w:szCs w:val="16"/>
        </w:rPr>
        <w:t xml:space="preserve">, Strafklageverbrauch, </w:t>
      </w:r>
      <w:proofErr w:type="spellStart"/>
      <w:r w:rsidR="00ED3A97" w:rsidRPr="00AB7276">
        <w:rPr>
          <w:rFonts w:ascii="Times New Roman" w:hAnsi="Times New Roman"/>
          <w:bCs/>
          <w:spacing w:val="-2"/>
          <w:sz w:val="16"/>
          <w:szCs w:val="16"/>
        </w:rPr>
        <w:t>JuS</w:t>
      </w:r>
      <w:proofErr w:type="spellEnd"/>
      <w:r w:rsidR="00ED3A97" w:rsidRPr="00AB7276">
        <w:rPr>
          <w:rFonts w:ascii="Times New Roman" w:hAnsi="Times New Roman"/>
          <w:bCs/>
          <w:spacing w:val="-2"/>
          <w:sz w:val="16"/>
          <w:szCs w:val="16"/>
        </w:rPr>
        <w:t xml:space="preserve"> 2021, 1132;</w:t>
      </w:r>
      <w:r w:rsidR="00ED3A97" w:rsidRPr="00AB7276">
        <w:rPr>
          <w:rFonts w:ascii="Times New Roman" w:hAnsi="Times New Roman"/>
          <w:b/>
          <w:bCs/>
          <w:spacing w:val="-2"/>
          <w:sz w:val="16"/>
          <w:szCs w:val="16"/>
        </w:rPr>
        <w:t xml:space="preserve"> </w:t>
      </w:r>
      <w:r w:rsidRPr="00AB7276">
        <w:rPr>
          <w:rFonts w:ascii="Times New Roman" w:hAnsi="Times New Roman"/>
          <w:i/>
          <w:spacing w:val="-2"/>
          <w:sz w:val="16"/>
          <w:szCs w:val="16"/>
        </w:rPr>
        <w:t>Kraatz</w:t>
      </w:r>
      <w:r w:rsidRPr="00AB7276">
        <w:rPr>
          <w:rFonts w:ascii="Times New Roman" w:hAnsi="Times New Roman"/>
          <w:spacing w:val="-2"/>
          <w:sz w:val="16"/>
          <w:szCs w:val="16"/>
        </w:rPr>
        <w:t>,</w:t>
      </w:r>
      <w:r w:rsidR="002D2C94" w:rsidRPr="00AB7276">
        <w:rPr>
          <w:rFonts w:ascii="Times New Roman" w:hAnsi="Times New Roman"/>
          <w:spacing w:val="-2"/>
          <w:sz w:val="16"/>
          <w:szCs w:val="16"/>
        </w:rPr>
        <w:t xml:space="preserve"> </w:t>
      </w:r>
      <w:r w:rsidRPr="00AB7276">
        <w:rPr>
          <w:rFonts w:ascii="Times New Roman" w:hAnsi="Times New Roman"/>
          <w:spacing w:val="-2"/>
          <w:sz w:val="16"/>
          <w:szCs w:val="16"/>
        </w:rPr>
        <w:t xml:space="preserve">Strafklageverbrauch beim Unterlassungsdelikt, JURA 2007, 854; </w:t>
      </w:r>
      <w:r w:rsidRPr="00AB7276">
        <w:rPr>
          <w:rFonts w:ascii="Times New Roman" w:hAnsi="Times New Roman"/>
          <w:i/>
          <w:spacing w:val="-2"/>
          <w:sz w:val="16"/>
          <w:szCs w:val="16"/>
        </w:rPr>
        <w:t>Kudlich</w:t>
      </w:r>
      <w:r w:rsidRPr="00AB7276">
        <w:rPr>
          <w:rFonts w:ascii="Times New Roman" w:hAnsi="Times New Roman"/>
          <w:spacing w:val="-2"/>
          <w:sz w:val="16"/>
          <w:szCs w:val="16"/>
        </w:rPr>
        <w:t xml:space="preserve">, Tat im prozessualen Sinn, JA 2006, 902; </w:t>
      </w:r>
      <w:proofErr w:type="spellStart"/>
      <w:r w:rsidRPr="00AB7276">
        <w:rPr>
          <w:rFonts w:ascii="Times New Roman" w:hAnsi="Times New Roman"/>
          <w:i/>
          <w:spacing w:val="-2"/>
          <w:sz w:val="16"/>
          <w:szCs w:val="16"/>
        </w:rPr>
        <w:t>Neuefeind</w:t>
      </w:r>
      <w:proofErr w:type="spellEnd"/>
      <w:r w:rsidRPr="00AB7276">
        <w:rPr>
          <w:rFonts w:ascii="Times New Roman" w:hAnsi="Times New Roman"/>
          <w:spacing w:val="-2"/>
          <w:sz w:val="16"/>
          <w:szCs w:val="16"/>
        </w:rPr>
        <w:t xml:space="preserve">, Prozessualer und materieller Tatbegriff, JA 2000, 791; </w:t>
      </w:r>
      <w:r w:rsidRPr="00AB7276">
        <w:rPr>
          <w:rFonts w:ascii="Times New Roman" w:hAnsi="Times New Roman"/>
          <w:i/>
          <w:spacing w:val="-2"/>
          <w:sz w:val="16"/>
          <w:szCs w:val="16"/>
        </w:rPr>
        <w:t>Ranft</w:t>
      </w:r>
      <w:r w:rsidRPr="00AB7276">
        <w:rPr>
          <w:rFonts w:ascii="Times New Roman" w:hAnsi="Times New Roman"/>
          <w:spacing w:val="-2"/>
          <w:sz w:val="16"/>
          <w:szCs w:val="16"/>
        </w:rPr>
        <w:t xml:space="preserve">, Der Tatbegriff des Strafprozessrechts, </w:t>
      </w:r>
      <w:proofErr w:type="spellStart"/>
      <w:r w:rsidRPr="00AB7276">
        <w:rPr>
          <w:rFonts w:ascii="Times New Roman" w:hAnsi="Times New Roman"/>
          <w:spacing w:val="-2"/>
          <w:sz w:val="16"/>
          <w:szCs w:val="16"/>
        </w:rPr>
        <w:t>JuS</w:t>
      </w:r>
      <w:proofErr w:type="spellEnd"/>
      <w:r w:rsidRPr="00AB7276">
        <w:rPr>
          <w:rFonts w:ascii="Times New Roman" w:hAnsi="Times New Roman"/>
          <w:spacing w:val="-2"/>
          <w:sz w:val="16"/>
          <w:szCs w:val="16"/>
        </w:rPr>
        <w:t xml:space="preserve"> 2003, 417; </w:t>
      </w:r>
      <w:r w:rsidR="002B4893" w:rsidRPr="00AB7276">
        <w:rPr>
          <w:rFonts w:ascii="Times New Roman" w:hAnsi="Times New Roman"/>
          <w:i/>
          <w:spacing w:val="-2"/>
          <w:sz w:val="16"/>
          <w:szCs w:val="16"/>
        </w:rPr>
        <w:t>Schomburg/</w:t>
      </w:r>
      <w:proofErr w:type="spellStart"/>
      <w:r w:rsidR="002B4893" w:rsidRPr="00AB7276">
        <w:rPr>
          <w:rFonts w:ascii="Times New Roman" w:hAnsi="Times New Roman"/>
          <w:i/>
          <w:spacing w:val="-2"/>
          <w:sz w:val="16"/>
          <w:szCs w:val="16"/>
        </w:rPr>
        <w:t>Suominen</w:t>
      </w:r>
      <w:proofErr w:type="spellEnd"/>
      <w:r w:rsidR="002B4893" w:rsidRPr="00AB7276">
        <w:rPr>
          <w:rFonts w:ascii="Times New Roman" w:hAnsi="Times New Roman"/>
          <w:i/>
          <w:spacing w:val="-2"/>
          <w:sz w:val="16"/>
          <w:szCs w:val="16"/>
        </w:rPr>
        <w:t>-Picht</w:t>
      </w:r>
      <w:r w:rsidR="002B4893" w:rsidRPr="00AB7276">
        <w:rPr>
          <w:rFonts w:ascii="Times New Roman" w:hAnsi="Times New Roman"/>
          <w:spacing w:val="-2"/>
          <w:sz w:val="16"/>
          <w:szCs w:val="16"/>
        </w:rPr>
        <w:t xml:space="preserve">, Verbot der mehrfachen Strafverfolgung, Kompetenzkonflikte und Verfahrenstransfer, NJW 2012, 1190; </w:t>
      </w:r>
      <w:proofErr w:type="spellStart"/>
      <w:r w:rsidRPr="00AB7276">
        <w:rPr>
          <w:rFonts w:ascii="Times New Roman" w:hAnsi="Times New Roman"/>
          <w:i/>
          <w:spacing w:val="-2"/>
          <w:sz w:val="16"/>
          <w:szCs w:val="16"/>
        </w:rPr>
        <w:t>Wankel</w:t>
      </w:r>
      <w:proofErr w:type="spellEnd"/>
      <w:r w:rsidRPr="00AB7276">
        <w:rPr>
          <w:rFonts w:ascii="Times New Roman" w:hAnsi="Times New Roman"/>
          <w:spacing w:val="-2"/>
          <w:sz w:val="16"/>
          <w:szCs w:val="16"/>
        </w:rPr>
        <w:t>, Strafklageverbrauch und materiell</w:t>
      </w:r>
      <w:r w:rsidR="005349DE" w:rsidRPr="00AB7276">
        <w:rPr>
          <w:rFonts w:ascii="Times New Roman" w:hAnsi="Times New Roman"/>
          <w:spacing w:val="-2"/>
          <w:sz w:val="16"/>
          <w:szCs w:val="16"/>
        </w:rPr>
        <w:t>-</w:t>
      </w:r>
      <w:r w:rsidRPr="00AB7276">
        <w:rPr>
          <w:rFonts w:ascii="Times New Roman" w:hAnsi="Times New Roman"/>
          <w:spacing w:val="-2"/>
          <w:sz w:val="16"/>
          <w:szCs w:val="16"/>
        </w:rPr>
        <w:t>rechtliche Konkurrenzlehre, JA 1997, 231</w:t>
      </w:r>
      <w:r w:rsidR="00B40E8B" w:rsidRPr="00AB7276">
        <w:rPr>
          <w:rFonts w:ascii="Times New Roman" w:hAnsi="Times New Roman"/>
          <w:spacing w:val="-2"/>
          <w:sz w:val="16"/>
          <w:szCs w:val="16"/>
        </w:rPr>
        <w:t xml:space="preserve">; </w:t>
      </w:r>
      <w:r w:rsidR="00B40E8B" w:rsidRPr="00AB7276">
        <w:rPr>
          <w:rFonts w:ascii="Times New Roman" w:hAnsi="Times New Roman"/>
          <w:i/>
          <w:spacing w:val="-2"/>
          <w:sz w:val="16"/>
          <w:szCs w:val="16"/>
        </w:rPr>
        <w:t>Aust/Schmidt</w:t>
      </w:r>
      <w:r w:rsidR="00B40E8B" w:rsidRPr="00AB7276">
        <w:rPr>
          <w:rFonts w:ascii="Times New Roman" w:hAnsi="Times New Roman"/>
          <w:spacing w:val="-2"/>
          <w:sz w:val="16"/>
          <w:szCs w:val="16"/>
        </w:rPr>
        <w:t>, Ne bis in idem und Wiederaufnahme, ZRP 2020, 251</w:t>
      </w:r>
    </w:p>
    <w:p w14:paraId="691B6306" w14:textId="77777777" w:rsidR="00086198" w:rsidRPr="00AB7276" w:rsidRDefault="00086198" w:rsidP="005B3D8D">
      <w:pPr>
        <w:widowControl/>
        <w:tabs>
          <w:tab w:val="left" w:pos="0"/>
          <w:tab w:val="left" w:pos="567"/>
          <w:tab w:val="left" w:pos="864"/>
          <w:tab w:val="left" w:pos="1418"/>
          <w:tab w:val="left" w:pos="1985"/>
          <w:tab w:val="left" w:pos="2127"/>
          <w:tab w:val="left" w:pos="2268"/>
          <w:tab w:val="left" w:pos="2880"/>
        </w:tabs>
        <w:spacing w:line="211" w:lineRule="auto"/>
        <w:ind w:left="1985" w:right="-91" w:hanging="1985"/>
        <w:jc w:val="both"/>
        <w:rPr>
          <w:rFonts w:ascii="Times New Roman" w:hAnsi="Times New Roman"/>
          <w:spacing w:val="-2"/>
          <w:sz w:val="16"/>
          <w:szCs w:val="16"/>
        </w:rPr>
      </w:pPr>
      <w:r w:rsidRPr="00AB7276">
        <w:rPr>
          <w:rFonts w:ascii="Times New Roman" w:hAnsi="Times New Roman"/>
          <w:b/>
          <w:spacing w:val="-2"/>
          <w:sz w:val="16"/>
          <w:szCs w:val="16"/>
        </w:rPr>
        <w:t>Literatur/Fälle:</w:t>
      </w:r>
      <w:r w:rsidRPr="00AB7276">
        <w:rPr>
          <w:rFonts w:ascii="Times New Roman" w:hAnsi="Times New Roman"/>
          <w:b/>
          <w:spacing w:val="-2"/>
          <w:sz w:val="16"/>
          <w:szCs w:val="16"/>
        </w:rPr>
        <w:tab/>
      </w:r>
      <w:r w:rsidRPr="00AB7276">
        <w:rPr>
          <w:rFonts w:ascii="Times New Roman" w:hAnsi="Times New Roman"/>
          <w:b/>
          <w:spacing w:val="-2"/>
          <w:sz w:val="16"/>
          <w:szCs w:val="16"/>
        </w:rPr>
        <w:tab/>
      </w:r>
      <w:r w:rsidRPr="00AB7276">
        <w:rPr>
          <w:rFonts w:ascii="Times New Roman" w:hAnsi="Times New Roman"/>
          <w:i/>
          <w:spacing w:val="-2"/>
          <w:sz w:val="16"/>
          <w:szCs w:val="16"/>
        </w:rPr>
        <w:t>Mitsch</w:t>
      </w:r>
      <w:r w:rsidRPr="00AB7276">
        <w:rPr>
          <w:rFonts w:ascii="Times New Roman" w:hAnsi="Times New Roman"/>
          <w:spacing w:val="-2"/>
          <w:sz w:val="16"/>
          <w:szCs w:val="16"/>
        </w:rPr>
        <w:t>, Ede hat ausgepackt, JURA 1993, 381.</w:t>
      </w:r>
    </w:p>
    <w:p w14:paraId="5AB2C51B" w14:textId="662822A3" w:rsidR="00086198" w:rsidRPr="00AB7276" w:rsidRDefault="00086198" w:rsidP="005B3D8D">
      <w:pPr>
        <w:tabs>
          <w:tab w:val="left" w:pos="1985"/>
        </w:tabs>
        <w:spacing w:line="211" w:lineRule="auto"/>
        <w:ind w:left="1980" w:right="-91" w:hanging="1980"/>
        <w:jc w:val="both"/>
        <w:rPr>
          <w:sz w:val="16"/>
          <w:szCs w:val="16"/>
        </w:rPr>
      </w:pPr>
      <w:r w:rsidRPr="00AB7276">
        <w:rPr>
          <w:rFonts w:ascii="Times New Roman" w:hAnsi="Times New Roman"/>
          <w:b/>
          <w:spacing w:val="-2"/>
          <w:sz w:val="16"/>
          <w:szCs w:val="16"/>
        </w:rPr>
        <w:t>Rechtsprechung:</w:t>
      </w:r>
      <w:r w:rsidRPr="00AB7276">
        <w:rPr>
          <w:rFonts w:ascii="Times New Roman" w:hAnsi="Times New Roman"/>
          <w:b/>
          <w:spacing w:val="-2"/>
          <w:sz w:val="16"/>
          <w:szCs w:val="16"/>
        </w:rPr>
        <w:tab/>
      </w:r>
      <w:r w:rsidR="00E06014" w:rsidRPr="00AB7276">
        <w:rPr>
          <w:rFonts w:ascii="Times New Roman" w:hAnsi="Times New Roman"/>
          <w:b/>
          <w:spacing w:val="-2"/>
          <w:sz w:val="16"/>
          <w:szCs w:val="16"/>
        </w:rPr>
        <w:t xml:space="preserve">EuGH NStZ 2011, 466 – </w:t>
      </w:r>
      <w:r w:rsidR="003B3E7D" w:rsidRPr="00AB7276">
        <w:rPr>
          <w:rFonts w:ascii="Times New Roman" w:hAnsi="Times New Roman"/>
          <w:bCs/>
          <w:spacing w:val="-2"/>
          <w:sz w:val="16"/>
          <w:szCs w:val="16"/>
        </w:rPr>
        <w:t xml:space="preserve">Gaetano </w:t>
      </w:r>
      <w:proofErr w:type="spellStart"/>
      <w:r w:rsidR="003B3E7D" w:rsidRPr="00AB7276">
        <w:rPr>
          <w:rFonts w:ascii="Times New Roman" w:hAnsi="Times New Roman"/>
          <w:bCs/>
          <w:spacing w:val="-2"/>
          <w:sz w:val="16"/>
          <w:szCs w:val="16"/>
        </w:rPr>
        <w:t>Mantello</w:t>
      </w:r>
      <w:proofErr w:type="spellEnd"/>
      <w:r w:rsidR="003B3E7D">
        <w:rPr>
          <w:rFonts w:ascii="Times New Roman" w:hAnsi="Times New Roman"/>
          <w:b/>
          <w:spacing w:val="-2"/>
          <w:sz w:val="16"/>
          <w:szCs w:val="16"/>
        </w:rPr>
        <w:t xml:space="preserve"> (</w:t>
      </w:r>
      <w:r w:rsidR="00E06014" w:rsidRPr="00AB7276">
        <w:rPr>
          <w:rFonts w:ascii="Times New Roman" w:hAnsi="Times New Roman"/>
          <w:spacing w:val="-2"/>
          <w:sz w:val="16"/>
          <w:szCs w:val="16"/>
        </w:rPr>
        <w:t>Europäischer Haftbefehl und Doppelbestrafungsverbot</w:t>
      </w:r>
      <w:r w:rsidR="003B3E7D">
        <w:rPr>
          <w:rFonts w:ascii="Times New Roman" w:hAnsi="Times New Roman"/>
          <w:spacing w:val="-2"/>
          <w:sz w:val="16"/>
          <w:szCs w:val="16"/>
        </w:rPr>
        <w:t xml:space="preserve">, </w:t>
      </w:r>
      <w:r w:rsidR="00E06014" w:rsidRPr="00AB7276">
        <w:rPr>
          <w:rFonts w:ascii="Times New Roman" w:hAnsi="Times New Roman"/>
          <w:spacing w:val="-2"/>
          <w:sz w:val="16"/>
          <w:szCs w:val="16"/>
        </w:rPr>
        <w:t xml:space="preserve">Unionsrechtlicher Begriff „dieselbe Handlung“); </w:t>
      </w:r>
      <w:r w:rsidR="00A0379A" w:rsidRPr="00AB7276">
        <w:rPr>
          <w:rFonts w:ascii="Times New Roman" w:hAnsi="Times New Roman"/>
          <w:b/>
          <w:spacing w:val="-2"/>
          <w:sz w:val="16"/>
          <w:szCs w:val="16"/>
        </w:rPr>
        <w:t xml:space="preserve">EuGH NJW 2014, 3010 </w:t>
      </w:r>
      <w:r w:rsidR="00A0379A" w:rsidRPr="00AB7276">
        <w:rPr>
          <w:rFonts w:ascii="Times New Roman" w:hAnsi="Times New Roman"/>
          <w:spacing w:val="-2"/>
          <w:sz w:val="16"/>
          <w:szCs w:val="16"/>
        </w:rPr>
        <w:t>– SDÜ-Doppelbestrafungsverbot (Transnationaler Strafklageverbrauch bei Einstellung);</w:t>
      </w:r>
      <w:r w:rsidR="00A0379A" w:rsidRPr="00AB7276">
        <w:rPr>
          <w:rFonts w:ascii="Times New Roman" w:hAnsi="Times New Roman"/>
          <w:b/>
          <w:spacing w:val="-2"/>
          <w:sz w:val="16"/>
          <w:szCs w:val="16"/>
        </w:rPr>
        <w:t xml:space="preserve"> </w:t>
      </w:r>
      <w:r w:rsidR="00303317" w:rsidRPr="00AB7276">
        <w:rPr>
          <w:rFonts w:ascii="Times New Roman" w:hAnsi="Times New Roman"/>
          <w:b/>
          <w:spacing w:val="-2"/>
          <w:sz w:val="16"/>
          <w:szCs w:val="16"/>
        </w:rPr>
        <w:t xml:space="preserve">EuGH BeckRS 2023, 4924 </w:t>
      </w:r>
      <w:r w:rsidR="00303317" w:rsidRPr="00AB7276">
        <w:rPr>
          <w:rFonts w:ascii="Times New Roman" w:hAnsi="Times New Roman"/>
          <w:bCs/>
          <w:spacing w:val="-2"/>
          <w:sz w:val="16"/>
          <w:szCs w:val="16"/>
        </w:rPr>
        <w:t xml:space="preserve">– </w:t>
      </w:r>
      <w:r w:rsidR="007F3856">
        <w:rPr>
          <w:rFonts w:ascii="Times New Roman" w:hAnsi="Times New Roman"/>
          <w:bCs/>
          <w:spacing w:val="-2"/>
          <w:sz w:val="16"/>
          <w:szCs w:val="16"/>
        </w:rPr>
        <w:t>SDÜ (</w:t>
      </w:r>
      <w:r w:rsidR="00303317" w:rsidRPr="00AB7276">
        <w:rPr>
          <w:rFonts w:ascii="Times New Roman" w:hAnsi="Times New Roman"/>
          <w:bCs/>
          <w:spacing w:val="-2"/>
          <w:sz w:val="16"/>
          <w:szCs w:val="16"/>
        </w:rPr>
        <w:t>Beschränkungen des transnationalen Doppelbestrafungsverbots</w:t>
      </w:r>
      <w:r w:rsidR="007F3856">
        <w:rPr>
          <w:rFonts w:ascii="Times New Roman" w:hAnsi="Times New Roman"/>
          <w:bCs/>
          <w:spacing w:val="-2"/>
          <w:sz w:val="16"/>
          <w:szCs w:val="16"/>
        </w:rPr>
        <w:t>)</w:t>
      </w:r>
      <w:r w:rsidR="00303317" w:rsidRPr="00AB7276">
        <w:rPr>
          <w:rFonts w:ascii="Times New Roman" w:hAnsi="Times New Roman"/>
          <w:bCs/>
          <w:spacing w:val="-2"/>
          <w:sz w:val="16"/>
          <w:szCs w:val="16"/>
        </w:rPr>
        <w:t xml:space="preserve">; </w:t>
      </w:r>
      <w:r w:rsidR="002B4893" w:rsidRPr="00AB7276">
        <w:rPr>
          <w:rFonts w:ascii="Times New Roman" w:hAnsi="Times New Roman"/>
          <w:b/>
          <w:spacing w:val="-2"/>
          <w:sz w:val="16"/>
          <w:szCs w:val="16"/>
        </w:rPr>
        <w:t xml:space="preserve">BVerfG NJW 2012, 1202 – </w:t>
      </w:r>
      <w:r w:rsidR="002B4893" w:rsidRPr="00AB7276">
        <w:rPr>
          <w:rFonts w:ascii="Times New Roman" w:hAnsi="Times New Roman"/>
          <w:spacing w:val="-2"/>
          <w:sz w:val="16"/>
          <w:szCs w:val="16"/>
        </w:rPr>
        <w:t xml:space="preserve">Unterbliebene Vorlage an den EuGH (Auslegung des Doppelbestrafungsverbots nach Art. 50 </w:t>
      </w:r>
      <w:proofErr w:type="spellStart"/>
      <w:r w:rsidR="002B4893" w:rsidRPr="00AB7276">
        <w:rPr>
          <w:rFonts w:ascii="Times New Roman" w:hAnsi="Times New Roman"/>
          <w:spacing w:val="-2"/>
          <w:sz w:val="16"/>
          <w:szCs w:val="16"/>
        </w:rPr>
        <w:t>GRCh</w:t>
      </w:r>
      <w:proofErr w:type="spellEnd"/>
      <w:r w:rsidR="002B4893" w:rsidRPr="00AB7276">
        <w:rPr>
          <w:rFonts w:ascii="Times New Roman" w:hAnsi="Times New Roman"/>
          <w:spacing w:val="-2"/>
          <w:sz w:val="16"/>
          <w:szCs w:val="16"/>
        </w:rPr>
        <w:t xml:space="preserve">); </w:t>
      </w:r>
      <w:r w:rsidRPr="00AB7276">
        <w:rPr>
          <w:rFonts w:ascii="Times New Roman" w:hAnsi="Times New Roman"/>
          <w:b/>
          <w:spacing w:val="-2"/>
          <w:sz w:val="16"/>
          <w:szCs w:val="16"/>
        </w:rPr>
        <w:t>BGHSt 5, 329</w:t>
      </w:r>
      <w:r w:rsidRPr="00AB7276">
        <w:rPr>
          <w:rFonts w:ascii="Times New Roman" w:hAnsi="Times New Roman"/>
          <w:spacing w:val="-2"/>
          <w:sz w:val="16"/>
          <w:szCs w:val="16"/>
        </w:rPr>
        <w:t xml:space="preserve"> – Verfolgung des NS-Unrechts (Mehrmalige Aburteilung eines Freigesprochenen); </w:t>
      </w:r>
      <w:r w:rsidR="00DA1E25" w:rsidRPr="00AB7276">
        <w:rPr>
          <w:rFonts w:ascii="Times New Roman" w:hAnsi="Times New Roman"/>
          <w:b/>
          <w:spacing w:val="-2"/>
          <w:sz w:val="16"/>
          <w:szCs w:val="16"/>
        </w:rPr>
        <w:t>BGHSt 35, 60</w:t>
      </w:r>
      <w:r w:rsidR="00DA1E25" w:rsidRPr="00AB7276">
        <w:rPr>
          <w:rFonts w:ascii="Times New Roman" w:hAnsi="Times New Roman"/>
          <w:spacing w:val="-2"/>
          <w:sz w:val="16"/>
          <w:szCs w:val="16"/>
        </w:rPr>
        <w:t xml:space="preserve"> – Doppelbestrafung (prozessualer Tatbegriff); </w:t>
      </w:r>
      <w:r w:rsidRPr="00AB7276">
        <w:rPr>
          <w:rFonts w:ascii="Times New Roman" w:hAnsi="Times New Roman"/>
          <w:b/>
          <w:spacing w:val="-2"/>
          <w:sz w:val="16"/>
          <w:szCs w:val="16"/>
        </w:rPr>
        <w:t>BGHSt 48, 331</w:t>
      </w:r>
      <w:r w:rsidRPr="00AB7276">
        <w:rPr>
          <w:rFonts w:ascii="Times New Roman" w:hAnsi="Times New Roman"/>
          <w:spacing w:val="-2"/>
          <w:sz w:val="16"/>
          <w:szCs w:val="16"/>
        </w:rPr>
        <w:t xml:space="preserve"> - Kapitalanlagebetrug (Strafklageverbrauch nach Einstellung nach §</w:t>
      </w:r>
      <w:r w:rsidR="00AA7AFF" w:rsidRPr="00AB7276">
        <w:rPr>
          <w:rFonts w:ascii="Times New Roman" w:hAnsi="Times New Roman"/>
          <w:spacing w:val="-2"/>
          <w:sz w:val="16"/>
          <w:szCs w:val="16"/>
        </w:rPr>
        <w:t> </w:t>
      </w:r>
      <w:r w:rsidRPr="00AB7276">
        <w:rPr>
          <w:rFonts w:ascii="Times New Roman" w:hAnsi="Times New Roman"/>
          <w:spacing w:val="-2"/>
          <w:sz w:val="16"/>
          <w:szCs w:val="16"/>
        </w:rPr>
        <w:t>153 Abs.</w:t>
      </w:r>
      <w:r w:rsidR="00504725" w:rsidRPr="00AB7276">
        <w:rPr>
          <w:rFonts w:ascii="Times New Roman" w:hAnsi="Times New Roman"/>
          <w:spacing w:val="-2"/>
          <w:sz w:val="16"/>
          <w:szCs w:val="16"/>
        </w:rPr>
        <w:t> </w:t>
      </w:r>
      <w:r w:rsidRPr="00AB7276">
        <w:rPr>
          <w:rFonts w:ascii="Times New Roman" w:hAnsi="Times New Roman"/>
          <w:spacing w:val="-2"/>
          <w:sz w:val="16"/>
          <w:szCs w:val="16"/>
        </w:rPr>
        <w:t xml:space="preserve">2 StPO); </w:t>
      </w:r>
      <w:r w:rsidRPr="00AB7276">
        <w:rPr>
          <w:rFonts w:ascii="Times New Roman" w:hAnsi="Times New Roman"/>
          <w:b/>
          <w:spacing w:val="-2"/>
          <w:sz w:val="16"/>
          <w:szCs w:val="16"/>
        </w:rPr>
        <w:t>BGHSt 52, 275</w:t>
      </w:r>
      <w:r w:rsidRPr="00AB7276">
        <w:rPr>
          <w:rFonts w:ascii="Times New Roman" w:hAnsi="Times New Roman"/>
          <w:spacing w:val="-2"/>
          <w:sz w:val="16"/>
          <w:szCs w:val="16"/>
        </w:rPr>
        <w:t xml:space="preserve"> - Schmuggelfahrt (Strafklageverbrauch zwischen mehreren EU- Mitgliedsstaaten)</w:t>
      </w:r>
      <w:r w:rsidR="006F1FCE" w:rsidRPr="00AB7276">
        <w:rPr>
          <w:rFonts w:ascii="Times New Roman" w:hAnsi="Times New Roman"/>
          <w:spacing w:val="-2"/>
          <w:sz w:val="16"/>
          <w:szCs w:val="16"/>
        </w:rPr>
        <w:t xml:space="preserve">; </w:t>
      </w:r>
      <w:r w:rsidR="006F1FCE" w:rsidRPr="00AB7276">
        <w:rPr>
          <w:rFonts w:ascii="Times New Roman" w:hAnsi="Times New Roman"/>
          <w:b/>
          <w:spacing w:val="-2"/>
          <w:sz w:val="16"/>
          <w:szCs w:val="16"/>
        </w:rPr>
        <w:t>BGHSt</w:t>
      </w:r>
      <w:r w:rsidR="00467F35" w:rsidRPr="00AB7276">
        <w:rPr>
          <w:rFonts w:ascii="Times New Roman" w:hAnsi="Times New Roman"/>
          <w:b/>
          <w:spacing w:val="-2"/>
          <w:sz w:val="16"/>
          <w:szCs w:val="16"/>
        </w:rPr>
        <w:t> </w:t>
      </w:r>
      <w:r w:rsidR="006F1FCE" w:rsidRPr="00AB7276">
        <w:rPr>
          <w:rFonts w:ascii="Times New Roman" w:hAnsi="Times New Roman"/>
          <w:b/>
          <w:spacing w:val="-2"/>
          <w:sz w:val="16"/>
          <w:szCs w:val="16"/>
        </w:rPr>
        <w:t>56, 11</w:t>
      </w:r>
      <w:r w:rsidR="006F1FCE" w:rsidRPr="00AB7276">
        <w:rPr>
          <w:rFonts w:ascii="Times New Roman" w:hAnsi="Times New Roman"/>
          <w:spacing w:val="-2"/>
          <w:sz w:val="16"/>
          <w:szCs w:val="16"/>
        </w:rPr>
        <w:t xml:space="preserve"> – Ne bis in idem in der EU (Verhältnis von Art. 50 GRC und Art. 54 SDÜ)</w:t>
      </w:r>
      <w:r w:rsidR="002B4893" w:rsidRPr="00AB7276">
        <w:rPr>
          <w:rFonts w:ascii="Times New Roman" w:hAnsi="Times New Roman"/>
          <w:spacing w:val="-2"/>
          <w:sz w:val="16"/>
          <w:szCs w:val="16"/>
        </w:rPr>
        <w:t>;</w:t>
      </w:r>
      <w:r w:rsidR="002B4893" w:rsidRPr="00AB7276">
        <w:rPr>
          <w:rFonts w:ascii="Arial" w:hAnsi="Arial" w:cs="Times New Roman"/>
          <w:b/>
          <w:bCs/>
          <w:color w:val="339966"/>
          <w:sz w:val="16"/>
          <w:szCs w:val="16"/>
        </w:rPr>
        <w:t xml:space="preserve"> </w:t>
      </w:r>
      <w:r w:rsidR="002B4893" w:rsidRPr="00AB7276">
        <w:rPr>
          <w:rFonts w:ascii="Times New Roman" w:hAnsi="Times New Roman"/>
          <w:b/>
          <w:bCs/>
          <w:spacing w:val="-2"/>
          <w:sz w:val="16"/>
          <w:szCs w:val="16"/>
        </w:rPr>
        <w:t>BGH NStZ-RR 2009, 289</w:t>
      </w:r>
      <w:r w:rsidR="002B4893" w:rsidRPr="00AB7276">
        <w:rPr>
          <w:rFonts w:ascii="Times New Roman" w:hAnsi="Times New Roman"/>
          <w:bCs/>
          <w:spacing w:val="-2"/>
          <w:sz w:val="16"/>
          <w:szCs w:val="16"/>
        </w:rPr>
        <w:t xml:space="preserve"> – Geldwechsel (deliktsimmanente Verbindung mehrerer Taten), vgl. </w:t>
      </w:r>
      <w:r w:rsidR="00E26559" w:rsidRPr="00AB7276">
        <w:rPr>
          <w:rFonts w:ascii="Times New Roman" w:hAnsi="Times New Roman"/>
          <w:bCs/>
          <w:i/>
          <w:iCs/>
          <w:spacing w:val="-2"/>
          <w:sz w:val="16"/>
          <w:szCs w:val="16"/>
        </w:rPr>
        <w:t>Marxen/Hannemann</w:t>
      </w:r>
      <w:r w:rsidR="00E26559" w:rsidRPr="00AB7276">
        <w:rPr>
          <w:rFonts w:ascii="Times New Roman" w:hAnsi="Times New Roman"/>
          <w:bCs/>
          <w:spacing w:val="-2"/>
          <w:sz w:val="16"/>
          <w:szCs w:val="16"/>
        </w:rPr>
        <w:t xml:space="preserve">, </w:t>
      </w:r>
      <w:r w:rsidR="002B4893" w:rsidRPr="00AB7276">
        <w:rPr>
          <w:rFonts w:ascii="Times New Roman" w:hAnsi="Times New Roman"/>
          <w:bCs/>
          <w:spacing w:val="-2"/>
          <w:sz w:val="16"/>
          <w:szCs w:val="16"/>
        </w:rPr>
        <w:t>famos 12/2009</w:t>
      </w:r>
      <w:r w:rsidR="00D12D5E" w:rsidRPr="00AB7276">
        <w:rPr>
          <w:rFonts w:ascii="Times New Roman" w:hAnsi="Times New Roman"/>
          <w:bCs/>
          <w:spacing w:val="-2"/>
          <w:sz w:val="16"/>
          <w:szCs w:val="16"/>
        </w:rPr>
        <w:t xml:space="preserve">; </w:t>
      </w:r>
      <w:r w:rsidR="005B3D8D" w:rsidRPr="00AB7276">
        <w:rPr>
          <w:rFonts w:ascii="Times New Roman" w:hAnsi="Times New Roman"/>
          <w:b/>
          <w:bCs/>
          <w:spacing w:val="-2"/>
          <w:sz w:val="16"/>
          <w:szCs w:val="16"/>
        </w:rPr>
        <w:t>OLG Stuttgart NStZ-RR 2015, 387</w:t>
      </w:r>
      <w:r w:rsidR="005B3D8D" w:rsidRPr="00AB7276">
        <w:rPr>
          <w:rFonts w:ascii="Times New Roman" w:hAnsi="Times New Roman"/>
          <w:bCs/>
          <w:spacing w:val="-2"/>
          <w:sz w:val="16"/>
          <w:szCs w:val="16"/>
        </w:rPr>
        <w:t xml:space="preserve"> – Reichweite des Doppelbestrafungsverbots (Art. 103 Abs. 3 GG hindert keine Beschuldigtenvernehmung im Rahmen der Rechtshilfe für die Türkei)</w:t>
      </w:r>
      <w:r w:rsidR="00ED3A97" w:rsidRPr="00AB7276">
        <w:rPr>
          <w:rFonts w:ascii="Times New Roman" w:hAnsi="Times New Roman"/>
          <w:bCs/>
          <w:spacing w:val="-2"/>
          <w:sz w:val="16"/>
          <w:szCs w:val="16"/>
        </w:rPr>
        <w:t xml:space="preserve">; </w:t>
      </w:r>
      <w:r w:rsidR="00ED3A97" w:rsidRPr="00AB7276">
        <w:rPr>
          <w:rFonts w:ascii="Times New Roman" w:hAnsi="Times New Roman"/>
          <w:b/>
          <w:bCs/>
          <w:spacing w:val="-2"/>
          <w:sz w:val="16"/>
          <w:szCs w:val="16"/>
        </w:rPr>
        <w:t>OLG Stuttgart NJW 2021, 2596</w:t>
      </w:r>
      <w:r w:rsidR="00ED3A97" w:rsidRPr="00AB7276">
        <w:rPr>
          <w:rFonts w:ascii="Times New Roman" w:hAnsi="Times New Roman"/>
          <w:bCs/>
          <w:spacing w:val="-2"/>
          <w:sz w:val="16"/>
          <w:szCs w:val="16"/>
        </w:rPr>
        <w:t xml:space="preserve"> – Rechtskraft und Doppelverfolgungsverbot (Widerstand nach Trunkenheitsfahrt).</w:t>
      </w:r>
    </w:p>
    <w:sectPr w:rsidR="00086198" w:rsidRPr="00AB7276" w:rsidSect="00086198">
      <w:pgSz w:w="11900" w:h="16840"/>
      <w:pgMar w:top="567" w:right="737" w:bottom="567" w:left="119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F257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63D8C"/>
    <w:multiLevelType w:val="hybridMultilevel"/>
    <w:tmpl w:val="A5702362"/>
    <w:lvl w:ilvl="0" w:tplc="93F42B1E">
      <w:start w:val="1"/>
      <w:numFmt w:val="upperRoman"/>
      <w:lvlText w:val="%1."/>
      <w:lvlJc w:val="left"/>
      <w:pPr>
        <w:tabs>
          <w:tab w:val="num" w:pos="1080"/>
        </w:tabs>
        <w:ind w:left="1080" w:hanging="720"/>
      </w:pPr>
      <w:rPr>
        <w:rFonts w:hint="default"/>
        <w:b/>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27E839C8"/>
    <w:multiLevelType w:val="hybridMultilevel"/>
    <w:tmpl w:val="592697AE"/>
    <w:lvl w:ilvl="0" w:tplc="B7DECDFC">
      <w:start w:val="1"/>
      <w:numFmt w:val="decimal"/>
      <w:lvlText w:val="%1."/>
      <w:lvlJc w:val="left"/>
      <w:pPr>
        <w:tabs>
          <w:tab w:val="num" w:pos="640"/>
        </w:tabs>
        <w:ind w:left="640" w:hanging="360"/>
      </w:pPr>
      <w:rPr>
        <w:rFonts w:hint="default"/>
        <w:u w:val="single"/>
      </w:rPr>
    </w:lvl>
    <w:lvl w:ilvl="1" w:tplc="00190407" w:tentative="1">
      <w:start w:val="1"/>
      <w:numFmt w:val="lowerLetter"/>
      <w:lvlText w:val="%2."/>
      <w:lvlJc w:val="left"/>
      <w:pPr>
        <w:tabs>
          <w:tab w:val="num" w:pos="1360"/>
        </w:tabs>
        <w:ind w:left="1360" w:hanging="360"/>
      </w:pPr>
    </w:lvl>
    <w:lvl w:ilvl="2" w:tplc="001B0407" w:tentative="1">
      <w:start w:val="1"/>
      <w:numFmt w:val="lowerRoman"/>
      <w:lvlText w:val="%3."/>
      <w:lvlJc w:val="right"/>
      <w:pPr>
        <w:tabs>
          <w:tab w:val="num" w:pos="2080"/>
        </w:tabs>
        <w:ind w:left="2080" w:hanging="180"/>
      </w:pPr>
    </w:lvl>
    <w:lvl w:ilvl="3" w:tplc="000F0407" w:tentative="1">
      <w:start w:val="1"/>
      <w:numFmt w:val="decimal"/>
      <w:lvlText w:val="%4."/>
      <w:lvlJc w:val="left"/>
      <w:pPr>
        <w:tabs>
          <w:tab w:val="num" w:pos="2800"/>
        </w:tabs>
        <w:ind w:left="2800" w:hanging="360"/>
      </w:pPr>
    </w:lvl>
    <w:lvl w:ilvl="4" w:tplc="00190407" w:tentative="1">
      <w:start w:val="1"/>
      <w:numFmt w:val="lowerLetter"/>
      <w:lvlText w:val="%5."/>
      <w:lvlJc w:val="left"/>
      <w:pPr>
        <w:tabs>
          <w:tab w:val="num" w:pos="3520"/>
        </w:tabs>
        <w:ind w:left="3520" w:hanging="360"/>
      </w:pPr>
    </w:lvl>
    <w:lvl w:ilvl="5" w:tplc="001B0407" w:tentative="1">
      <w:start w:val="1"/>
      <w:numFmt w:val="lowerRoman"/>
      <w:lvlText w:val="%6."/>
      <w:lvlJc w:val="right"/>
      <w:pPr>
        <w:tabs>
          <w:tab w:val="num" w:pos="4240"/>
        </w:tabs>
        <w:ind w:left="4240" w:hanging="180"/>
      </w:pPr>
    </w:lvl>
    <w:lvl w:ilvl="6" w:tplc="000F0407" w:tentative="1">
      <w:start w:val="1"/>
      <w:numFmt w:val="decimal"/>
      <w:lvlText w:val="%7."/>
      <w:lvlJc w:val="left"/>
      <w:pPr>
        <w:tabs>
          <w:tab w:val="num" w:pos="4960"/>
        </w:tabs>
        <w:ind w:left="4960" w:hanging="360"/>
      </w:pPr>
    </w:lvl>
    <w:lvl w:ilvl="7" w:tplc="00190407" w:tentative="1">
      <w:start w:val="1"/>
      <w:numFmt w:val="lowerLetter"/>
      <w:lvlText w:val="%8."/>
      <w:lvlJc w:val="left"/>
      <w:pPr>
        <w:tabs>
          <w:tab w:val="num" w:pos="5680"/>
        </w:tabs>
        <w:ind w:left="5680" w:hanging="360"/>
      </w:pPr>
    </w:lvl>
    <w:lvl w:ilvl="8" w:tplc="001B0407" w:tentative="1">
      <w:start w:val="1"/>
      <w:numFmt w:val="lowerRoman"/>
      <w:lvlText w:val="%9."/>
      <w:lvlJc w:val="right"/>
      <w:pPr>
        <w:tabs>
          <w:tab w:val="num" w:pos="6400"/>
        </w:tabs>
        <w:ind w:left="6400" w:hanging="180"/>
      </w:pPr>
    </w:lvl>
  </w:abstractNum>
  <w:abstractNum w:abstractNumId="3" w15:restartNumberingAfterBreak="0">
    <w:nsid w:val="37D75F86"/>
    <w:multiLevelType w:val="hybridMultilevel"/>
    <w:tmpl w:val="FB6C01B0"/>
    <w:lvl w:ilvl="0" w:tplc="F704DBD4">
      <w:start w:val="2"/>
      <w:numFmt w:val="upperRoman"/>
      <w:lvlText w:val="%1."/>
      <w:lvlJc w:val="left"/>
      <w:pPr>
        <w:tabs>
          <w:tab w:val="num" w:pos="1080"/>
        </w:tabs>
        <w:ind w:left="1080" w:hanging="720"/>
      </w:pPr>
      <w:rPr>
        <w:rFonts w:hint="default"/>
        <w:b/>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16cid:durableId="282350425">
    <w:abstractNumId w:val="2"/>
  </w:num>
  <w:num w:numId="2" w16cid:durableId="790056999">
    <w:abstractNumId w:val="3"/>
  </w:num>
  <w:num w:numId="3" w16cid:durableId="944926457">
    <w:abstractNumId w:val="1"/>
  </w:num>
  <w:num w:numId="4" w16cid:durableId="64535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CB"/>
    <w:rsid w:val="00086198"/>
    <w:rsid w:val="00097DB7"/>
    <w:rsid w:val="000F472F"/>
    <w:rsid w:val="00133CA1"/>
    <w:rsid w:val="00185B66"/>
    <w:rsid w:val="00276021"/>
    <w:rsid w:val="002B4893"/>
    <w:rsid w:val="002D2C94"/>
    <w:rsid w:val="002E3833"/>
    <w:rsid w:val="002E4EBE"/>
    <w:rsid w:val="00303317"/>
    <w:rsid w:val="003B3E7D"/>
    <w:rsid w:val="003F0434"/>
    <w:rsid w:val="00415CFC"/>
    <w:rsid w:val="00467F35"/>
    <w:rsid w:val="004B0B1E"/>
    <w:rsid w:val="004D6E5F"/>
    <w:rsid w:val="004D71E7"/>
    <w:rsid w:val="004E597B"/>
    <w:rsid w:val="00504725"/>
    <w:rsid w:val="005349DE"/>
    <w:rsid w:val="00567B01"/>
    <w:rsid w:val="00586B4E"/>
    <w:rsid w:val="00593362"/>
    <w:rsid w:val="005B3D8D"/>
    <w:rsid w:val="006106CB"/>
    <w:rsid w:val="0065209D"/>
    <w:rsid w:val="0067027F"/>
    <w:rsid w:val="00676F8E"/>
    <w:rsid w:val="006800AF"/>
    <w:rsid w:val="006823F4"/>
    <w:rsid w:val="006D4DE7"/>
    <w:rsid w:val="006F1FCE"/>
    <w:rsid w:val="0070060D"/>
    <w:rsid w:val="00701B60"/>
    <w:rsid w:val="00734ED7"/>
    <w:rsid w:val="0075182F"/>
    <w:rsid w:val="00784045"/>
    <w:rsid w:val="007F3856"/>
    <w:rsid w:val="008066D0"/>
    <w:rsid w:val="0084448E"/>
    <w:rsid w:val="00875C0A"/>
    <w:rsid w:val="008F4E12"/>
    <w:rsid w:val="00942BD7"/>
    <w:rsid w:val="00982219"/>
    <w:rsid w:val="00982BB2"/>
    <w:rsid w:val="00A0379A"/>
    <w:rsid w:val="00A751F0"/>
    <w:rsid w:val="00AA7AFF"/>
    <w:rsid w:val="00AB7276"/>
    <w:rsid w:val="00AE2A11"/>
    <w:rsid w:val="00B146D0"/>
    <w:rsid w:val="00B312A9"/>
    <w:rsid w:val="00B35DDA"/>
    <w:rsid w:val="00B40E8B"/>
    <w:rsid w:val="00B76ED3"/>
    <w:rsid w:val="00BF1DA2"/>
    <w:rsid w:val="00C05A43"/>
    <w:rsid w:val="00C466CA"/>
    <w:rsid w:val="00C60C5B"/>
    <w:rsid w:val="00C62098"/>
    <w:rsid w:val="00CB5D70"/>
    <w:rsid w:val="00CF3F15"/>
    <w:rsid w:val="00D12D5E"/>
    <w:rsid w:val="00DA111F"/>
    <w:rsid w:val="00DA1E25"/>
    <w:rsid w:val="00E06014"/>
    <w:rsid w:val="00E26559"/>
    <w:rsid w:val="00E577F8"/>
    <w:rsid w:val="00ED3A97"/>
    <w:rsid w:val="00EF090D"/>
    <w:rsid w:val="00F1240E"/>
    <w:rsid w:val="00F83BD7"/>
    <w:rsid w:val="00F9257E"/>
    <w:rsid w:val="00FA2FC4"/>
    <w:rsid w:val="00FE60E2"/>
    <w:rsid w:val="00FF0C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B5B43F"/>
  <w15:chartTrackingRefBased/>
  <w15:docId w15:val="{BFB3A0E6-68BA-4618-B2FB-EE9A255F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57BE"/>
    <w:pPr>
      <w:widowControl w:val="0"/>
      <w:autoSpaceDE w:val="0"/>
      <w:autoSpaceDN w:val="0"/>
      <w:adjustRightInd w:val="0"/>
    </w:pPr>
    <w:rPr>
      <w:rFonts w:ascii="Dutch Roman 12pt" w:hAnsi="Dutch Roman 12pt" w:cs="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B057BE"/>
  </w:style>
  <w:style w:type="paragraph" w:styleId="Sprechblasentext">
    <w:name w:val="Balloon Text"/>
    <w:basedOn w:val="Standard"/>
    <w:semiHidden/>
    <w:rsid w:val="00525E76"/>
    <w:rPr>
      <w:rFonts w:ascii="Tahoma" w:hAnsi="Tahoma" w:cs="Tahoma"/>
      <w:sz w:val="16"/>
      <w:szCs w:val="16"/>
    </w:rPr>
  </w:style>
  <w:style w:type="paragraph" w:styleId="berarbeitung">
    <w:name w:val="Revision"/>
    <w:hidden/>
    <w:uiPriority w:val="71"/>
    <w:rsid w:val="00EF090D"/>
    <w:rPr>
      <w:rFonts w:ascii="Dutch Roman 12pt" w:hAnsi="Dutch Roman 12pt"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1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886</Words>
  <Characters>5589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Prof</vt:lpstr>
    </vt:vector>
  </TitlesOfParts>
  <Company>Humboldt-Universität zu Berlin</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subject/>
  <dc:creator>Juristische Fakultät</dc:creator>
  <cp:keywords/>
  <cp:lastModifiedBy>Judith Schult</cp:lastModifiedBy>
  <cp:revision>2</cp:revision>
  <cp:lastPrinted>2020-10-16T12:04:00Z</cp:lastPrinted>
  <dcterms:created xsi:type="dcterms:W3CDTF">2024-10-10T15:58:00Z</dcterms:created>
  <dcterms:modified xsi:type="dcterms:W3CDTF">2024-10-10T15:58:00Z</dcterms:modified>
</cp:coreProperties>
</file>